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齐凤阁捐赠版画系列</w:t>
      </w:r>
      <w:r>
        <w:rPr>
          <w:rFonts w:hint="eastAsia" w:ascii="方正小标宋简体" w:hAnsi="方正小标宋简体" w:eastAsia="方正小标宋简体" w:cs="方正小标宋简体"/>
          <w:sz w:val="44"/>
          <w:szCs w:val="44"/>
          <w:lang w:eastAsia="zh-CN"/>
        </w:rPr>
        <w:t>——民国时期版画文献</w:t>
      </w:r>
      <w:r>
        <w:rPr>
          <w:rFonts w:hint="eastAsia" w:ascii="方正小标宋简体" w:hAnsi="方正小标宋简体" w:eastAsia="方正小标宋简体" w:cs="方正小标宋简体"/>
          <w:sz w:val="44"/>
          <w:szCs w:val="44"/>
          <w:lang w:val="en-US" w:eastAsia="zh-CN"/>
        </w:rPr>
        <w:t>研究</w:t>
      </w:r>
      <w:r>
        <w:rPr>
          <w:rFonts w:hint="eastAsia" w:ascii="方正小标宋简体" w:hAnsi="方正小标宋简体" w:eastAsia="方正小标宋简体" w:cs="方正小标宋简体"/>
          <w:sz w:val="44"/>
          <w:szCs w:val="44"/>
          <w:lang w:eastAsia="zh-CN"/>
        </w:rPr>
        <w:t>展”</w:t>
      </w:r>
      <w:r>
        <w:rPr>
          <w:rFonts w:hint="eastAsia" w:ascii="方正小标宋简体" w:hAnsi="方正小标宋简体" w:eastAsia="方正小标宋简体" w:cs="方正小标宋简体"/>
          <w:sz w:val="44"/>
          <w:szCs w:val="44"/>
          <w:lang w:val="en-US" w:eastAsia="zh-CN"/>
        </w:rPr>
        <w:t>项目需求书</w:t>
      </w:r>
    </w:p>
    <w:p>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sz w:val="24"/>
          <w:szCs w:val="24"/>
        </w:rPr>
      </w:pP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一、项目目标</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为推动观澜版画原创产业基地、中国版画博物馆馆藏精品的活化利用，加强藏品研究与学术策划，发挥美术馆的收藏、保护、研究、展览、公共教育等功能，通过展览和相关活动的开展，对民国时期版画史料的进行系统梳理和深入探讨，让大众认识民国时期版画文献的成就和价值，弘扬木刻青年奋斗不息的精神。拟于深圳市龙华区中国·观澜版画原创产业基地齐凤阁版画史学馆开展“齐凤阁捐赠版画系列——民国时期版画文献研究展”项目。</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二、时间安排（暂定）</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rPr>
          <w:rFonts w:hint="eastAsia"/>
          <w:lang w:val="en-US" w:eastAsia="zh-CN"/>
        </w:rPr>
      </w:pPr>
      <w:r>
        <w:rPr>
          <w:rFonts w:hint="eastAsia" w:ascii="仿宋_GB2312" w:hAnsi="仿宋_GB2312" w:eastAsia="仿宋_GB2312" w:cs="仿宋_GB2312"/>
          <w:b w:val="0"/>
          <w:bCs w:val="0"/>
          <w:kern w:val="2"/>
          <w:sz w:val="32"/>
          <w:szCs w:val="32"/>
          <w:highlight w:val="none"/>
          <w:lang w:val="en-US" w:eastAsia="zh-CN" w:bidi="ar-SA"/>
        </w:rPr>
        <w:t>2024年10月-2024年12月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项目内容及要求</w:t>
      </w:r>
    </w:p>
    <w:p>
      <w:pPr>
        <w:keepNext w:val="0"/>
        <w:keepLines w:val="0"/>
        <w:pageBreakBefore w:val="0"/>
        <w:numPr>
          <w:ilvl w:val="0"/>
          <w:numId w:val="2"/>
        </w:numPr>
        <w:tabs>
          <w:tab w:val="left" w:pos="1820"/>
        </w:tabs>
        <w:kinsoku/>
        <w:wordWrap/>
        <w:overflowPunct/>
        <w:topLinePunct w:val="0"/>
        <w:autoSpaceDE/>
        <w:autoSpaceDN/>
        <w:bidi w:val="0"/>
        <w:adjustRightInd/>
        <w:snapToGrid w:val="0"/>
        <w:spacing w:line="560" w:lineRule="exact"/>
        <w:ind w:right="0" w:rightChars="0" w:firstLine="640" w:firstLineChars="200"/>
        <w:jc w:val="both"/>
        <w:textAlignment w:val="auto"/>
        <w:outlineLvl w:val="1"/>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项目内容</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lang w:val="en-US" w:eastAsia="zh-CN"/>
        </w:rPr>
      </w:pPr>
      <w:r>
        <w:rPr>
          <w:rFonts w:hint="eastAsia" w:ascii="仿宋_GB2312" w:hAnsi="仿宋_GB2312" w:eastAsia="仿宋_GB2312" w:cs="仿宋_GB2312"/>
          <w:b w:val="0"/>
          <w:bCs w:val="0"/>
          <w:kern w:val="2"/>
          <w:sz w:val="32"/>
          <w:szCs w:val="32"/>
          <w:highlight w:val="none"/>
          <w:lang w:val="en-US" w:eastAsia="zh-CN" w:bidi="ar-SA"/>
        </w:rPr>
        <w:t>项目内容包括展览1场，展览相关交流活动约3场，学术成果作品集500册，含</w:t>
      </w:r>
      <w:r>
        <w:rPr>
          <w:rFonts w:hint="eastAsia" w:ascii="仿宋_GB2312" w:hAnsi="仿宋_GB2312" w:eastAsia="仿宋_GB2312" w:cs="仿宋_GB2312"/>
          <w:b w:val="0"/>
          <w:bCs w:val="0"/>
          <w:color w:val="000000"/>
          <w:kern w:val="0"/>
          <w:sz w:val="32"/>
          <w:szCs w:val="32"/>
          <w:highlight w:val="none"/>
          <w:lang w:val="en-US" w:eastAsia="zh-CN" w:bidi="ar"/>
        </w:rPr>
        <w:t>作品装裱、设计、展陈物料制作、布展、印刷以及视频拍摄制作等服务。</w:t>
      </w:r>
    </w:p>
    <w:p>
      <w:pPr>
        <w:pStyle w:val="2"/>
        <w:keepNext w:val="0"/>
        <w:keepLines w:val="0"/>
        <w:pageBreakBefore w:val="0"/>
        <w:numPr>
          <w:ilvl w:val="0"/>
          <w:numId w:val="0"/>
        </w:numPr>
        <w:tabs>
          <w:tab w:val="left" w:pos="426"/>
        </w:tabs>
        <w:kinsoku/>
        <w:wordWrap/>
        <w:overflowPunct/>
        <w:topLinePunct w:val="0"/>
        <w:autoSpaceDE/>
        <w:autoSpaceDN/>
        <w:bidi w:val="0"/>
        <w:adjustRightInd/>
        <w:spacing w:line="560" w:lineRule="exact"/>
        <w:ind w:left="0" w:leftChars="0" w:right="1470" w:rightChars="700" w:firstLine="640" w:firstLineChars="200"/>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（二</w:t>
      </w:r>
      <w:r>
        <w:rPr>
          <w:rFonts w:hint="eastAsia" w:ascii="楷体_GB2312" w:hAnsi="楷体_GB2312" w:eastAsia="楷体_GB2312" w:cs="楷体_GB2312"/>
          <w:kern w:val="2"/>
          <w:sz w:val="32"/>
          <w:szCs w:val="32"/>
          <w:highlight w:val="none"/>
          <w:lang w:val="en-US" w:eastAsia="zh-CN" w:bidi="ar-SA"/>
        </w:rPr>
        <w:t>）项目报价限额及要求</w:t>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629"/>
        <w:gridCol w:w="1019"/>
        <w:gridCol w:w="595"/>
        <w:gridCol w:w="365"/>
        <w:gridCol w:w="882"/>
        <w:gridCol w:w="4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项目</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内容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数量</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单项限额（元）</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2"/>
                <w:szCs w:val="22"/>
                <w:u w:val="none"/>
              </w:rPr>
            </w:pPr>
            <w:r>
              <w:rPr>
                <w:rFonts w:hint="eastAsia" w:ascii="楷体" w:hAnsi="楷体" w:eastAsia="楷体" w:cs="楷体"/>
                <w:i w:val="0"/>
                <w:iCs w:val="0"/>
                <w:color w:val="000000"/>
                <w:kern w:val="0"/>
                <w:sz w:val="22"/>
                <w:szCs w:val="22"/>
                <w:u w:val="none"/>
                <w:lang w:val="en-US" w:eastAsia="zh-CN" w:bidi="ar"/>
              </w:rPr>
              <w:t>民</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国</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时</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期</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版</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画</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文</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献</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研</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究</w:t>
            </w:r>
            <w:r>
              <w:rPr>
                <w:rFonts w:hint="eastAsia" w:ascii="楷体" w:hAnsi="楷体" w:eastAsia="楷体" w:cs="楷体"/>
                <w:i w:val="0"/>
                <w:iCs w:val="0"/>
                <w:color w:val="000000"/>
                <w:kern w:val="0"/>
                <w:sz w:val="22"/>
                <w:szCs w:val="22"/>
                <w:u w:val="none"/>
                <w:lang w:val="en-US" w:eastAsia="zh-CN" w:bidi="ar"/>
              </w:rPr>
              <w:br w:type="textWrapping"/>
            </w:r>
            <w:r>
              <w:rPr>
                <w:rFonts w:hint="eastAsia" w:ascii="楷体" w:hAnsi="楷体" w:eastAsia="楷体" w:cs="楷体"/>
                <w:i w:val="0"/>
                <w:iCs w:val="0"/>
                <w:color w:val="000000"/>
                <w:kern w:val="0"/>
                <w:sz w:val="22"/>
                <w:szCs w:val="22"/>
                <w:u w:val="none"/>
                <w:lang w:val="en-US" w:eastAsia="zh-CN" w:bidi="ar"/>
              </w:rPr>
              <w:t>展</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2"/>
                <w:szCs w:val="22"/>
                <w:u w:val="none"/>
                <w:lang w:val="en-US" w:eastAsia="zh-CN" w:bidi="ar"/>
              </w:rPr>
              <w:t>1</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作品装裱</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幅</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49500</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展览预计展出作品148件，装裱作品约90件，包括版画、书信、手稿、期刊、原版等多种形式，由于文献的特殊性，需根据展品实际情况及展陈设计定制装裱方式，包括作品手工托平、实木条装框、立体精装、防潮过膜、亚克力装裱、高透玻璃(注：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楷体" w:hAnsi="楷体" w:eastAsia="楷体" w:cs="楷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2"/>
                <w:szCs w:val="22"/>
                <w:u w:val="none"/>
                <w:lang w:val="en-US" w:eastAsia="zh-CN" w:bidi="ar"/>
              </w:rPr>
              <w:t>2</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设计费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26500</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展厅面积约991㎡，高11.45m，设计内容包括：</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1.展厅空间整体视觉设计；</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2.展厅网格布海报（420*730cm）细网格含上下横杆，户外海报3个（318*138cm），相关活动海报3个（80*180cm）；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3.前言等展览区域文字和画面排版设计、指示牌、水晶字及刻字文字设计、作品标签（13*9*0.5cm）；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4.中庭文献手稿展陈装置设计；</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5.导览折页设计（约420*280mm）；</w:t>
            </w:r>
            <w:r>
              <w:rPr>
                <w:rFonts w:hint="eastAsia" w:ascii="楷体" w:hAnsi="楷体" w:eastAsia="楷体" w:cs="楷体"/>
                <w:i w:val="0"/>
                <w:iCs w:val="0"/>
                <w:color w:val="000000"/>
                <w:kern w:val="0"/>
                <w:sz w:val="24"/>
                <w:szCs w:val="24"/>
                <w:u w:val="none"/>
                <w:lang w:val="en-US" w:eastAsia="zh-CN" w:bidi="ar"/>
              </w:rPr>
              <w:br w:type="textWrapping"/>
            </w:r>
            <w:r>
              <w:rPr>
                <w:rFonts w:hint="eastAsia" w:ascii="楷体" w:hAnsi="楷体" w:eastAsia="楷体" w:cs="楷体"/>
                <w:i w:val="0"/>
                <w:iCs w:val="0"/>
                <w:color w:val="000000"/>
                <w:kern w:val="0"/>
                <w:sz w:val="24"/>
                <w:szCs w:val="24"/>
                <w:u w:val="none"/>
                <w:lang w:val="en-US" w:eastAsia="zh-CN" w:bidi="ar"/>
              </w:rPr>
              <w:t>6.文献作品集封面及内页的设计排版120-200页，约889mm*1194mm；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楷体" w:hAnsi="楷体" w:eastAsia="楷体" w:cs="楷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2"/>
                <w:szCs w:val="22"/>
                <w:u w:val="none"/>
                <w:lang w:val="en-US" w:eastAsia="zh-CN" w:bidi="ar"/>
              </w:rPr>
              <w:t>3</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展陈物料制作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42000</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幕布背景制作（420*730cm）细网格含上下横杆、户外海报制作3条（318*138cm）、相关活动海报3个（80*180cm）、前言等文字展板制作、水晶字及区域文字不干胶字制作、指示牌制作（50*34cm）、标签制作（13*9*0.5cm）、导览折页制作500册（420*280mm）、中庭文献手稿展陈装置设计、特殊展品展陈定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楷体" w:hAnsi="楷体" w:eastAsia="楷体" w:cs="楷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2"/>
                <w:szCs w:val="22"/>
                <w:u w:val="none"/>
                <w:lang w:val="en-US" w:eastAsia="zh-CN" w:bidi="ar"/>
              </w:rPr>
              <w:t>4</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布展费</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12000</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包含展墙的清理、修缮、局部粉刷，展览布展、物料安装、废弃物清理等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楷体" w:hAnsi="楷体" w:eastAsia="楷体" w:cs="楷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2"/>
                <w:szCs w:val="22"/>
                <w:u w:val="none"/>
                <w:lang w:val="en-US" w:eastAsia="zh-CN" w:bidi="ar"/>
              </w:rPr>
              <w:t>5</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学术成果作品集印刷</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500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册</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60000</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学术成果作品集，120-200页，约（889mm*1194mm）,特种纸，封面工艺及规格根据实际设计要求选择;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楷体" w:hAnsi="楷体" w:eastAsia="楷体" w:cs="楷体"/>
                <w:i w:val="0"/>
                <w:iCs w:val="0"/>
                <w:color w:val="000000"/>
                <w:sz w:val="22"/>
                <w:szCs w:val="22"/>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2"/>
                <w:szCs w:val="22"/>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视频拍摄制作</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10000</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展览花絮及展览相关知识普及，规格：1080p、50帧数、约10-15min；拍摄策划，采访，后期剪辑，后期调色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楷体" w:hAnsi="楷体" w:eastAsia="楷体" w:cs="楷体"/>
                <w:i w:val="0"/>
                <w:iCs w:val="0"/>
                <w:color w:val="000000"/>
                <w:sz w:val="22"/>
                <w:szCs w:val="22"/>
                <w:u w:val="none"/>
              </w:rPr>
            </w:pPr>
          </w:p>
        </w:tc>
        <w:tc>
          <w:tcPr>
            <w:tcW w:w="3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2"/>
                <w:szCs w:val="22"/>
                <w:u w:val="none"/>
                <w:lang w:val="en-US" w:eastAsia="zh-CN" w:bidi="ar"/>
              </w:rPr>
              <w:t>合计：</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rPr>
                <w:rFonts w:hint="eastAsia" w:ascii="楷体" w:hAnsi="楷体" w:eastAsia="楷体" w:cs="楷体"/>
                <w:i w:val="0"/>
                <w:iCs w:val="0"/>
                <w:color w:val="000000"/>
                <w:sz w:val="22"/>
                <w:szCs w:val="22"/>
                <w:u w:val="none"/>
              </w:rPr>
            </w:pPr>
          </w:p>
        </w:tc>
        <w:tc>
          <w:tcPr>
            <w:tcW w:w="37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报价总金额不得超过：</w:t>
            </w:r>
          </w:p>
        </w:tc>
        <w:tc>
          <w:tcPr>
            <w:tcW w:w="4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20万元</w:t>
            </w:r>
          </w:p>
        </w:tc>
      </w:tr>
    </w:tbl>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四、供应商的资质要求</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（1）在中国境内注册的独立法人或其他组织（提供营业执照、事业法人证书、社会团体法人登记证书等扫描件）；</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（2）参与本项目投标近三年内（供应商成立不足三年的可从成立之日起算），在经营活动中没有重大违法记录以及不存在被有关部门禁止参与政府采购活动且在有效期内的情况；</w:t>
      </w:r>
      <w:bookmarkStart w:id="0" w:name="_GoBack"/>
      <w:bookmarkEnd w:id="0"/>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（3）单位负责人为同一人或者存在直接控股、管理关系的不同供应商，不得同时参加本项目的采购活动；</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（4）非主体性、非关键性工作的分包需在标书中说明，并提供合作公司的相关资质证明。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选定供应商方法</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综合评分法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评分要求</w:t>
      </w:r>
    </w:p>
    <w:p>
      <w:pPr>
        <w:pStyle w:val="10"/>
        <w:keepNext w:val="0"/>
        <w:keepLines w:val="0"/>
        <w:pageBreakBefore w:val="0"/>
        <w:numPr>
          <w:ilvl w:val="0"/>
          <w:numId w:val="0"/>
        </w:numPr>
        <w:kinsoku/>
        <w:wordWrap/>
        <w:overflowPunct/>
        <w:topLinePunct w:val="0"/>
        <w:autoSpaceDE/>
        <w:autoSpaceDN/>
        <w:bidi w:val="0"/>
        <w:adjustRightInd/>
        <w:spacing w:line="560" w:lineRule="exact"/>
        <w:ind w:left="-10" w:leftChars="0" w:firstLine="640" w:firstLineChars="0"/>
        <w:textAlignment w:val="auto"/>
        <w:outlineLvl w:val="1"/>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（一）评分规则</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黑体" w:hAnsi="黑体" w:eastAsia="黑体" w:cs="黑体"/>
          <w:color w:val="auto"/>
          <w:sz w:val="32"/>
          <w:szCs w:val="32"/>
          <w:highlight w:val="none"/>
          <w:lang w:eastAsia="zh-CN"/>
        </w:rPr>
      </w:pPr>
      <w:r>
        <w:rPr>
          <w:rFonts w:hint="eastAsia" w:ascii="仿宋_GB2312" w:hAnsi="仿宋_GB2312" w:eastAsia="仿宋_GB2312" w:cs="仿宋_GB2312"/>
          <w:b w:val="0"/>
          <w:bCs w:val="0"/>
          <w:kern w:val="2"/>
          <w:sz w:val="32"/>
          <w:szCs w:val="32"/>
          <w:highlight w:val="none"/>
          <w:lang w:val="en-US" w:eastAsia="zh-CN" w:bidi="ar-SA"/>
        </w:rPr>
        <w:t>采取综合评分标准，平均分最高的报价或投标人为本项目中标人。</w:t>
      </w:r>
    </w:p>
    <w:p>
      <w:pPr>
        <w:pStyle w:val="10"/>
        <w:keepNext w:val="0"/>
        <w:keepLines w:val="0"/>
        <w:pageBreakBefore w:val="0"/>
        <w:numPr>
          <w:ilvl w:val="0"/>
          <w:numId w:val="0"/>
        </w:numPr>
        <w:kinsoku/>
        <w:wordWrap/>
        <w:overflowPunct/>
        <w:topLinePunct w:val="0"/>
        <w:autoSpaceDE/>
        <w:autoSpaceDN/>
        <w:bidi w:val="0"/>
        <w:adjustRightInd/>
        <w:spacing w:line="560" w:lineRule="exact"/>
        <w:ind w:left="-10" w:leftChars="0" w:firstLine="640" w:firstLineChars="0"/>
        <w:textAlignment w:val="auto"/>
        <w:outlineLvl w:val="1"/>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lang w:val="en-US" w:eastAsia="zh-CN" w:bidi="ar-SA"/>
        </w:rPr>
        <w:t>（二）</w:t>
      </w:r>
      <w:r>
        <w:rPr>
          <w:rFonts w:hint="eastAsia" w:ascii="仿宋_GB2312" w:hAnsi="仿宋_GB2312" w:eastAsia="仿宋_GB2312" w:cs="仿宋_GB2312"/>
          <w:b w:val="0"/>
          <w:bCs w:val="0"/>
          <w:kern w:val="2"/>
          <w:sz w:val="32"/>
          <w:szCs w:val="32"/>
          <w:highlight w:val="none"/>
          <w:lang w:val="en-US" w:eastAsia="zh-CN" w:bidi="ar-SA"/>
        </w:rPr>
        <w:t>评分权重</w:t>
      </w:r>
    </w:p>
    <w:tbl>
      <w:tblPr>
        <w:tblStyle w:val="6"/>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899"/>
        <w:gridCol w:w="3027"/>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849"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1899"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sz w:val="24"/>
                <w:szCs w:val="24"/>
                <w:highlight w:val="none"/>
                <w:lang w:eastAsia="zh-CN"/>
              </w:rPr>
              <w:t>技术部分</w:t>
            </w:r>
          </w:p>
        </w:tc>
        <w:tc>
          <w:tcPr>
            <w:tcW w:w="3027"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商务部分</w:t>
            </w:r>
          </w:p>
        </w:tc>
        <w:tc>
          <w:tcPr>
            <w:tcW w:w="2543" w:type="dxa"/>
            <w:noWrap w:val="0"/>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1849"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1899"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vertAlign w:val="baseline"/>
                <w:lang w:val="en-US" w:eastAsia="zh-CN" w:bidi="ar-SA"/>
              </w:rPr>
            </w:pPr>
            <w:r>
              <w:rPr>
                <w:rFonts w:hint="eastAsia" w:ascii="仿宋_GB2312" w:hAnsi="仿宋_GB2312" w:eastAsia="仿宋_GB2312" w:cs="仿宋_GB2312"/>
                <w:b w:val="0"/>
                <w:bCs/>
                <w:color w:val="auto"/>
                <w:sz w:val="24"/>
                <w:szCs w:val="24"/>
                <w:highlight w:val="none"/>
                <w:lang w:val="en-US" w:eastAsia="zh-CN"/>
              </w:rPr>
              <w:t>50</w:t>
            </w:r>
            <w:r>
              <w:rPr>
                <w:rFonts w:hint="eastAsia" w:ascii="仿宋_GB2312" w:hAnsi="仿宋_GB2312" w:eastAsia="仿宋_GB2312" w:cs="仿宋_GB2312"/>
                <w:b w:val="0"/>
                <w:bCs/>
                <w:color w:val="auto"/>
                <w:sz w:val="24"/>
                <w:szCs w:val="24"/>
                <w:highlight w:val="none"/>
              </w:rPr>
              <w:t>分</w:t>
            </w:r>
          </w:p>
        </w:tc>
        <w:tc>
          <w:tcPr>
            <w:tcW w:w="3027"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20分</w:t>
            </w:r>
          </w:p>
        </w:tc>
        <w:tc>
          <w:tcPr>
            <w:tcW w:w="2543"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w:t>
            </w:r>
            <w:r>
              <w:rPr>
                <w:rFonts w:hint="eastAsia" w:ascii="仿宋_GB2312" w:hAnsi="仿宋_GB2312" w:eastAsia="仿宋_GB2312" w:cs="仿宋_GB2312"/>
                <w:b w:val="0"/>
                <w:bCs/>
                <w:color w:val="auto"/>
                <w:sz w:val="24"/>
                <w:szCs w:val="24"/>
                <w:highlight w:val="none"/>
              </w:rPr>
              <w:t>分</w:t>
            </w:r>
          </w:p>
        </w:tc>
      </w:tr>
    </w:tbl>
    <w:p>
      <w:pPr>
        <w:pStyle w:val="10"/>
        <w:keepNext w:val="0"/>
        <w:keepLines w:val="0"/>
        <w:pageBreakBefore w:val="0"/>
        <w:numPr>
          <w:ilvl w:val="0"/>
          <w:numId w:val="0"/>
        </w:numPr>
        <w:kinsoku/>
        <w:wordWrap/>
        <w:overflowPunct/>
        <w:topLinePunct w:val="0"/>
        <w:autoSpaceDE/>
        <w:autoSpaceDN/>
        <w:bidi w:val="0"/>
        <w:adjustRightInd/>
        <w:spacing w:line="560" w:lineRule="exact"/>
        <w:ind w:left="-10" w:leftChars="0" w:firstLine="640" w:firstLineChars="0"/>
        <w:textAlignment w:val="auto"/>
        <w:outlineLvl w:val="1"/>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（三）评分标准</w:t>
      </w:r>
    </w:p>
    <w:tbl>
      <w:tblPr>
        <w:tblStyle w:val="11"/>
        <w:tblpPr w:leftFromText="180" w:rightFromText="180" w:vertAnchor="text" w:horzAnchor="page" w:tblpX="1266" w:tblpY="-3"/>
        <w:tblOverlap w:val="never"/>
        <w:tblW w:w="9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915"/>
        <w:gridCol w:w="975"/>
        <w:gridCol w:w="510"/>
        <w:gridCol w:w="6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 w:hRule="atLeast"/>
        </w:trPr>
        <w:tc>
          <w:tcPr>
            <w:tcW w:w="49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序号</w:t>
            </w:r>
          </w:p>
        </w:tc>
        <w:tc>
          <w:tcPr>
            <w:tcW w:w="91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评分项</w:t>
            </w:r>
          </w:p>
        </w:tc>
        <w:tc>
          <w:tcPr>
            <w:tcW w:w="97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内容</w:t>
            </w:r>
          </w:p>
        </w:tc>
        <w:tc>
          <w:tcPr>
            <w:tcW w:w="510"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分值</w:t>
            </w:r>
          </w:p>
        </w:tc>
        <w:tc>
          <w:tcPr>
            <w:tcW w:w="646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评分规则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7" w:hRule="atLeast"/>
        </w:trPr>
        <w:tc>
          <w:tcPr>
            <w:tcW w:w="49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1</w:t>
            </w:r>
          </w:p>
        </w:tc>
        <w:tc>
          <w:tcPr>
            <w:tcW w:w="915" w:type="dxa"/>
            <w:vMerge w:val="restart"/>
            <w:tcBorders>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技术</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部分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技术</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部分</w:t>
            </w:r>
          </w:p>
        </w:tc>
        <w:tc>
          <w:tcPr>
            <w:tcW w:w="975" w:type="dxa"/>
            <w:tcBorders>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实施方案</w:t>
            </w:r>
          </w:p>
        </w:tc>
        <w:tc>
          <w:tcPr>
            <w:tcW w:w="510" w:type="dxa"/>
            <w:tcBorders>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30</w:t>
            </w:r>
          </w:p>
        </w:tc>
        <w:tc>
          <w:tcPr>
            <w:tcW w:w="6465" w:type="dxa"/>
            <w:tcBorders>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考察内容：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项目实施方案中包括但不限于对</w:t>
            </w:r>
            <w:r>
              <w:rPr>
                <w:rFonts w:hint="eastAsia" w:ascii="仿宋_GB2312" w:hAnsi="仿宋_GB2312" w:eastAsia="仿宋_GB2312" w:cs="仿宋_GB2312"/>
                <w:b w:val="0"/>
                <w:bCs/>
                <w:color w:val="auto"/>
                <w:sz w:val="24"/>
                <w:szCs w:val="24"/>
                <w:highlight w:val="none"/>
                <w:lang w:eastAsia="zh-CN"/>
              </w:rPr>
              <w:t>本</w:t>
            </w:r>
            <w:r>
              <w:rPr>
                <w:rFonts w:hint="eastAsia" w:ascii="仿宋_GB2312" w:hAnsi="仿宋_GB2312" w:eastAsia="仿宋_GB2312" w:cs="仿宋_GB2312"/>
                <w:b w:val="0"/>
                <w:bCs/>
                <w:color w:val="auto"/>
                <w:sz w:val="24"/>
                <w:szCs w:val="24"/>
                <w:highlight w:val="none"/>
              </w:rPr>
              <w:t>项目的工作</w:t>
            </w:r>
            <w:r>
              <w:rPr>
                <w:rFonts w:hint="eastAsia" w:ascii="仿宋_GB2312" w:hAnsi="仿宋_GB2312" w:eastAsia="仿宋_GB2312" w:cs="仿宋_GB2312"/>
                <w:b w:val="0"/>
                <w:bCs/>
                <w:color w:val="auto"/>
                <w:sz w:val="24"/>
                <w:szCs w:val="24"/>
                <w:highlight w:val="none"/>
                <w:lang w:eastAsia="zh-CN"/>
              </w:rPr>
              <w:t>计划</w:t>
            </w:r>
            <w:r>
              <w:rPr>
                <w:rFonts w:hint="eastAsia" w:ascii="仿宋_GB2312" w:hAnsi="仿宋_GB2312" w:eastAsia="仿宋_GB2312" w:cs="仿宋_GB2312"/>
                <w:b w:val="0"/>
                <w:bCs/>
                <w:color w:val="auto"/>
                <w:sz w:val="24"/>
                <w:szCs w:val="24"/>
                <w:highlight w:val="none"/>
              </w:rPr>
              <w:t>、</w:t>
            </w:r>
            <w:r>
              <w:rPr>
                <w:rFonts w:hint="eastAsia" w:ascii="仿宋_GB2312" w:hAnsi="仿宋_GB2312" w:eastAsia="仿宋_GB2312" w:cs="仿宋_GB2312"/>
                <w:b w:val="0"/>
                <w:bCs/>
                <w:color w:val="auto"/>
                <w:sz w:val="24"/>
                <w:szCs w:val="24"/>
                <w:highlight w:val="none"/>
                <w:lang w:eastAsia="zh-CN"/>
              </w:rPr>
              <w:t>重难点及应对措施、展陈方式与技术应用、初步展陈设计</w:t>
            </w:r>
            <w:r>
              <w:rPr>
                <w:rFonts w:hint="eastAsia" w:ascii="仿宋_GB2312" w:hAnsi="仿宋_GB2312" w:eastAsia="仿宋_GB2312" w:cs="仿宋_GB2312"/>
                <w:b w:val="0"/>
                <w:bCs/>
                <w:color w:val="auto"/>
                <w:sz w:val="24"/>
                <w:szCs w:val="24"/>
                <w:highlight w:val="none"/>
                <w:lang w:val="en-US" w:eastAsia="zh-CN"/>
              </w:rPr>
              <w:t>意向效果图</w:t>
            </w:r>
            <w:r>
              <w:rPr>
                <w:rFonts w:hint="eastAsia" w:ascii="仿宋_GB2312" w:hAnsi="仿宋_GB2312" w:eastAsia="仿宋_GB2312" w:cs="仿宋_GB2312"/>
                <w:b w:val="0"/>
                <w:bCs/>
                <w:color w:val="auto"/>
                <w:sz w:val="24"/>
                <w:szCs w:val="24"/>
                <w:highlight w:val="none"/>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满足以上任意一项内容得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分，最高</w:t>
            </w:r>
            <w:r>
              <w:rPr>
                <w:rFonts w:hint="eastAsia" w:ascii="仿宋_GB2312" w:hAnsi="仿宋_GB2312" w:eastAsia="仿宋_GB2312" w:cs="仿宋_GB2312"/>
                <w:b w:val="0"/>
                <w:bCs/>
                <w:color w:val="auto"/>
                <w:sz w:val="24"/>
                <w:szCs w:val="24"/>
                <w:highlight w:val="none"/>
                <w:lang w:val="en-US" w:eastAsia="zh-CN"/>
              </w:rPr>
              <w:t>20</w:t>
            </w:r>
            <w:r>
              <w:rPr>
                <w:rFonts w:hint="eastAsia" w:ascii="仿宋_GB2312" w:hAnsi="仿宋_GB2312" w:eastAsia="仿宋_GB2312" w:cs="仿宋_GB2312"/>
                <w:b w:val="0"/>
                <w:bCs/>
                <w:color w:val="auto"/>
                <w:sz w:val="24"/>
                <w:szCs w:val="24"/>
                <w:highlight w:val="none"/>
              </w:rPr>
              <w:t>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评分标准：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在此基础上，由评标委员会对实施方案进一步评审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（1）实施方案内容全面。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（2）实施方案内容具体。</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（3）实施方案内容科学合理。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（4）实施方案内容针对性强。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（5）实施方案内容可操作性强。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满足以上五项要求的评价为优，得</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满足以上四项要求的评价为良</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7</w:t>
            </w:r>
            <w:r>
              <w:rPr>
                <w:rFonts w:hint="eastAsia" w:ascii="仿宋_GB2312" w:hAnsi="仿宋_GB2312" w:eastAsia="仿宋_GB2312" w:cs="仿宋_GB2312"/>
                <w:b w:val="0"/>
                <w:bCs/>
                <w:color w:val="auto"/>
                <w:sz w:val="24"/>
                <w:szCs w:val="24"/>
                <w:highlight w:val="none"/>
              </w:rPr>
              <w:t>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满足以上三项要求的评价为中</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rPr>
              <w:t>上述情况之外的 ，评差不得分。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4" w:hRule="atLeast"/>
        </w:trPr>
        <w:tc>
          <w:tcPr>
            <w:tcW w:w="49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w:t>
            </w:r>
          </w:p>
        </w:tc>
        <w:tc>
          <w:tcPr>
            <w:tcW w:w="915" w:type="dxa"/>
            <w:vMerge w:val="continue"/>
            <w:tcBorders>
              <w:top w:val="single" w:color="000000" w:sz="4" w:space="0"/>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tc>
        <w:tc>
          <w:tcPr>
            <w:tcW w:w="975" w:type="dxa"/>
            <w:tcBorders>
              <w:top w:val="single" w:color="000000" w:sz="4" w:space="0"/>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质量保障措施及方案</w:t>
            </w:r>
          </w:p>
        </w:tc>
        <w:tc>
          <w:tcPr>
            <w:tcW w:w="510" w:type="dxa"/>
            <w:tcBorders>
              <w:top w:val="single" w:color="000000" w:sz="4" w:space="0"/>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15</w:t>
            </w:r>
          </w:p>
        </w:tc>
        <w:tc>
          <w:tcPr>
            <w:tcW w:w="6465" w:type="dxa"/>
            <w:tcBorders>
              <w:top w:val="single" w:color="000000" w:sz="4" w:space="0"/>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考察内容：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投标人需针对本项目提供质量</w:t>
            </w:r>
            <w:r>
              <w:rPr>
                <w:rFonts w:hint="eastAsia" w:ascii="仿宋_GB2312" w:hAnsi="仿宋_GB2312" w:eastAsia="仿宋_GB2312" w:cs="仿宋_GB2312"/>
                <w:b w:val="0"/>
                <w:bCs/>
                <w:color w:val="auto"/>
                <w:sz w:val="24"/>
                <w:szCs w:val="24"/>
                <w:highlight w:val="none"/>
                <w:lang w:eastAsia="zh-CN"/>
              </w:rPr>
              <w:t>保障</w:t>
            </w:r>
            <w:r>
              <w:rPr>
                <w:rFonts w:hint="eastAsia" w:ascii="仿宋_GB2312" w:hAnsi="仿宋_GB2312" w:eastAsia="仿宋_GB2312" w:cs="仿宋_GB2312"/>
                <w:b w:val="0"/>
                <w:bCs/>
                <w:color w:val="auto"/>
                <w:sz w:val="24"/>
                <w:szCs w:val="24"/>
                <w:highlight w:val="none"/>
              </w:rPr>
              <w:t>措施及方案</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内容包括但不限于：</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具备详细的完成时间保障措施</w:t>
            </w:r>
            <w:r>
              <w:rPr>
                <w:rFonts w:hint="eastAsia" w:ascii="仿宋_GB2312" w:hAnsi="仿宋_GB2312" w:eastAsia="仿宋_GB2312" w:cs="仿宋_GB2312"/>
                <w:b w:val="0"/>
                <w:bCs/>
                <w:color w:val="auto"/>
                <w:sz w:val="24"/>
                <w:szCs w:val="24"/>
                <w:highlight w:val="none"/>
                <w:lang w:eastAsia="zh-CN"/>
              </w:rPr>
              <w:t>。</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详细阐述项目人员管理措施</w:t>
            </w:r>
            <w:r>
              <w:rPr>
                <w:rFonts w:hint="eastAsia" w:ascii="仿宋_GB2312" w:hAnsi="仿宋_GB2312" w:eastAsia="仿宋_GB2312" w:cs="仿宋_GB2312"/>
                <w:b w:val="0"/>
                <w:bCs/>
                <w:color w:val="auto"/>
                <w:sz w:val="24"/>
                <w:szCs w:val="24"/>
                <w:highlight w:val="none"/>
                <w:lang w:eastAsia="zh-CN"/>
              </w:rPr>
              <w:t>。</w:t>
            </w:r>
          </w:p>
          <w:p>
            <w:pPr>
              <w:pStyle w:val="10"/>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详细阐述项目质量管理措施</w:t>
            </w:r>
            <w:r>
              <w:rPr>
                <w:rFonts w:hint="eastAsia" w:ascii="仿宋_GB2312" w:hAnsi="仿宋_GB2312" w:eastAsia="仿宋_GB2312" w:cs="仿宋_GB2312"/>
                <w:b w:val="0"/>
                <w:bCs/>
                <w:color w:val="auto"/>
                <w:sz w:val="24"/>
                <w:szCs w:val="24"/>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评分标准：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满足以上任意一项内容得</w:t>
            </w:r>
            <w:r>
              <w:rPr>
                <w:rFonts w:hint="eastAsia" w:ascii="仿宋_GB2312" w:hAnsi="仿宋_GB2312" w:eastAsia="仿宋_GB2312" w:cs="仿宋_GB2312"/>
                <w:b w:val="0"/>
                <w:bCs/>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rPr>
              <w:t>分，最高</w:t>
            </w:r>
            <w:r>
              <w:rPr>
                <w:rFonts w:hint="eastAsia" w:ascii="仿宋_GB2312" w:hAnsi="仿宋_GB2312" w:eastAsia="仿宋_GB2312" w:cs="仿宋_GB2312"/>
                <w:b w:val="0"/>
                <w:bCs/>
                <w:color w:val="auto"/>
                <w:sz w:val="24"/>
                <w:szCs w:val="24"/>
                <w:highlight w:val="none"/>
                <w:lang w:val="en-US" w:eastAsia="zh-CN"/>
              </w:rPr>
              <w:t>9</w:t>
            </w:r>
            <w:r>
              <w:rPr>
                <w:rFonts w:hint="eastAsia" w:ascii="仿宋_GB2312" w:hAnsi="仿宋_GB2312" w:eastAsia="仿宋_GB2312" w:cs="仿宋_GB2312"/>
                <w:b w:val="0"/>
                <w:bCs/>
                <w:color w:val="auto"/>
                <w:sz w:val="24"/>
                <w:szCs w:val="24"/>
                <w:highlight w:val="none"/>
              </w:rPr>
              <w:t>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在此基础上</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由评标委员会对实施方案进一步评审 ：</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（1）质量保障措施及方案内容全面</w:t>
            </w:r>
            <w:r>
              <w:rPr>
                <w:rFonts w:hint="eastAsia" w:ascii="仿宋_GB2312" w:hAnsi="仿宋_GB2312" w:eastAsia="仿宋_GB2312" w:cs="仿宋_GB2312"/>
                <w:b w:val="0"/>
                <w:bCs/>
                <w:color w:val="auto"/>
                <w:sz w:val="24"/>
                <w:szCs w:val="24"/>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（2）质量保障措施及方案内容具体</w:t>
            </w:r>
            <w:r>
              <w:rPr>
                <w:rFonts w:hint="eastAsia" w:ascii="仿宋_GB2312" w:hAnsi="仿宋_GB2312" w:eastAsia="仿宋_GB2312" w:cs="仿宋_GB2312"/>
                <w:b w:val="0"/>
                <w:bCs/>
                <w:color w:val="auto"/>
                <w:sz w:val="24"/>
                <w:szCs w:val="24"/>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（3）质量保障措施及方案内容科学合理</w:t>
            </w:r>
            <w:r>
              <w:rPr>
                <w:rFonts w:hint="eastAsia" w:ascii="仿宋_GB2312" w:hAnsi="仿宋_GB2312" w:eastAsia="仿宋_GB2312" w:cs="仿宋_GB2312"/>
                <w:b w:val="0"/>
                <w:bCs/>
                <w:color w:val="auto"/>
                <w:sz w:val="24"/>
                <w:szCs w:val="24"/>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（4）质量保障措施及方案内容针对性强</w:t>
            </w:r>
            <w:r>
              <w:rPr>
                <w:rFonts w:hint="eastAsia" w:ascii="仿宋_GB2312" w:hAnsi="仿宋_GB2312" w:eastAsia="仿宋_GB2312" w:cs="仿宋_GB2312"/>
                <w:b w:val="0"/>
                <w:bCs/>
                <w:color w:val="auto"/>
                <w:sz w:val="24"/>
                <w:szCs w:val="24"/>
                <w:highlight w:val="none"/>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（5）质量保障措施及方案内容可操作性强</w:t>
            </w:r>
            <w:r>
              <w:rPr>
                <w:rFonts w:hint="eastAsia" w:ascii="仿宋_GB2312" w:hAnsi="仿宋_GB2312" w:eastAsia="仿宋_GB2312" w:cs="仿宋_GB2312"/>
                <w:b w:val="0"/>
                <w:bCs/>
                <w:color w:val="auto"/>
                <w:sz w:val="24"/>
                <w:szCs w:val="24"/>
                <w:highlight w:val="none"/>
                <w:lang w:eastAsia="zh-CN"/>
              </w:rPr>
              <w:t>。</w:t>
            </w:r>
          </w:p>
          <w:p>
            <w:pPr>
              <w:pStyle w:val="12"/>
              <w:keepNext w:val="0"/>
              <w:keepLines w:val="0"/>
              <w:pageBreakBefore w:val="0"/>
              <w:numPr>
                <w:ilvl w:val="0"/>
                <w:numId w:val="0"/>
              </w:numPr>
              <w:kinsoku/>
              <w:wordWrap/>
              <w:overflowPunct/>
              <w:topLinePunct w:val="0"/>
              <w:autoSpaceDE/>
              <w:autoSpaceDN/>
              <w:bidi w:val="0"/>
              <w:adjustRightInd/>
              <w:spacing w:before="22" w:line="560" w:lineRule="exac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满足以上五项要求的评价为优</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6</w:t>
            </w:r>
            <w:r>
              <w:rPr>
                <w:rFonts w:hint="eastAsia" w:ascii="仿宋_GB2312" w:hAnsi="仿宋_GB2312" w:eastAsia="仿宋_GB2312" w:cs="仿宋_GB2312"/>
                <w:b w:val="0"/>
                <w:bCs/>
                <w:color w:val="auto"/>
                <w:sz w:val="24"/>
                <w:szCs w:val="24"/>
                <w:highlight w:val="none"/>
              </w:rPr>
              <w:t>分。</w:t>
            </w:r>
          </w:p>
          <w:p>
            <w:pPr>
              <w:pStyle w:val="12"/>
              <w:keepNext w:val="0"/>
              <w:keepLines w:val="0"/>
              <w:pageBreakBefore w:val="0"/>
              <w:numPr>
                <w:ilvl w:val="0"/>
                <w:numId w:val="0"/>
              </w:numPr>
              <w:kinsoku/>
              <w:wordWrap/>
              <w:overflowPunct/>
              <w:topLinePunct w:val="0"/>
              <w:autoSpaceDE/>
              <w:autoSpaceDN/>
              <w:bidi w:val="0"/>
              <w:adjustRightInd/>
              <w:spacing w:before="22" w:line="560" w:lineRule="exac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满足以上四项要求的评价为良</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4</w:t>
            </w:r>
            <w:r>
              <w:rPr>
                <w:rFonts w:hint="eastAsia" w:ascii="仿宋_GB2312" w:hAnsi="仿宋_GB2312" w:eastAsia="仿宋_GB2312" w:cs="仿宋_GB2312"/>
                <w:b w:val="0"/>
                <w:bCs/>
                <w:color w:val="auto"/>
                <w:sz w:val="24"/>
                <w:szCs w:val="24"/>
                <w:highlight w:val="none"/>
              </w:rPr>
              <w:t>分。</w:t>
            </w:r>
          </w:p>
          <w:p>
            <w:pPr>
              <w:pStyle w:val="12"/>
              <w:keepNext w:val="0"/>
              <w:keepLines w:val="0"/>
              <w:pageBreakBefore w:val="0"/>
              <w:numPr>
                <w:ilvl w:val="0"/>
                <w:numId w:val="0"/>
              </w:numPr>
              <w:kinsoku/>
              <w:wordWrap/>
              <w:overflowPunct/>
              <w:topLinePunct w:val="0"/>
              <w:autoSpaceDE/>
              <w:autoSpaceDN/>
              <w:bidi w:val="0"/>
              <w:adjustRightInd/>
              <w:spacing w:before="22" w:line="560" w:lineRule="exac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满足以上三项要求的评价为中</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rPr>
              <w:t>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上述情况之外的</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评差不得分。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1" w:hRule="atLeast"/>
        </w:trPr>
        <w:tc>
          <w:tcPr>
            <w:tcW w:w="49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w:t>
            </w:r>
          </w:p>
        </w:tc>
        <w:tc>
          <w:tcPr>
            <w:tcW w:w="915" w:type="dxa"/>
            <w:vMerge w:val="continue"/>
            <w:tcBorders>
              <w:top w:val="single" w:color="000000" w:sz="4" w:space="0"/>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tc>
        <w:tc>
          <w:tcPr>
            <w:tcW w:w="975" w:type="dxa"/>
            <w:tcBorders>
              <w:top w:val="single" w:color="000000" w:sz="4" w:space="0"/>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违约</w:t>
            </w:r>
            <w:r>
              <w:rPr>
                <w:rFonts w:hint="eastAsia" w:ascii="仿宋_GB2312" w:hAnsi="仿宋_GB2312" w:eastAsia="仿宋_GB2312" w:cs="仿宋_GB2312"/>
                <w:b w:val="0"/>
                <w:bCs/>
                <w:color w:val="auto"/>
                <w:sz w:val="24"/>
                <w:szCs w:val="24"/>
                <w:highlight w:val="none"/>
              </w:rPr>
              <w:t>承诺书</w:t>
            </w:r>
          </w:p>
        </w:tc>
        <w:tc>
          <w:tcPr>
            <w:tcW w:w="510" w:type="dxa"/>
            <w:tcBorders>
              <w:top w:val="single" w:color="000000" w:sz="4" w:space="0"/>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val="en-US" w:eastAsia="zh-CN"/>
              </w:rPr>
              <w:t>5</w:t>
            </w:r>
          </w:p>
        </w:tc>
        <w:tc>
          <w:tcPr>
            <w:tcW w:w="6465" w:type="dxa"/>
            <w:tcBorders>
              <w:top w:val="single" w:color="000000" w:sz="4" w:space="0"/>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考察内容：</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投标人需针对本项目提供项目完成服务承诺</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内容包括但不限于：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1.发生质量不合格时的违约承诺。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2.出现工期延误时的违约承诺。</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3.人员未按照招标文件及投标承诺配置的违约承诺。</w:t>
            </w:r>
          </w:p>
          <w:p>
            <w:pPr>
              <w:pStyle w:val="12"/>
              <w:keepNext w:val="0"/>
              <w:keepLines w:val="0"/>
              <w:pageBreakBefore w:val="0"/>
              <w:numPr>
                <w:ilvl w:val="0"/>
                <w:numId w:val="0"/>
              </w:numPr>
              <w:kinsoku/>
              <w:wordWrap/>
              <w:overflowPunct/>
              <w:topLinePunct w:val="0"/>
              <w:autoSpaceDE/>
              <w:autoSpaceDN/>
              <w:bidi w:val="0"/>
              <w:adjustRightInd/>
              <w:spacing w:before="22" w:line="560" w:lineRule="exac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满足以上</w:t>
            </w:r>
            <w:r>
              <w:rPr>
                <w:rFonts w:hint="eastAsia" w:ascii="仿宋_GB2312" w:hAnsi="仿宋_GB2312" w:eastAsia="仿宋_GB2312" w:cs="仿宋_GB2312"/>
                <w:b w:val="0"/>
                <w:bCs/>
                <w:color w:val="auto"/>
                <w:sz w:val="24"/>
                <w:szCs w:val="24"/>
                <w:highlight w:val="none"/>
                <w:lang w:eastAsia="zh-CN"/>
              </w:rPr>
              <w:t>三</w:t>
            </w:r>
            <w:r>
              <w:rPr>
                <w:rFonts w:hint="eastAsia" w:ascii="仿宋_GB2312" w:hAnsi="仿宋_GB2312" w:eastAsia="仿宋_GB2312" w:cs="仿宋_GB2312"/>
                <w:b w:val="0"/>
                <w:bCs/>
                <w:color w:val="auto"/>
                <w:sz w:val="24"/>
                <w:szCs w:val="24"/>
                <w:highlight w:val="none"/>
              </w:rPr>
              <w:t>项要求的评价为优</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w:t>
            </w:r>
          </w:p>
          <w:p>
            <w:pPr>
              <w:pStyle w:val="12"/>
              <w:keepNext w:val="0"/>
              <w:keepLines w:val="0"/>
              <w:pageBreakBefore w:val="0"/>
              <w:numPr>
                <w:ilvl w:val="0"/>
                <w:numId w:val="0"/>
              </w:numPr>
              <w:kinsoku/>
              <w:wordWrap/>
              <w:overflowPunct/>
              <w:topLinePunct w:val="0"/>
              <w:autoSpaceDE/>
              <w:autoSpaceDN/>
              <w:bidi w:val="0"/>
              <w:adjustRightInd/>
              <w:spacing w:before="22" w:line="560" w:lineRule="exact"/>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满足以上</w:t>
            </w:r>
            <w:r>
              <w:rPr>
                <w:rFonts w:hint="eastAsia" w:ascii="仿宋_GB2312" w:hAnsi="仿宋_GB2312" w:eastAsia="仿宋_GB2312" w:cs="仿宋_GB2312"/>
                <w:b w:val="0"/>
                <w:bCs/>
                <w:color w:val="auto"/>
                <w:sz w:val="24"/>
                <w:szCs w:val="24"/>
                <w:highlight w:val="none"/>
                <w:lang w:eastAsia="zh-CN"/>
              </w:rPr>
              <w:t>二</w:t>
            </w:r>
            <w:r>
              <w:rPr>
                <w:rFonts w:hint="eastAsia" w:ascii="仿宋_GB2312" w:hAnsi="仿宋_GB2312" w:eastAsia="仿宋_GB2312" w:cs="仿宋_GB2312"/>
                <w:b w:val="0"/>
                <w:bCs/>
                <w:color w:val="auto"/>
                <w:sz w:val="24"/>
                <w:szCs w:val="24"/>
                <w:highlight w:val="none"/>
              </w:rPr>
              <w:t>项要求的评价为良</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rPr>
              <w:t>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满足以上</w:t>
            </w:r>
            <w:r>
              <w:rPr>
                <w:rFonts w:hint="eastAsia" w:ascii="仿宋_GB2312" w:hAnsi="仿宋_GB2312" w:eastAsia="仿宋_GB2312" w:cs="仿宋_GB2312"/>
                <w:b w:val="0"/>
                <w:bCs/>
                <w:color w:val="auto"/>
                <w:sz w:val="24"/>
                <w:szCs w:val="24"/>
                <w:highlight w:val="none"/>
                <w:lang w:eastAsia="zh-CN"/>
              </w:rPr>
              <w:t>一</w:t>
            </w:r>
            <w:r>
              <w:rPr>
                <w:rFonts w:hint="eastAsia" w:ascii="仿宋_GB2312" w:hAnsi="仿宋_GB2312" w:eastAsia="仿宋_GB2312" w:cs="仿宋_GB2312"/>
                <w:b w:val="0"/>
                <w:bCs/>
                <w:color w:val="auto"/>
                <w:sz w:val="24"/>
                <w:szCs w:val="24"/>
                <w:highlight w:val="none"/>
              </w:rPr>
              <w:t>项要求的评价为中</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1</w:t>
            </w:r>
            <w:r>
              <w:rPr>
                <w:rFonts w:hint="eastAsia" w:ascii="仿宋_GB2312" w:hAnsi="仿宋_GB2312" w:eastAsia="仿宋_GB2312" w:cs="仿宋_GB2312"/>
                <w:b w:val="0"/>
                <w:bCs/>
                <w:color w:val="auto"/>
                <w:sz w:val="24"/>
                <w:szCs w:val="24"/>
                <w:highlight w:val="none"/>
              </w:rPr>
              <w:t>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上述情况之外的</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评差不得分。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7" w:hRule="atLeast"/>
        </w:trPr>
        <w:tc>
          <w:tcPr>
            <w:tcW w:w="49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4</w:t>
            </w:r>
          </w:p>
        </w:tc>
        <w:tc>
          <w:tcPr>
            <w:tcW w:w="915" w:type="dxa"/>
            <w:vMerge w:val="restart"/>
            <w:tcBorders>
              <w:top w:val="single" w:color="000000" w:sz="4" w:space="0"/>
            </w:tcBorders>
            <w:shd w:val="clear" w:color="auto" w:fill="auto"/>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商务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部分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商务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val="en-US" w:eastAsia="zh-CN"/>
              </w:rPr>
              <w:t>部分</w:t>
            </w:r>
          </w:p>
        </w:tc>
        <w:tc>
          <w:tcPr>
            <w:tcW w:w="975" w:type="dxa"/>
            <w:tcBorders>
              <w:top w:val="single" w:color="000000" w:sz="4" w:space="0"/>
            </w:tcBorders>
            <w:shd w:val="clear" w:color="auto" w:fill="auto"/>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rPr>
              <w:t>拟安排的项目团队成员情况</w:t>
            </w:r>
          </w:p>
        </w:tc>
        <w:tc>
          <w:tcPr>
            <w:tcW w:w="510" w:type="dxa"/>
            <w:tcBorders>
              <w:top w:val="single" w:color="000000" w:sz="4" w:space="0"/>
            </w:tcBorders>
            <w:shd w:val="clear" w:color="auto" w:fill="auto"/>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5</w:t>
            </w:r>
          </w:p>
        </w:tc>
        <w:tc>
          <w:tcPr>
            <w:tcW w:w="6465" w:type="dxa"/>
            <w:tcBorders>
              <w:top w:val="single" w:color="000000" w:sz="4" w:space="0"/>
            </w:tcBorders>
            <w:shd w:val="clear" w:color="auto" w:fill="auto"/>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考察内容：（可包含负责人与团队成员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rPr>
              <w:t>主要考察项目</w:t>
            </w:r>
            <w:r>
              <w:rPr>
                <w:rFonts w:hint="eastAsia" w:ascii="仿宋_GB2312" w:hAnsi="仿宋_GB2312" w:eastAsia="仿宋_GB2312" w:cs="仿宋_GB2312"/>
                <w:b w:val="0"/>
                <w:bCs/>
                <w:color w:val="auto"/>
                <w:sz w:val="24"/>
                <w:szCs w:val="24"/>
                <w:highlight w:val="none"/>
                <w:lang w:eastAsia="zh-CN"/>
              </w:rPr>
              <w:t>执行团队</w:t>
            </w:r>
            <w:r>
              <w:rPr>
                <w:rFonts w:hint="eastAsia" w:ascii="仿宋_GB2312" w:hAnsi="仿宋_GB2312" w:eastAsia="仿宋_GB2312" w:cs="仿宋_GB2312"/>
                <w:b w:val="0"/>
                <w:bCs/>
                <w:color w:val="auto"/>
                <w:sz w:val="24"/>
                <w:szCs w:val="24"/>
                <w:highlight w:val="none"/>
              </w:rPr>
              <w:t>专业、学历、项目经验等内容。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执行团队人员≧5人且分工合理得</w:t>
            </w:r>
            <w:r>
              <w:rPr>
                <w:rFonts w:hint="eastAsia" w:ascii="仿宋_GB2312" w:hAnsi="仿宋_GB2312" w:eastAsia="仿宋_GB2312" w:cs="仿宋_GB2312"/>
                <w:b w:val="0"/>
                <w:bCs/>
                <w:color w:val="auto"/>
                <w:sz w:val="24"/>
                <w:szCs w:val="24"/>
                <w:highlight w:val="none"/>
                <w:lang w:val="en-US" w:eastAsia="zh-CN"/>
              </w:rPr>
              <w:t>2</w:t>
            </w:r>
            <w:r>
              <w:rPr>
                <w:rFonts w:hint="eastAsia" w:ascii="仿宋_GB2312" w:hAnsi="仿宋_GB2312" w:eastAsia="仿宋_GB2312" w:cs="仿宋_GB2312"/>
                <w:b w:val="0"/>
                <w:bCs/>
                <w:color w:val="auto"/>
                <w:sz w:val="24"/>
                <w:szCs w:val="24"/>
                <w:highlight w:val="none"/>
                <w:lang w:eastAsia="zh-CN"/>
              </w:rPr>
              <w:t>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执行团队人员≧8人且分工合理得满分</w:t>
            </w:r>
            <w:r>
              <w:rPr>
                <w:rFonts w:hint="eastAsia" w:ascii="仿宋_GB2312" w:hAnsi="仿宋_GB2312" w:eastAsia="仿宋_GB2312" w:cs="仿宋_GB2312"/>
                <w:b w:val="0"/>
                <w:bCs/>
                <w:color w:val="auto"/>
                <w:sz w:val="24"/>
                <w:szCs w:val="24"/>
                <w:highlight w:val="none"/>
                <w:lang w:val="en-US" w:eastAsia="zh-CN"/>
              </w:rPr>
              <w:t>3</w:t>
            </w:r>
            <w:r>
              <w:rPr>
                <w:rFonts w:hint="eastAsia" w:ascii="仿宋_GB2312" w:hAnsi="仿宋_GB2312" w:eastAsia="仿宋_GB2312" w:cs="仿宋_GB2312"/>
                <w:b w:val="0"/>
                <w:bCs/>
                <w:color w:val="auto"/>
                <w:sz w:val="24"/>
                <w:szCs w:val="24"/>
                <w:highlight w:val="none"/>
                <w:lang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本科及以上学历，1分/人  最高1分（附相关证明）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二级美术类职称，1分/人  最高1分（附相关证明）</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满足以上任意</w:t>
            </w:r>
            <w:r>
              <w:rPr>
                <w:rFonts w:hint="eastAsia" w:ascii="仿宋_GB2312" w:hAnsi="仿宋_GB2312" w:eastAsia="仿宋_GB2312" w:cs="仿宋_GB2312"/>
                <w:b w:val="0"/>
                <w:bCs/>
                <w:color w:val="auto"/>
                <w:sz w:val="24"/>
                <w:szCs w:val="24"/>
                <w:highlight w:val="none"/>
                <w:lang w:eastAsia="zh-CN"/>
              </w:rPr>
              <w:t>三点最高分可得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无人员配备说明不得分（注：需列明人员分工明细人数）。</w:t>
            </w:r>
            <w:r>
              <w:rPr>
                <w:rFonts w:hint="eastAsia" w:ascii="仿宋_GB2312" w:hAnsi="仿宋_GB2312" w:eastAsia="仿宋_GB2312" w:cs="仿宋_GB2312"/>
                <w:b w:val="0"/>
                <w:bCs/>
                <w:color w:val="auto"/>
                <w:sz w:val="24"/>
                <w:szCs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77" w:hRule="atLeast"/>
        </w:trPr>
        <w:tc>
          <w:tcPr>
            <w:tcW w:w="49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 xml:space="preserve">  5</w:t>
            </w:r>
          </w:p>
        </w:tc>
        <w:tc>
          <w:tcPr>
            <w:tcW w:w="915" w:type="dxa"/>
            <w:vMerge w:val="continue"/>
            <w:shd w:val="clear" w:color="auto" w:fill="auto"/>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tc>
        <w:tc>
          <w:tcPr>
            <w:tcW w:w="975" w:type="dxa"/>
            <w:shd w:val="clear" w:color="auto" w:fill="auto"/>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rPr>
            </w:pPr>
          </w:p>
          <w:p>
            <w:pPr>
              <w:keepNext w:val="0"/>
              <w:keepLines w:val="0"/>
              <w:pageBreakBefore w:val="0"/>
              <w:kinsoku/>
              <w:wordWrap/>
              <w:overflowPunct/>
              <w:topLinePunct w:val="0"/>
              <w:autoSpaceDE/>
              <w:autoSpaceDN/>
              <w:bidi w:val="0"/>
              <w:adjustRightInd/>
              <w:spacing w:line="560" w:lineRule="exact"/>
              <w:jc w:val="left"/>
              <w:rPr>
                <w:rFonts w:hint="eastAsia" w:ascii="仿宋_GB2312" w:hAnsi="仿宋_GB2312" w:eastAsia="仿宋_GB2312" w:cs="仿宋_GB2312"/>
                <w:b w:val="0"/>
                <w:bCs/>
                <w:color w:val="auto"/>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spacing w:line="560" w:lineRule="exact"/>
              <w:jc w:val="left"/>
              <w:rPr>
                <w:rFonts w:hint="eastAsia" w:ascii="仿宋_GB2312" w:hAnsi="仿宋_GB2312" w:eastAsia="仿宋_GB2312" w:cs="仿宋_GB2312"/>
                <w:b w:val="0"/>
                <w:bCs/>
                <w:color w:val="auto"/>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spacing w:line="560" w:lineRule="exact"/>
              <w:jc w:val="left"/>
              <w:rPr>
                <w:rFonts w:hint="eastAsia"/>
                <w:highlight w:val="none"/>
              </w:rPr>
            </w:pPr>
            <w:r>
              <w:rPr>
                <w:rFonts w:hint="eastAsia" w:ascii="仿宋_GB2312" w:hAnsi="仿宋_GB2312" w:eastAsia="仿宋_GB2312" w:cs="仿宋_GB2312"/>
                <w:b w:val="0"/>
                <w:bCs/>
                <w:color w:val="auto"/>
                <w:kern w:val="2"/>
                <w:sz w:val="24"/>
                <w:szCs w:val="24"/>
                <w:highlight w:val="none"/>
                <w:lang w:val="en-US" w:eastAsia="zh-CN" w:bidi="ar-SA"/>
              </w:rPr>
              <w:t>同类项目业绩</w:t>
            </w:r>
          </w:p>
        </w:tc>
        <w:tc>
          <w:tcPr>
            <w:tcW w:w="510" w:type="dxa"/>
            <w:shd w:val="clear" w:color="auto" w:fill="auto"/>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40" w:firstLineChars="10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40" w:firstLineChars="10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10</w:t>
            </w:r>
          </w:p>
        </w:tc>
        <w:tc>
          <w:tcPr>
            <w:tcW w:w="646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考察内容：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投标人近三年（自2021年9月-2024年9月）具有展览活动策划、设计等同类业绩，提供1个得5分，最高得10分。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1.提供相关证明资料作为得分依据，提供合同关键信息（合同名称页、主要内容页、签订日期及双方签字盖章页）扫描件或复印件加盖投标人公章。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2.同一项目连续续签不重复得分，同一采购单位不重复计分。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宋体" w:eastAsia="仿宋_GB2312" w:cs="仿宋_GB2312"/>
                <w:i w:val="0"/>
                <w:iCs w:val="0"/>
                <w:color w:val="000000"/>
                <w:kern w:val="2"/>
                <w:sz w:val="26"/>
                <w:szCs w:val="26"/>
                <w:highlight w:val="none"/>
                <w:u w:val="none"/>
                <w:lang w:val="en-US" w:eastAsia="zh-CN" w:bidi="ar-SA"/>
              </w:rPr>
            </w:pPr>
            <w:r>
              <w:rPr>
                <w:rFonts w:hint="eastAsia" w:ascii="仿宋_GB2312" w:hAnsi="仿宋_GB2312" w:eastAsia="仿宋_GB2312" w:cs="仿宋_GB2312"/>
                <w:b w:val="0"/>
                <w:bCs/>
                <w:color w:val="auto"/>
                <w:sz w:val="24"/>
                <w:szCs w:val="24"/>
                <w:highlight w:val="none"/>
                <w:lang w:val="en-US" w:eastAsia="zh-CN"/>
              </w:rPr>
              <w:t>3.未提供或未按要求提供或提供的扫描件不清晰导致专家无法判断的，不得分。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7" w:hRule="atLeast"/>
        </w:trPr>
        <w:tc>
          <w:tcPr>
            <w:tcW w:w="495" w:type="dxa"/>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6</w:t>
            </w:r>
          </w:p>
        </w:tc>
        <w:tc>
          <w:tcPr>
            <w:tcW w:w="915" w:type="dxa"/>
            <w:vMerge w:val="continue"/>
            <w:shd w:val="clear" w:color="auto" w:fill="auto"/>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auto"/>
                <w:kern w:val="2"/>
                <w:sz w:val="24"/>
                <w:szCs w:val="24"/>
                <w:highlight w:val="none"/>
                <w:lang w:val="en-US" w:eastAsia="zh-CN" w:bidi="ar-SA"/>
              </w:rPr>
            </w:pPr>
          </w:p>
        </w:tc>
        <w:tc>
          <w:tcPr>
            <w:tcW w:w="975" w:type="dxa"/>
            <w:shd w:val="clear" w:color="auto" w:fill="auto"/>
            <w:noWrap w:val="0"/>
            <w:vAlign w:val="top"/>
          </w:tcPr>
          <w:p>
            <w:pPr>
              <w:keepNext w:val="0"/>
              <w:keepLines w:val="0"/>
              <w:pageBreakBefore w:val="0"/>
              <w:kinsoku/>
              <w:wordWrap/>
              <w:overflowPunct/>
              <w:topLinePunct w:val="0"/>
              <w:autoSpaceDE/>
              <w:autoSpaceDN/>
              <w:bidi w:val="0"/>
              <w:adjustRightInd/>
              <w:spacing w:line="560" w:lineRule="exact"/>
              <w:ind w:firstLine="281" w:firstLineChars="0"/>
              <w:jc w:val="center"/>
              <w:rPr>
                <w:rFonts w:hint="eastAsia" w:ascii="仿宋_GB2312" w:hAnsi="仿宋_GB2312" w:eastAsia="仿宋_GB2312" w:cs="仿宋_GB2312"/>
                <w:b w:val="0"/>
                <w:bCs/>
                <w:color w:val="auto"/>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诚信评价</w:t>
            </w:r>
          </w:p>
        </w:tc>
        <w:tc>
          <w:tcPr>
            <w:tcW w:w="510" w:type="dxa"/>
            <w:shd w:val="clear" w:color="auto" w:fill="auto"/>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5</w:t>
            </w:r>
          </w:p>
        </w:tc>
        <w:tc>
          <w:tcPr>
            <w:tcW w:w="6465"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仿宋_GB2312" w:hAnsi="宋体" w:eastAsia="仿宋_GB2312" w:cs="仿宋_GB2312"/>
                <w:i w:val="0"/>
                <w:iCs w:val="0"/>
                <w:color w:val="000000"/>
                <w:kern w:val="2"/>
                <w:sz w:val="26"/>
                <w:szCs w:val="26"/>
                <w:highlight w:val="none"/>
                <w:u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考察内容：投标人在参与政府采购活动中不存在诚信相关问题且不在主管部门相关处理措施实施期限内的。提供《诚信承诺函》得5分，未提供不得分，格式自拟。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7" w:hRule="atLeast"/>
        </w:trPr>
        <w:tc>
          <w:tcPr>
            <w:tcW w:w="495" w:type="dxa"/>
            <w:tcBorders>
              <w:bottom w:val="single" w:color="000000" w:sz="4" w:space="0"/>
            </w:tcBorders>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7</w:t>
            </w:r>
          </w:p>
        </w:tc>
        <w:tc>
          <w:tcPr>
            <w:tcW w:w="915" w:type="dxa"/>
            <w:tcBorders>
              <w:bottom w:val="single" w:color="000000" w:sz="4" w:space="0"/>
            </w:tcBorders>
            <w:shd w:val="clear" w:color="auto" w:fill="auto"/>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val="0"/>
                <w:bCs/>
                <w:color w:val="auto"/>
                <w:kern w:val="2"/>
                <w:sz w:val="24"/>
                <w:szCs w:val="24"/>
                <w:highlight w:val="none"/>
                <w:lang w:val="en-US" w:eastAsia="zh-CN" w:bidi="ar-SA"/>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报价</w:t>
            </w:r>
          </w:p>
        </w:tc>
        <w:tc>
          <w:tcPr>
            <w:tcW w:w="975" w:type="dxa"/>
            <w:tcBorders>
              <w:bottom w:val="single" w:color="000000" w:sz="4" w:space="0"/>
            </w:tcBorders>
            <w:shd w:val="clear" w:color="auto" w:fill="auto"/>
            <w:noWrap w:val="0"/>
            <w:vAlign w:val="top"/>
          </w:tcPr>
          <w:p>
            <w:pPr>
              <w:keepNext w:val="0"/>
              <w:keepLines w:val="0"/>
              <w:pageBreakBefore w:val="0"/>
              <w:kinsoku/>
              <w:wordWrap/>
              <w:overflowPunct/>
              <w:topLinePunct w:val="0"/>
              <w:autoSpaceDE/>
              <w:autoSpaceDN/>
              <w:bidi w:val="0"/>
              <w:adjustRightInd/>
              <w:spacing w:line="560" w:lineRule="exact"/>
              <w:jc w:val="center"/>
              <w:rPr>
                <w:rFonts w:hint="eastAsia" w:ascii="仿宋_GB2312" w:hAnsi="仿宋_GB2312" w:eastAsia="仿宋_GB2312" w:cs="仿宋_GB2312"/>
                <w:b w:val="0"/>
                <w:bCs/>
                <w:color w:val="auto"/>
                <w:kern w:val="2"/>
                <w:sz w:val="24"/>
                <w:szCs w:val="24"/>
                <w:highlight w:val="none"/>
                <w:lang w:val="en-US" w:eastAsia="zh-CN" w:bidi="ar-SA"/>
              </w:rPr>
            </w:pPr>
          </w:p>
          <w:p>
            <w:pPr>
              <w:keepNext w:val="0"/>
              <w:keepLines w:val="0"/>
              <w:pageBreakBefore w:val="0"/>
              <w:kinsoku/>
              <w:wordWrap/>
              <w:overflowPunct/>
              <w:topLinePunct w:val="0"/>
              <w:autoSpaceDE/>
              <w:autoSpaceDN/>
              <w:bidi w:val="0"/>
              <w:adjustRightInd/>
              <w:spacing w:line="560" w:lineRule="exact"/>
              <w:jc w:val="center"/>
              <w:rPr>
                <w:rFonts w:hint="default"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报价</w:t>
            </w:r>
          </w:p>
        </w:tc>
        <w:tc>
          <w:tcPr>
            <w:tcW w:w="510" w:type="dxa"/>
            <w:tcBorders>
              <w:bottom w:val="single" w:color="000000" w:sz="4" w:space="0"/>
            </w:tcBorders>
            <w:shd w:val="clear" w:color="auto" w:fill="auto"/>
            <w:noWrap w:val="0"/>
            <w:vAlign w:val="top"/>
          </w:tcPr>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240" w:firstLineChars="100"/>
              <w:jc w:val="center"/>
              <w:textAlignment w:val="auto"/>
              <w:outlineLvl w:val="9"/>
              <w:rPr>
                <w:rFonts w:hint="eastAsia" w:ascii="仿宋_GB2312" w:hAnsi="仿宋_GB2312" w:eastAsia="仿宋_GB2312" w:cs="仿宋_GB2312"/>
                <w:b w:val="0"/>
                <w:bCs/>
                <w:color w:val="auto"/>
                <w:sz w:val="24"/>
                <w:szCs w:val="24"/>
                <w:highlight w:val="no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30</w:t>
            </w:r>
          </w:p>
        </w:tc>
        <w:tc>
          <w:tcPr>
            <w:tcW w:w="6465" w:type="dxa"/>
            <w:tcBorders>
              <w:bottom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left"/>
              <w:textAlignment w:val="center"/>
              <w:rPr>
                <w:rFonts w:hint="eastAsia" w:ascii="仿宋_GB2312" w:hAnsi="宋体" w:eastAsia="仿宋_GB2312" w:cs="仿宋_GB2312"/>
                <w:i w:val="0"/>
                <w:iCs w:val="0"/>
                <w:color w:val="000000"/>
                <w:kern w:val="2"/>
                <w:sz w:val="26"/>
                <w:szCs w:val="26"/>
                <w:highlight w:val="none"/>
                <w:u w:val="none"/>
                <w:lang w:val="en-US" w:eastAsia="zh-CN" w:bidi="ar-SA"/>
              </w:rPr>
            </w:pPr>
            <w:r>
              <w:rPr>
                <w:rFonts w:hint="eastAsia" w:ascii="仿宋_GB2312" w:hAnsi="仿宋_GB2312" w:eastAsia="仿宋_GB2312" w:cs="仿宋_GB2312"/>
                <w:b w:val="0"/>
                <w:bCs/>
                <w:color w:val="auto"/>
                <w:kern w:val="2"/>
                <w:sz w:val="24"/>
                <w:szCs w:val="24"/>
                <w:highlight w:val="none"/>
                <w:lang w:val="en-US" w:eastAsia="zh-CN" w:bidi="ar-SA"/>
              </w:rPr>
              <w:t>以本次报价或投标人所报的有效报价中的最低价作为基准报价。投标人报价得分=（基准价/投标人报价）*30分。</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rPr>
      </w:pPr>
      <w:r>
        <w:rPr>
          <w:rFonts w:hint="eastAsia" w:ascii="仿宋_GB2312" w:hAnsi="仿宋_GB2312" w:eastAsia="仿宋_GB2312" w:cs="仿宋_GB2312"/>
          <w:b w:val="0"/>
          <w:bCs/>
          <w:color w:val="auto"/>
          <w:sz w:val="24"/>
          <w:szCs w:val="24"/>
          <w:highlight w:val="none"/>
          <w:lang w:eastAsia="zh-CN"/>
        </w:rPr>
        <w:t>注：不提供证明文件或提供的证明文件不合格者，不得分</w:t>
      </w:r>
      <w:r>
        <w:rPr>
          <w:rFonts w:hint="eastAsia"/>
          <w:color w:val="auto"/>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楷体" w:hAnsi="楷体" w:eastAsia="楷体" w:cs="楷体"/>
          <w:color w:val="auto"/>
          <w:sz w:val="32"/>
          <w:szCs w:val="32"/>
          <w:highlight w:val="none"/>
        </w:rPr>
      </w:pPr>
      <w:r>
        <w:rPr>
          <w:rFonts w:hint="eastAsia" w:ascii="仿宋_GB2312" w:hAnsi="仿宋_GB2312" w:eastAsia="仿宋_GB2312" w:cs="仿宋_GB2312"/>
          <w:b w:val="0"/>
          <w:bCs w:val="0"/>
          <w:kern w:val="2"/>
          <w:sz w:val="32"/>
          <w:szCs w:val="32"/>
          <w:highlight w:val="none"/>
          <w:lang w:val="en-US" w:eastAsia="zh-CN" w:bidi="ar-SA"/>
        </w:rPr>
        <w:t>（四）供应商提供资料清单</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1.营业执照、事业单位法人证书、社会团体法人登记证书（加盖公章）；</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2.法定代表人身份证复印件（加盖公章）；</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3.项目报价清单（加盖公章）；</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4.评分规则所需资料（同类业绩证明、方案等）</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5.供应商或合作公司的印刷经营许可证（加盖公章）及合作协议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 w:eastAsia="zh-CN" w:bidi="ar-SA"/>
        </w:rPr>
      </w:pPr>
      <w:r>
        <w:rPr>
          <w:rFonts w:hint="eastAsia" w:ascii="仿宋_GB2312" w:hAnsi="仿宋_GB2312" w:eastAsia="仿宋_GB2312" w:cs="仿宋_GB2312"/>
          <w:b w:val="0"/>
          <w:bCs w:val="0"/>
          <w:kern w:val="2"/>
          <w:sz w:val="32"/>
          <w:szCs w:val="32"/>
          <w:highlight w:val="none"/>
          <w:lang w:val="en" w:eastAsia="zh-CN" w:bidi="ar-SA"/>
        </w:rPr>
        <w:t>所需资料：营业执照、法人身份证复印件、报价单（一式七份每页盖章）注：供应商需邮寄7份密封纸质版投标资料至本单位，并在封面备注“XX项目+公司全称+日期+联系人+联系方式”。</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 w:eastAsia="zh-CN" w:bidi="ar-SA"/>
        </w:rPr>
      </w:pPr>
      <w:r>
        <w:rPr>
          <w:rFonts w:hint="eastAsia" w:ascii="仿宋_GB2312" w:hAnsi="仿宋_GB2312" w:eastAsia="仿宋_GB2312" w:cs="仿宋_GB2312"/>
          <w:b w:val="0"/>
          <w:bCs w:val="0"/>
          <w:kern w:val="2"/>
          <w:sz w:val="32"/>
          <w:szCs w:val="32"/>
          <w:highlight w:val="none"/>
          <w:lang w:val="en" w:eastAsia="zh-CN" w:bidi="ar-SA"/>
        </w:rPr>
        <w:t>地址：深圳市龙华区维雅德大厦富康行政办公区</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 w:eastAsia="zh-CN" w:bidi="ar-SA"/>
        </w:rPr>
      </w:pPr>
      <w:r>
        <w:rPr>
          <w:rFonts w:hint="eastAsia" w:ascii="仿宋_GB2312" w:hAnsi="仿宋_GB2312" w:eastAsia="仿宋_GB2312" w:cs="仿宋_GB2312"/>
          <w:b w:val="0"/>
          <w:bCs w:val="0"/>
          <w:kern w:val="2"/>
          <w:sz w:val="32"/>
          <w:szCs w:val="32"/>
          <w:highlight w:val="none"/>
          <w:lang w:val="en" w:eastAsia="zh-CN" w:bidi="ar-SA"/>
        </w:rPr>
        <w:t>电话：0755-23338140</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 w:eastAsia="zh-CN" w:bidi="ar-SA"/>
        </w:rPr>
      </w:pPr>
      <w:r>
        <w:rPr>
          <w:rFonts w:hint="eastAsia" w:ascii="仿宋_GB2312" w:hAnsi="仿宋_GB2312" w:eastAsia="仿宋_GB2312" w:cs="仿宋_GB2312"/>
          <w:b w:val="0"/>
          <w:bCs w:val="0"/>
          <w:kern w:val="2"/>
          <w:sz w:val="32"/>
          <w:szCs w:val="32"/>
          <w:highlight w:val="none"/>
          <w:lang w:val="en" w:eastAsia="zh-CN" w:bidi="ar-SA"/>
        </w:rPr>
        <w:t>收件人：吴先生</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val="0"/>
          <w:kern w:val="2"/>
          <w:sz w:val="32"/>
          <w:szCs w:val="32"/>
          <w:highlight w:val="none"/>
          <w:lang w:val="en-US" w:eastAsia="zh-CN" w:bidi="ar-SA"/>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692DD"/>
    <w:multiLevelType w:val="singleLevel"/>
    <w:tmpl w:val="CC0692DD"/>
    <w:lvl w:ilvl="0" w:tentative="0">
      <w:start w:val="3"/>
      <w:numFmt w:val="chineseCounting"/>
      <w:suff w:val="nothing"/>
      <w:lvlText w:val="%1、"/>
      <w:lvlJc w:val="left"/>
      <w:rPr>
        <w:rFonts w:hint="eastAsia"/>
      </w:rPr>
    </w:lvl>
  </w:abstractNum>
  <w:abstractNum w:abstractNumId="1">
    <w:nsid w:val="D2D70964"/>
    <w:multiLevelType w:val="singleLevel"/>
    <w:tmpl w:val="D2D70964"/>
    <w:lvl w:ilvl="0" w:tentative="0">
      <w:start w:val="1"/>
      <w:numFmt w:val="decimal"/>
      <w:suff w:val="nothing"/>
      <w:lvlText w:val="（%1）"/>
      <w:lvlJc w:val="left"/>
    </w:lvl>
  </w:abstractNum>
  <w:abstractNum w:abstractNumId="2">
    <w:nsid w:val="7E2A72D5"/>
    <w:multiLevelType w:val="singleLevel"/>
    <w:tmpl w:val="7E2A72D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Tc4NWI2MTI2ZmY2NjQ4NDAwNjY2NzRiZTZkMzUifQ=="/>
  </w:docVars>
  <w:rsids>
    <w:rsidRoot w:val="00000000"/>
    <w:rsid w:val="01633310"/>
    <w:rsid w:val="016A7F21"/>
    <w:rsid w:val="01D73A77"/>
    <w:rsid w:val="01EA6D36"/>
    <w:rsid w:val="04425FE9"/>
    <w:rsid w:val="06DA0D95"/>
    <w:rsid w:val="07190E87"/>
    <w:rsid w:val="086F2DE5"/>
    <w:rsid w:val="08A163A0"/>
    <w:rsid w:val="0A960422"/>
    <w:rsid w:val="0EDF0A68"/>
    <w:rsid w:val="0EE64175"/>
    <w:rsid w:val="0EF97BEC"/>
    <w:rsid w:val="10232DC4"/>
    <w:rsid w:val="135161AB"/>
    <w:rsid w:val="17C54059"/>
    <w:rsid w:val="18071FCF"/>
    <w:rsid w:val="190937BA"/>
    <w:rsid w:val="19FE07AD"/>
    <w:rsid w:val="1A872550"/>
    <w:rsid w:val="1DD67375"/>
    <w:rsid w:val="1EBB04D2"/>
    <w:rsid w:val="24A76BBD"/>
    <w:rsid w:val="24C40893"/>
    <w:rsid w:val="26492DAF"/>
    <w:rsid w:val="27F21FA9"/>
    <w:rsid w:val="2D676E11"/>
    <w:rsid w:val="2F5D7D7B"/>
    <w:rsid w:val="31474386"/>
    <w:rsid w:val="33DA32A3"/>
    <w:rsid w:val="36643DCC"/>
    <w:rsid w:val="377269C0"/>
    <w:rsid w:val="3A902289"/>
    <w:rsid w:val="3B5F2C69"/>
    <w:rsid w:val="3BC828E5"/>
    <w:rsid w:val="3C6514A3"/>
    <w:rsid w:val="3D65276D"/>
    <w:rsid w:val="3E2E2D33"/>
    <w:rsid w:val="41A97703"/>
    <w:rsid w:val="448C6775"/>
    <w:rsid w:val="44D14254"/>
    <w:rsid w:val="45282979"/>
    <w:rsid w:val="454B437B"/>
    <w:rsid w:val="46036BD7"/>
    <w:rsid w:val="4638732F"/>
    <w:rsid w:val="463B406B"/>
    <w:rsid w:val="470E79D1"/>
    <w:rsid w:val="471B1D60"/>
    <w:rsid w:val="48622318"/>
    <w:rsid w:val="4AD359CF"/>
    <w:rsid w:val="4BD00748"/>
    <w:rsid w:val="4DA31267"/>
    <w:rsid w:val="4DAE7804"/>
    <w:rsid w:val="51210833"/>
    <w:rsid w:val="57765F28"/>
    <w:rsid w:val="59DC1CDE"/>
    <w:rsid w:val="5A7C5B34"/>
    <w:rsid w:val="5B2B72D6"/>
    <w:rsid w:val="5BAC5634"/>
    <w:rsid w:val="5BCE6B7B"/>
    <w:rsid w:val="5DC33DFB"/>
    <w:rsid w:val="5FEB05D3"/>
    <w:rsid w:val="606D7817"/>
    <w:rsid w:val="617D335B"/>
    <w:rsid w:val="62C76F5B"/>
    <w:rsid w:val="630A6E47"/>
    <w:rsid w:val="63CC094C"/>
    <w:rsid w:val="6455366E"/>
    <w:rsid w:val="67DF0BC7"/>
    <w:rsid w:val="67E45EB9"/>
    <w:rsid w:val="68186D9C"/>
    <w:rsid w:val="6D103906"/>
    <w:rsid w:val="6D5075A4"/>
    <w:rsid w:val="6E7023C0"/>
    <w:rsid w:val="704C4F43"/>
    <w:rsid w:val="739369E5"/>
    <w:rsid w:val="744D43E5"/>
    <w:rsid w:val="75C83804"/>
    <w:rsid w:val="761F36A2"/>
    <w:rsid w:val="77FDA924"/>
    <w:rsid w:val="7BF6E376"/>
    <w:rsid w:val="7BF73FB5"/>
    <w:rsid w:val="7CFF6260"/>
    <w:rsid w:val="7FB37DD1"/>
    <w:rsid w:val="8794E322"/>
    <w:rsid w:val="F7D64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 A"/>
    <w:next w:val="9"/>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等线" w:hAnsi="等线" w:eastAsia="等线" w:cs="等线"/>
      <w:color w:val="000000"/>
      <w:spacing w:val="0"/>
      <w:w w:val="100"/>
      <w:kern w:val="2"/>
      <w:position w:val="0"/>
      <w:sz w:val="21"/>
      <w:szCs w:val="21"/>
      <w:u w:val="none" w:color="000000"/>
      <w:shd w:val="clear" w:color="auto" w:fill="auto"/>
      <w:vertAlign w:val="baseline"/>
      <w:lang w:val="en-US"/>
    </w:rPr>
  </w:style>
  <w:style w:type="paragraph" w:customStyle="1" w:styleId="9">
    <w:name w:val="文本块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426"/>
      </w:tabs>
      <w:suppressAutoHyphens w:val="0"/>
      <w:bidi w:val="0"/>
      <w:spacing w:before="0" w:beforeAutospacing="0" w:after="120" w:afterAutospacing="0" w:line="240" w:lineRule="auto"/>
      <w:ind w:left="1440" w:right="1440" w:firstLine="0"/>
      <w:jc w:val="both"/>
      <w:outlineLvl w:val="9"/>
    </w:pPr>
    <w:rPr>
      <w:rFonts w:ascii="等线" w:hAnsi="等线" w:eastAsia="等线" w:cs="等线"/>
      <w:color w:val="000000"/>
      <w:spacing w:val="0"/>
      <w:w w:val="100"/>
      <w:kern w:val="2"/>
      <w:position w:val="0"/>
      <w:sz w:val="21"/>
      <w:szCs w:val="21"/>
      <w:u w:val="none" w:color="000000"/>
      <w:shd w:val="clear" w:color="auto" w:fill="auto"/>
      <w:vertAlign w:val="baseline"/>
      <w:lang w:val="en-US"/>
    </w:rPr>
  </w:style>
  <w:style w:type="paragraph" w:customStyle="1" w:styleId="10">
    <w:name w:val="USE 1"/>
    <w:basedOn w:val="1"/>
    <w:qFormat/>
    <w:uiPriority w:val="0"/>
    <w:pPr>
      <w:spacing w:line="200" w:lineRule="atLeast"/>
      <w:jc w:val="left"/>
    </w:pPr>
    <w:rPr>
      <w:rFonts w:ascii="宋体" w:hAnsi="宋体"/>
      <w:b/>
      <w:sz w:val="24"/>
      <w:szCs w:val="28"/>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仿宋" w:hAnsi="仿宋" w:eastAsia="仿宋" w:cs="仿宋"/>
      <w:sz w:val="15"/>
      <w:szCs w:val="15"/>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2745</Words>
  <Characters>2978</Characters>
  <Lines>0</Lines>
  <Paragraphs>0</Paragraphs>
  <TotalTime>2</TotalTime>
  <ScaleCrop>false</ScaleCrop>
  <LinksUpToDate>false</LinksUpToDate>
  <CharactersWithSpaces>2995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2024-01-08T17:29:00Z</dcterms:created>
  <dc:creator>hi_li</dc:creator>
  <cp:lastModifiedBy>lxy</cp:lastModifiedBy>
  <cp:lastPrinted>2024-09-11T11:36:00Z</cp:lastPrinted>
  <dcterms:modified xsi:type="dcterms:W3CDTF">2024-10-15T17:50:03Z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5A442334BDBA4A21BBC80700AE5CDD5A_13</vt:lpwstr>
  </property>
</Properties>
</file>