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500" w:lineRule="atLeast"/>
        <w:jc w:val="center"/>
        <w:outlineLvl w:val="3"/>
        <w:rPr>
          <w:rFonts w:hint="eastAsia" w:ascii="方正小标宋_GBK" w:hAnsi="宋体" w:eastAsia="方正小标宋_GBK" w:cs="宋体"/>
          <w:color w:val="000000"/>
          <w:kern w:val="0"/>
          <w:sz w:val="44"/>
          <w:szCs w:val="44"/>
        </w:rPr>
      </w:pPr>
      <w:r>
        <w:rPr>
          <w:rFonts w:hint="eastAsia" w:ascii="Nimbus Roman No9 L" w:hAnsi="Nimbus Roman No9 L" w:cs="Nimbus Roman No9 L"/>
          <w:sz w:val="32"/>
          <w:szCs w:val="32"/>
        </w:rPr>
        <w:t>一套表</w:t>
      </w:r>
      <w:r>
        <w:rPr>
          <w:rFonts w:hint="eastAsia" w:ascii="宋体" w:hAnsi="宋体" w:eastAsia="宋体" w:cs="宋体"/>
          <w:color w:val="000000"/>
          <w:kern w:val="0"/>
          <w:sz w:val="32"/>
          <w:szCs w:val="32"/>
        </w:rPr>
        <w:t>调查单位年度</w:t>
      </w:r>
      <w:r>
        <w:rPr>
          <w:rFonts w:hint="eastAsia" w:ascii="宋体" w:hAnsi="宋体" w:eastAsia="宋体" w:cs="宋体"/>
          <w:color w:val="000000"/>
          <w:kern w:val="0"/>
          <w:sz w:val="32"/>
          <w:szCs w:val="32"/>
          <w:lang w:val="en-US" w:eastAsia="zh-CN"/>
        </w:rPr>
        <w:t>退出申报</w:t>
      </w:r>
      <w:r>
        <w:rPr>
          <w:rFonts w:hint="eastAsia" w:ascii="宋体" w:hAnsi="宋体" w:eastAsia="宋体" w:cs="宋体"/>
          <w:color w:val="000000"/>
          <w:kern w:val="0"/>
          <w:sz w:val="32"/>
          <w:szCs w:val="32"/>
        </w:rPr>
        <w:t>表</w:t>
      </w:r>
    </w:p>
    <w:tbl>
      <w:tblPr>
        <w:tblStyle w:val="4"/>
        <w:tblW w:w="9514" w:type="dxa"/>
        <w:jc w:val="center"/>
        <w:tblLayout w:type="fixed"/>
        <w:tblCellMar>
          <w:top w:w="0" w:type="dxa"/>
          <w:left w:w="108" w:type="dxa"/>
          <w:bottom w:w="0" w:type="dxa"/>
          <w:right w:w="108" w:type="dxa"/>
        </w:tblCellMar>
      </w:tblPr>
      <w:tblGrid>
        <w:gridCol w:w="2538"/>
        <w:gridCol w:w="2137"/>
        <w:gridCol w:w="678"/>
        <w:gridCol w:w="599"/>
        <w:gridCol w:w="1022"/>
        <w:gridCol w:w="371"/>
        <w:gridCol w:w="664"/>
        <w:gridCol w:w="1505"/>
      </w:tblGrid>
      <w:tr>
        <w:tblPrEx>
          <w:tblCellMar>
            <w:top w:w="0" w:type="dxa"/>
            <w:left w:w="108" w:type="dxa"/>
            <w:bottom w:w="0" w:type="dxa"/>
            <w:right w:w="108" w:type="dxa"/>
          </w:tblCellMar>
        </w:tblPrEx>
        <w:trPr>
          <w:trHeight w:val="276" w:hRule="exact"/>
          <w:jc w:val="center"/>
        </w:trPr>
        <w:tc>
          <w:tcPr>
            <w:tcW w:w="2538" w:type="dxa"/>
            <w:vMerge w:val="restart"/>
            <w:noWrap w:val="0"/>
            <w:tcMar>
              <w:left w:w="0" w:type="dxa"/>
              <w:right w:w="0" w:type="dxa"/>
            </w:tcMar>
            <w:vAlign w:val="top"/>
          </w:tcPr>
          <w:p>
            <w:pPr>
              <w:spacing w:line="240" w:lineRule="exact"/>
              <w:jc w:val="left"/>
              <w:rPr>
                <w:rFonts w:ascii="Nimbus Roman No9 L" w:hAnsi="Nimbus Roman No9 L" w:cs="Nimbus Roman No9 L"/>
                <w:sz w:val="32"/>
                <w:szCs w:val="32"/>
              </w:rPr>
            </w:pPr>
          </w:p>
        </w:tc>
        <w:tc>
          <w:tcPr>
            <w:tcW w:w="2815" w:type="dxa"/>
            <w:gridSpan w:val="2"/>
            <w:noWrap w:val="0"/>
            <w:vAlign w:val="top"/>
          </w:tcPr>
          <w:p>
            <w:pPr>
              <w:spacing w:line="240" w:lineRule="exact"/>
              <w:jc w:val="center"/>
              <w:rPr>
                <w:rFonts w:ascii="Nimbus Roman No9 L" w:hAnsi="Nimbus Roman No9 L" w:cs="Nimbus Roman No9 L"/>
                <w:sz w:val="32"/>
                <w:szCs w:val="32"/>
              </w:rPr>
            </w:pPr>
          </w:p>
        </w:tc>
        <w:tc>
          <w:tcPr>
            <w:tcW w:w="599" w:type="dxa"/>
            <w:noWrap w:val="0"/>
            <w:vAlign w:val="top"/>
          </w:tcPr>
          <w:p>
            <w:pPr>
              <w:spacing w:line="240" w:lineRule="exact"/>
              <w:jc w:val="center"/>
              <w:rPr>
                <w:rFonts w:ascii="Nimbus Roman No9 L" w:hAnsi="Nimbus Roman No9 L" w:cs="Nimbus Roman No9 L"/>
                <w:sz w:val="32"/>
                <w:szCs w:val="32"/>
              </w:rPr>
            </w:pPr>
          </w:p>
        </w:tc>
        <w:tc>
          <w:tcPr>
            <w:tcW w:w="139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表    号：</w:t>
            </w:r>
          </w:p>
        </w:tc>
        <w:tc>
          <w:tcPr>
            <w:tcW w:w="2169"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default" w:ascii="宋体" w:hAnsi="宋体" w:cs="宋体"/>
                <w:sz w:val="18"/>
                <w:szCs w:val="18"/>
                <w:lang w:val="en-US"/>
              </w:rPr>
              <w:t>J104</w:t>
            </w:r>
            <w:r>
              <w:rPr>
                <w:rFonts w:hint="eastAsia" w:ascii="宋体" w:hAnsi="宋体" w:cs="宋体"/>
                <w:sz w:val="18"/>
                <w:szCs w:val="18"/>
              </w:rPr>
              <w:t>表</w:t>
            </w:r>
          </w:p>
        </w:tc>
      </w:tr>
      <w:tr>
        <w:tblPrEx>
          <w:tblCellMar>
            <w:top w:w="0" w:type="dxa"/>
            <w:left w:w="108" w:type="dxa"/>
            <w:bottom w:w="0" w:type="dxa"/>
            <w:right w:w="108" w:type="dxa"/>
          </w:tblCellMar>
        </w:tblPrEx>
        <w:trPr>
          <w:trHeight w:val="244" w:hRule="exact"/>
          <w:jc w:val="center"/>
        </w:trPr>
        <w:tc>
          <w:tcPr>
            <w:tcW w:w="2538" w:type="dxa"/>
            <w:vMerge w:val="continue"/>
            <w:noWrap w:val="0"/>
            <w:tcMar>
              <w:left w:w="0" w:type="dxa"/>
              <w:right w:w="0" w:type="dxa"/>
            </w:tcMar>
            <w:vAlign w:val="top"/>
          </w:tcPr>
          <w:p>
            <w:pPr>
              <w:spacing w:line="240" w:lineRule="exact"/>
              <w:jc w:val="center"/>
              <w:rPr>
                <w:rFonts w:ascii="Nimbus Roman No9 L" w:hAnsi="Nimbus Roman No9 L" w:cs="Nimbus Roman No9 L"/>
                <w:sz w:val="32"/>
                <w:szCs w:val="32"/>
              </w:rPr>
            </w:pPr>
          </w:p>
        </w:tc>
        <w:tc>
          <w:tcPr>
            <w:tcW w:w="2815" w:type="dxa"/>
            <w:gridSpan w:val="2"/>
            <w:noWrap w:val="0"/>
            <w:vAlign w:val="top"/>
          </w:tcPr>
          <w:p>
            <w:pPr>
              <w:spacing w:line="240" w:lineRule="exact"/>
              <w:jc w:val="center"/>
              <w:rPr>
                <w:rFonts w:ascii="Nimbus Roman No9 L" w:hAnsi="Nimbus Roman No9 L" w:cs="Nimbus Roman No9 L"/>
                <w:sz w:val="32"/>
                <w:szCs w:val="32"/>
              </w:rPr>
            </w:pPr>
          </w:p>
        </w:tc>
        <w:tc>
          <w:tcPr>
            <w:tcW w:w="599" w:type="dxa"/>
            <w:noWrap w:val="0"/>
            <w:vAlign w:val="top"/>
          </w:tcPr>
          <w:p>
            <w:pPr>
              <w:spacing w:line="240" w:lineRule="exact"/>
              <w:jc w:val="center"/>
              <w:rPr>
                <w:rFonts w:ascii="Nimbus Roman No9 L" w:hAnsi="Nimbus Roman No9 L" w:cs="Nimbus Roman No9 L"/>
                <w:sz w:val="32"/>
                <w:szCs w:val="32"/>
              </w:rPr>
            </w:pPr>
          </w:p>
        </w:tc>
        <w:tc>
          <w:tcPr>
            <w:tcW w:w="1393" w:type="dxa"/>
            <w:gridSpan w:val="2"/>
            <w:noWrap w:val="0"/>
            <w:vAlign w:val="top"/>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制定机关：</w:t>
            </w:r>
          </w:p>
        </w:tc>
        <w:tc>
          <w:tcPr>
            <w:tcW w:w="2169" w:type="dxa"/>
            <w:gridSpan w:val="2"/>
            <w:noWrap w:val="0"/>
            <w:vAlign w:val="center"/>
          </w:tcPr>
          <w:p>
            <w:pPr>
              <w:spacing w:line="20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rPr>
          <w:trHeight w:val="255" w:hRule="exact"/>
          <w:jc w:val="center"/>
        </w:trPr>
        <w:tc>
          <w:tcPr>
            <w:tcW w:w="2538" w:type="dxa"/>
            <w:vMerge w:val="continue"/>
            <w:noWrap w:val="0"/>
            <w:tcMar>
              <w:left w:w="0" w:type="dxa"/>
              <w:right w:w="0" w:type="dxa"/>
            </w:tcMar>
            <w:vAlign w:val="top"/>
          </w:tcPr>
          <w:p>
            <w:pPr>
              <w:spacing w:line="240" w:lineRule="exact"/>
              <w:rPr>
                <w:rFonts w:ascii="Nimbus Roman No9 L" w:hAnsi="Nimbus Roman No9 L" w:cs="Nimbus Roman No9 L"/>
                <w:sz w:val="32"/>
                <w:szCs w:val="32"/>
              </w:rPr>
            </w:pPr>
          </w:p>
        </w:tc>
        <w:tc>
          <w:tcPr>
            <w:tcW w:w="2815" w:type="dxa"/>
            <w:gridSpan w:val="2"/>
            <w:noWrap w:val="0"/>
            <w:vAlign w:val="top"/>
          </w:tcPr>
          <w:p>
            <w:pPr>
              <w:spacing w:line="240" w:lineRule="exact"/>
              <w:jc w:val="center"/>
              <w:rPr>
                <w:rFonts w:ascii="Nimbus Roman No9 L" w:hAnsi="Nimbus Roman No9 L" w:cs="Nimbus Roman No9 L"/>
                <w:sz w:val="32"/>
                <w:szCs w:val="32"/>
              </w:rPr>
            </w:pPr>
          </w:p>
        </w:tc>
        <w:tc>
          <w:tcPr>
            <w:tcW w:w="599" w:type="dxa"/>
            <w:noWrap w:val="0"/>
            <w:vAlign w:val="top"/>
          </w:tcPr>
          <w:p>
            <w:pPr>
              <w:spacing w:line="240" w:lineRule="exact"/>
              <w:jc w:val="center"/>
              <w:rPr>
                <w:rFonts w:ascii="Nimbus Roman No9 L" w:hAnsi="Nimbus Roman No9 L" w:cs="Nimbus Roman No9 L"/>
                <w:sz w:val="32"/>
                <w:szCs w:val="32"/>
              </w:rPr>
            </w:pPr>
          </w:p>
        </w:tc>
        <w:tc>
          <w:tcPr>
            <w:tcW w:w="139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文    号：</w:t>
            </w:r>
          </w:p>
        </w:tc>
        <w:tc>
          <w:tcPr>
            <w:tcW w:w="2169"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国统字〔２０２</w:t>
            </w:r>
            <w:r>
              <w:rPr>
                <w:rFonts w:hint="default" w:ascii="宋体" w:hAnsi="宋体" w:cs="宋体"/>
                <w:sz w:val="18"/>
                <w:szCs w:val="18"/>
                <w:lang w:val="en-US"/>
              </w:rPr>
              <w:t>X</w:t>
            </w:r>
            <w:r>
              <w:rPr>
                <w:rFonts w:hint="eastAsia" w:ascii="宋体" w:hAnsi="宋体" w:cs="宋体"/>
                <w:sz w:val="18"/>
                <w:szCs w:val="18"/>
              </w:rPr>
              <w:t>〕</w:t>
            </w:r>
            <w:r>
              <w:rPr>
                <w:rFonts w:hint="default" w:ascii="宋体" w:hAnsi="宋体" w:cs="宋体"/>
                <w:sz w:val="18"/>
                <w:szCs w:val="18"/>
                <w:lang w:val="en-US"/>
              </w:rPr>
              <w:t>XX</w:t>
            </w:r>
            <w:r>
              <w:rPr>
                <w:rFonts w:hint="eastAsia" w:ascii="宋体" w:hAnsi="宋体" w:cs="宋体"/>
                <w:sz w:val="18"/>
                <w:szCs w:val="18"/>
              </w:rPr>
              <w:t>号</w:t>
            </w:r>
          </w:p>
        </w:tc>
      </w:tr>
      <w:tr>
        <w:tblPrEx>
          <w:tblCellMar>
            <w:top w:w="0" w:type="dxa"/>
            <w:left w:w="108" w:type="dxa"/>
            <w:bottom w:w="0" w:type="dxa"/>
            <w:right w:w="108" w:type="dxa"/>
          </w:tblCellMar>
        </w:tblPrEx>
        <w:trPr>
          <w:trHeight w:val="255" w:hRule="exact"/>
          <w:jc w:val="center"/>
        </w:trPr>
        <w:tc>
          <w:tcPr>
            <w:tcW w:w="2538" w:type="dxa"/>
            <w:vMerge w:val="continue"/>
            <w:tcBorders>
              <w:bottom w:val="single" w:color="auto" w:sz="8" w:space="0"/>
            </w:tcBorders>
            <w:noWrap w:val="0"/>
            <w:tcMar>
              <w:left w:w="0" w:type="dxa"/>
              <w:right w:w="0" w:type="dxa"/>
            </w:tcMar>
            <w:vAlign w:val="top"/>
          </w:tcPr>
          <w:p>
            <w:pPr>
              <w:spacing w:line="240" w:lineRule="exact"/>
              <w:rPr>
                <w:rFonts w:ascii="Nimbus Roman No9 L" w:hAnsi="Nimbus Roman No9 L" w:cs="Nimbus Roman No9 L"/>
                <w:sz w:val="32"/>
                <w:szCs w:val="32"/>
              </w:rPr>
            </w:pPr>
          </w:p>
        </w:tc>
        <w:tc>
          <w:tcPr>
            <w:tcW w:w="3414" w:type="dxa"/>
            <w:gridSpan w:val="3"/>
            <w:tcBorders>
              <w:bottom w:val="single" w:color="auto" w:sz="8" w:space="0"/>
            </w:tcBorders>
            <w:noWrap w:val="0"/>
            <w:vAlign w:val="top"/>
          </w:tcPr>
          <w:p>
            <w:pPr>
              <w:spacing w:line="240" w:lineRule="exact"/>
              <w:ind w:firstLine="592" w:firstLineChars="185"/>
              <w:jc w:val="center"/>
              <w:rPr>
                <w:rFonts w:hint="default" w:ascii="Nimbus Roman No9 L" w:hAnsi="Nimbus Roman No9 L" w:eastAsia="宋体" w:cs="Nimbus Roman No9 L"/>
                <w:sz w:val="32"/>
                <w:szCs w:val="32"/>
                <w:lang w:val="en-US" w:eastAsia="zh-CN"/>
              </w:rPr>
            </w:pPr>
          </w:p>
        </w:tc>
        <w:tc>
          <w:tcPr>
            <w:tcW w:w="1393" w:type="dxa"/>
            <w:gridSpan w:val="2"/>
            <w:tcBorders>
              <w:bottom w:val="single" w:color="auto" w:sz="8" w:space="0"/>
            </w:tcBorders>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有效期至：</w:t>
            </w:r>
          </w:p>
        </w:tc>
        <w:tc>
          <w:tcPr>
            <w:tcW w:w="2169" w:type="dxa"/>
            <w:gridSpan w:val="2"/>
            <w:tcBorders>
              <w:bottom w:val="single" w:color="auto" w:sz="8" w:space="0"/>
            </w:tcBorders>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202</w:t>
            </w:r>
            <w:r>
              <w:rPr>
                <w:rFonts w:hint="default" w:ascii="宋体" w:hAnsi="宋体" w:cs="宋体"/>
                <w:sz w:val="18"/>
                <w:szCs w:val="18"/>
                <w:lang w:val="en-US"/>
              </w:rPr>
              <w:t>6</w:t>
            </w:r>
            <w:r>
              <w:rPr>
                <w:rFonts w:hint="eastAsia" w:ascii="宋体" w:hAnsi="宋体" w:cs="宋体"/>
                <w:sz w:val="18"/>
                <w:szCs w:val="18"/>
              </w:rPr>
              <w:t>年</w:t>
            </w:r>
            <w:r>
              <w:rPr>
                <w:rFonts w:hint="eastAsia" w:ascii="宋体" w:hAnsi="宋体" w:cs="宋体"/>
                <w:sz w:val="18"/>
                <w:szCs w:val="18"/>
                <w:lang w:val="en-US" w:eastAsia="zh-CN"/>
              </w:rPr>
              <w:t>1</w:t>
            </w:r>
            <w:r>
              <w:rPr>
                <w:rFonts w:hint="eastAsia" w:ascii="宋体" w:hAnsi="宋体" w:cs="宋体"/>
                <w:sz w:val="18"/>
                <w:szCs w:val="18"/>
              </w:rPr>
              <w:t>月</w:t>
            </w:r>
          </w:p>
        </w:tc>
      </w:tr>
      <w:tr>
        <w:tblPrEx>
          <w:tblCellMar>
            <w:top w:w="0" w:type="dxa"/>
            <w:left w:w="0" w:type="dxa"/>
            <w:bottom w:w="0" w:type="dxa"/>
            <w:right w:w="0" w:type="dxa"/>
          </w:tblCellMar>
        </w:tblPrEx>
        <w:trPr>
          <w:trHeight w:val="178" w:hRule="atLeast"/>
          <w:jc w:val="center"/>
        </w:trPr>
        <w:tc>
          <w:tcPr>
            <w:tcW w:w="9514" w:type="dxa"/>
            <w:gridSpan w:val="8"/>
            <w:tcBorders>
              <w:top w:val="single" w:color="auto" w:sz="8" w:space="0"/>
              <w:left w:val="nil"/>
              <w:bottom w:val="single" w:color="auto" w:sz="4" w:space="0"/>
              <w:right w:val="nil"/>
            </w:tcBorders>
            <w:shd w:val="clear" w:color="auto" w:fill="FFFFFF"/>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b/>
                <w:bCs/>
                <w:color w:val="000000"/>
                <w:kern w:val="0"/>
                <w:sz w:val="18"/>
                <w:szCs w:val="18"/>
              </w:rPr>
              <w:t>单位基本情况</w:t>
            </w:r>
          </w:p>
        </w:tc>
      </w:tr>
      <w:tr>
        <w:tblPrEx>
          <w:tblCellMar>
            <w:top w:w="0" w:type="dxa"/>
            <w:left w:w="0" w:type="dxa"/>
            <w:bottom w:w="0" w:type="dxa"/>
            <w:right w:w="0" w:type="dxa"/>
          </w:tblCellMar>
        </w:tblPrEx>
        <w:trPr>
          <w:trHeight w:val="1230" w:hRule="atLeast"/>
          <w:jc w:val="center"/>
        </w:trPr>
        <w:tc>
          <w:tcPr>
            <w:tcW w:w="25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单位类型  □</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1.法人单位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2.产业活动单位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3.个体经营户</w:t>
            </w:r>
          </w:p>
          <w:p>
            <w:pPr>
              <w:widowControl/>
              <w:snapToGrid w:val="0"/>
              <w:spacing w:line="260" w:lineRule="atLeast"/>
              <w:ind w:firstLine="90"/>
              <w:jc w:val="left"/>
              <w:rPr>
                <w:rFonts w:hint="eastAsia" w:ascii="宋体" w:hAnsi="宋体" w:cs="宋体"/>
                <w:color w:val="000000"/>
                <w:kern w:val="0"/>
                <w:sz w:val="18"/>
                <w:szCs w:val="18"/>
              </w:rPr>
            </w:pP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视同法人单位  □</w:t>
            </w:r>
          </w:p>
        </w:tc>
        <w:tc>
          <w:tcPr>
            <w:tcW w:w="5471"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0"/>
              <w:jc w:val="left"/>
              <w:rPr>
                <w:rFonts w:ascii="宋体" w:hAnsi="宋体" w:cs="宋体"/>
                <w:kern w:val="0"/>
                <w:sz w:val="24"/>
              </w:rPr>
            </w:pPr>
            <w:r>
              <w:rPr>
                <w:rFonts w:hint="eastAsia" w:ascii="宋体" w:hAnsi="宋体" w:cs="宋体"/>
                <w:color w:val="000000"/>
                <w:kern w:val="0"/>
                <w:sz w:val="18"/>
                <w:szCs w:val="18"/>
              </w:rPr>
              <w:t>审核类型  □</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xml:space="preserve">“规上转规下” </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注销或吊销需退出单位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专业变更需退出单位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辖区变更（跨省）需退出单位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6</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非法人单位需退出单位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8</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停业（歇业）需退出单位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其他原因需退出单位（在备注栏注明原因）</w:t>
            </w:r>
          </w:p>
          <w:p>
            <w:pPr>
              <w:widowControl/>
              <w:snapToGrid w:val="0"/>
              <w:spacing w:line="260" w:lineRule="atLeas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10</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因改制、重新注册、合并或拆分退出的原单位</w:t>
            </w:r>
          </w:p>
        </w:tc>
        <w:tc>
          <w:tcPr>
            <w:tcW w:w="1505" w:type="dxa"/>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0" w:right="57" w:firstLine="0"/>
              <w:jc w:val="left"/>
              <w:rPr>
                <w:rFonts w:ascii="宋体" w:hAnsi="宋体" w:cs="宋体"/>
                <w:kern w:val="0"/>
                <w:sz w:val="24"/>
              </w:rPr>
            </w:pPr>
            <w:r>
              <w:rPr>
                <w:rFonts w:hint="eastAsia" w:ascii="宋体" w:hAnsi="宋体" w:cs="宋体"/>
                <w:color w:val="000000"/>
                <w:kern w:val="0"/>
                <w:sz w:val="18"/>
                <w:szCs w:val="18"/>
              </w:rPr>
              <w:t>所属专业 □</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1.工业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3.批发业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4.零售业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5.住宿业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6.餐饮业</w:t>
            </w:r>
          </w:p>
          <w:p>
            <w:pPr>
              <w:widowControl/>
              <w:snapToGrid w:val="0"/>
              <w:spacing w:line="240" w:lineRule="atLeast"/>
              <w:ind w:left="57" w:right="57" w:firstLine="105" w:firstLineChars="0"/>
              <w:jc w:val="left"/>
              <w:rPr>
                <w:rFonts w:ascii="宋体" w:hAnsi="宋体" w:cs="宋体"/>
                <w:kern w:val="0"/>
                <w:sz w:val="24"/>
              </w:rPr>
            </w:pPr>
            <w:r>
              <w:rPr>
                <w:rFonts w:hint="eastAsia" w:ascii="宋体" w:hAnsi="宋体" w:cs="宋体"/>
                <w:color w:val="000000"/>
                <w:kern w:val="0"/>
                <w:sz w:val="18"/>
                <w:szCs w:val="18"/>
              </w:rPr>
              <w:t>8.服务业</w:t>
            </w:r>
          </w:p>
        </w:tc>
      </w:tr>
      <w:tr>
        <w:tblPrEx>
          <w:tblCellMar>
            <w:top w:w="0" w:type="dxa"/>
            <w:left w:w="0" w:type="dxa"/>
            <w:bottom w:w="0" w:type="dxa"/>
            <w:right w:w="0" w:type="dxa"/>
          </w:tblCellMar>
        </w:tblPrEx>
        <w:trPr>
          <w:trHeight w:val="90" w:hRule="atLeast"/>
          <w:jc w:val="center"/>
        </w:trPr>
        <w:tc>
          <w:tcPr>
            <w:tcW w:w="25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统一社会信用代码</w:t>
            </w:r>
          </w:p>
        </w:tc>
        <w:tc>
          <w:tcPr>
            <w:tcW w:w="21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单位详细名称</w:t>
            </w:r>
          </w:p>
        </w:tc>
        <w:tc>
          <w:tcPr>
            <w:tcW w:w="254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378" w:hRule="atLeast"/>
          <w:jc w:val="center"/>
        </w:trPr>
        <w:tc>
          <w:tcPr>
            <w:tcW w:w="25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所在地区划代码</w:t>
            </w:r>
          </w:p>
        </w:tc>
        <w:tc>
          <w:tcPr>
            <w:tcW w:w="21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注册地区划代码</w:t>
            </w:r>
          </w:p>
        </w:tc>
        <w:tc>
          <w:tcPr>
            <w:tcW w:w="254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90" w:hRule="atLeast"/>
          <w:jc w:val="center"/>
        </w:trPr>
        <w:tc>
          <w:tcPr>
            <w:tcW w:w="253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主要业务活动</w:t>
            </w:r>
          </w:p>
        </w:tc>
        <w:tc>
          <w:tcPr>
            <w:tcW w:w="21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行业代码</w:t>
            </w:r>
          </w:p>
        </w:tc>
        <w:tc>
          <w:tcPr>
            <w:tcW w:w="254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423"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color w:val="000000"/>
                <w:kern w:val="0"/>
                <w:sz w:val="18"/>
                <w:szCs w:val="18"/>
              </w:rPr>
              <w:t>实际单位类型（限审核类型=6填写）</w:t>
            </w:r>
          </w:p>
        </w:tc>
      </w:tr>
      <w:tr>
        <w:tblPrEx>
          <w:tblCellMar>
            <w:top w:w="0" w:type="dxa"/>
            <w:left w:w="0" w:type="dxa"/>
            <w:bottom w:w="0" w:type="dxa"/>
            <w:right w:w="0" w:type="dxa"/>
          </w:tblCellMar>
        </w:tblPrEx>
        <w:trPr>
          <w:trHeight w:val="418"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eastAsia="宋体" w:cs="宋体"/>
                <w:kern w:val="0"/>
                <w:sz w:val="24"/>
                <w:lang w:eastAsia="zh-CN"/>
              </w:rPr>
            </w:pPr>
            <w:r>
              <w:rPr>
                <w:rFonts w:hint="eastAsia" w:ascii="宋体" w:hAnsi="宋体" w:cs="宋体"/>
                <w:b/>
                <w:bCs/>
                <w:color w:val="000000"/>
                <w:kern w:val="0"/>
                <w:sz w:val="18"/>
                <w:szCs w:val="18"/>
              </w:rPr>
              <w:t>因非法人单位申报退出的单位</w:t>
            </w:r>
            <w:r>
              <w:rPr>
                <w:rFonts w:hint="eastAsia" w:ascii="宋体" w:hAnsi="宋体" w:cs="宋体"/>
                <w:b/>
                <w:bCs/>
                <w:color w:val="000000"/>
                <w:kern w:val="0"/>
                <w:sz w:val="18"/>
                <w:szCs w:val="18"/>
                <w:lang w:eastAsia="zh-CN"/>
              </w:rPr>
              <w:t>资料</w:t>
            </w:r>
          </w:p>
        </w:tc>
      </w:tr>
      <w:tr>
        <w:tblPrEx>
          <w:tblCellMar>
            <w:top w:w="0" w:type="dxa"/>
            <w:left w:w="0" w:type="dxa"/>
            <w:bottom w:w="0" w:type="dxa"/>
            <w:right w:w="0" w:type="dxa"/>
          </w:tblCellMar>
        </w:tblPrEx>
        <w:trPr>
          <w:trHeight w:val="329"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105"/>
              <w:jc w:val="left"/>
              <w:rPr>
                <w:rFonts w:ascii="宋体" w:hAnsi="宋体" w:cs="宋体"/>
                <w:kern w:val="0"/>
                <w:sz w:val="24"/>
              </w:rPr>
            </w:pPr>
            <w:r>
              <w:rPr>
                <w:rFonts w:hint="eastAsia" w:ascii="宋体" w:hAnsi="宋体" w:cs="宋体"/>
                <w:color w:val="000000"/>
                <w:kern w:val="0"/>
                <w:sz w:val="18"/>
                <w:szCs w:val="18"/>
              </w:rPr>
              <w:t xml:space="preserve">营业执照（证书）复印件 □   </w:t>
            </w:r>
          </w:p>
        </w:tc>
      </w:tr>
      <w:tr>
        <w:tblPrEx>
          <w:tblCellMar>
            <w:top w:w="0" w:type="dxa"/>
            <w:left w:w="0" w:type="dxa"/>
            <w:bottom w:w="0" w:type="dxa"/>
            <w:right w:w="0" w:type="dxa"/>
          </w:tblCellMar>
        </w:tblPrEx>
        <w:trPr>
          <w:trHeight w:val="372"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hint="eastAsia" w:ascii="宋体" w:hAnsi="宋体" w:eastAsia="宋体" w:cs="宋体"/>
                <w:kern w:val="0"/>
                <w:sz w:val="24"/>
                <w:lang w:val="en" w:eastAsia="zh-CN"/>
              </w:rPr>
            </w:pPr>
            <w:r>
              <w:rPr>
                <w:rFonts w:hint="eastAsia" w:ascii="宋体" w:hAnsi="宋体" w:cs="宋体"/>
                <w:b/>
                <w:bCs/>
                <w:color w:val="000000"/>
                <w:kern w:val="0"/>
                <w:sz w:val="18"/>
                <w:szCs w:val="18"/>
                <w:lang w:eastAsia="zh-CN"/>
              </w:rPr>
              <w:t>其他原因需退出的单位资料</w:t>
            </w:r>
          </w:p>
        </w:tc>
      </w:tr>
      <w:tr>
        <w:tblPrEx>
          <w:tblCellMar>
            <w:top w:w="0" w:type="dxa"/>
            <w:left w:w="0" w:type="dxa"/>
            <w:bottom w:w="0" w:type="dxa"/>
            <w:right w:w="0" w:type="dxa"/>
          </w:tblCellMar>
        </w:tblPrEx>
        <w:trPr>
          <w:trHeight w:val="315"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hint="eastAsia" w:ascii="宋体" w:hAnsi="宋体" w:cs="宋体"/>
                <w:color w:val="000000"/>
                <w:kern w:val="0"/>
                <w:sz w:val="18"/>
                <w:szCs w:val="18"/>
              </w:rPr>
            </w:pPr>
            <w:r>
              <w:rPr>
                <w:rFonts w:hint="eastAsia" w:ascii="宋体" w:hAnsi="宋体" w:cs="宋体"/>
                <w:b/>
                <w:bCs/>
                <w:color w:val="000000"/>
                <w:kern w:val="0"/>
                <w:sz w:val="18"/>
                <w:szCs w:val="18"/>
              </w:rPr>
              <w:t>因改制、重新注册、合并或拆分等发生变动单位资料</w:t>
            </w:r>
          </w:p>
        </w:tc>
      </w:tr>
      <w:tr>
        <w:tblPrEx>
          <w:tblCellMar>
            <w:top w:w="0" w:type="dxa"/>
            <w:left w:w="0" w:type="dxa"/>
            <w:bottom w:w="0" w:type="dxa"/>
            <w:right w:w="0" w:type="dxa"/>
          </w:tblCellMar>
        </w:tblPrEx>
        <w:trPr>
          <w:trHeight w:val="702" w:hRule="atLeast"/>
          <w:jc w:val="center"/>
        </w:trPr>
        <w:tc>
          <w:tcPr>
            <w:tcW w:w="9514" w:type="dxa"/>
            <w:gridSpan w:val="8"/>
            <w:tcBorders>
              <w:top w:val="single" w:color="auto" w:sz="4" w:space="0"/>
              <w:left w:val="nil"/>
              <w:bottom w:val="single" w:color="auto" w:sz="8" w:space="0"/>
              <w:right w:val="nil"/>
            </w:tcBorders>
            <w:noWrap w:val="0"/>
            <w:tcMar>
              <w:top w:w="0" w:type="dxa"/>
              <w:left w:w="108" w:type="dxa"/>
              <w:bottom w:w="0" w:type="dxa"/>
              <w:right w:w="108" w:type="dxa"/>
            </w:tcMar>
            <w:vAlign w:val="center"/>
          </w:tcPr>
          <w:p>
            <w:pPr>
              <w:widowControl/>
              <w:snapToGrid w:val="0"/>
              <w:spacing w:line="240" w:lineRule="atLeast"/>
              <w:ind w:left="57" w:right="57"/>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ind w:right="57" w:firstLine="90"/>
              <w:jc w:val="left"/>
              <w:rPr>
                <w:rFonts w:ascii="宋体" w:hAnsi="宋体" w:cs="宋体"/>
                <w:kern w:val="0"/>
                <w:sz w:val="24"/>
              </w:rPr>
            </w:pPr>
            <w:r>
              <w:rPr>
                <w:rFonts w:hint="eastAsia" w:ascii="宋体" w:hAnsi="宋体" w:cs="宋体"/>
                <w:color w:val="000000"/>
                <w:kern w:val="0"/>
                <w:sz w:val="18"/>
                <w:szCs w:val="18"/>
              </w:rPr>
              <w:t>证明单位变动的有关文件复印件 □</w:t>
            </w:r>
            <w:r>
              <w:rPr>
                <w:rFonts w:ascii="宋体" w:hAnsi="宋体" w:cs="宋体"/>
                <w:kern w:val="0"/>
                <w:sz w:val="24"/>
              </w:rPr>
              <w:t> </w:t>
            </w:r>
            <w:r>
              <w:rPr>
                <w:rFonts w:hint="eastAsia" w:ascii="宋体" w:hAnsi="宋体" w:cs="宋体"/>
                <w:color w:val="000000"/>
                <w:kern w:val="0"/>
                <w:sz w:val="18"/>
                <w:szCs w:val="18"/>
              </w:rPr>
              <w:t xml:space="preserve">  新单位与原单位对应关系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 xml:space="preserve">   原单位同期数如何处理的说明 □</w:t>
            </w:r>
          </w:p>
          <w:p>
            <w:pPr>
              <w:widowControl/>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其他资料 □  </w:t>
            </w:r>
            <w:r>
              <w:rPr>
                <w:rFonts w:ascii="宋体" w:hAnsi="宋体" w:cs="宋体"/>
                <w:color w:val="000000"/>
                <w:kern w:val="0"/>
                <w:sz w:val="18"/>
                <w:szCs w:val="18"/>
                <w:u w:val="single"/>
              </w:rPr>
              <w:t>     </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w:t>
            </w:r>
          </w:p>
        </w:tc>
      </w:tr>
    </w:tbl>
    <w:p>
      <w:pPr>
        <w:keepNext w:val="0"/>
        <w:keepLines w:val="0"/>
        <w:widowControl w:val="0"/>
        <w:suppressLineNumbers w:val="0"/>
        <w:spacing w:line="240" w:lineRule="exact"/>
        <w:ind w:left="1479" w:hanging="1479" w:hangingChars="822"/>
        <w:jc w:val="left"/>
        <w:rPr>
          <w:rFonts w:hint="eastAsia" w:ascii="宋体" w:hAnsi="Times New Roman" w:eastAsia="宋体" w:cs="Times New Roman"/>
          <w:kern w:val="2"/>
          <w:sz w:val="18"/>
          <w:szCs w:val="18"/>
          <w:lang w:val="en-US" w:eastAsia="zh-CN" w:bidi="ar"/>
        </w:rPr>
      </w:pPr>
      <w:r>
        <w:rPr>
          <w:rFonts w:hint="eastAsia" w:ascii="宋体" w:hAnsi="Times New Roman" w:eastAsia="宋体" w:cs="Times New Roman"/>
          <w:kern w:val="2"/>
          <w:sz w:val="18"/>
          <w:szCs w:val="18"/>
          <w:lang w:val="en-US" w:eastAsia="zh-CN" w:bidi="ar"/>
        </w:rPr>
        <w:t>说明：1.统计范围：拟退出一套表调查单位管理的规模以上工业、限额以上批发和零售业、限额以上住宿和餐饮业、规模以上服务业法人单位，规模以上工业个体经营户</w:t>
      </w:r>
      <w:r>
        <w:rPr>
          <w:rFonts w:hint="eastAsia" w:ascii="宋体" w:eastAsia="宋体" w:cs="Times New Roman"/>
          <w:kern w:val="2"/>
          <w:sz w:val="18"/>
          <w:szCs w:val="18"/>
          <w:lang w:val="en-US" w:eastAsia="zh-CN" w:bidi="ar"/>
        </w:rPr>
        <w:t>。拟退出的</w:t>
      </w:r>
      <w:r>
        <w:rPr>
          <w:rFonts w:hint="eastAsia" w:ascii="宋体" w:hAnsi="Times New Roman" w:eastAsia="宋体" w:cs="Times New Roman"/>
          <w:i w:val="0"/>
          <w:caps w:val="0"/>
          <w:color w:val="auto"/>
          <w:spacing w:val="0"/>
          <w:kern w:val="2"/>
          <w:sz w:val="18"/>
          <w:szCs w:val="18"/>
          <w:lang w:val="en-US" w:eastAsia="zh-CN" w:bidi="ar"/>
        </w:rPr>
        <w:t>非批发和零售业法人单位附营的限额以上批发和零售业产业活动单位</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非住宿和餐饮业法人单位附营的限额以上住宿和餐饮业产业活动单位</w:t>
      </w:r>
      <w:r>
        <w:rPr>
          <w:rFonts w:hint="eastAsia" w:ascii="宋体" w:hAnsi="Times New Roman" w:eastAsia="宋体" w:cs="Times New Roman"/>
          <w:kern w:val="2"/>
          <w:sz w:val="18"/>
          <w:szCs w:val="18"/>
          <w:lang w:val="en-US" w:eastAsia="zh-CN" w:bidi="ar"/>
        </w:rPr>
        <w:t>。</w:t>
      </w:r>
    </w:p>
    <w:p>
      <w:pPr>
        <w:numPr>
          <w:ilvl w:val="0"/>
          <w:numId w:val="0"/>
        </w:numPr>
        <w:tabs>
          <w:tab w:val="left" w:pos="312"/>
        </w:tabs>
        <w:spacing w:line="240" w:lineRule="exact"/>
        <w:ind w:left="2096" w:leftChars="250" w:hanging="1571" w:hangingChars="873"/>
        <w:jc w:val="left"/>
        <w:rPr>
          <w:rFonts w:hint="default"/>
          <w:color w:val="000000"/>
          <w:lang w:val="en-US"/>
        </w:rPr>
      </w:pPr>
      <w:r>
        <w:rPr>
          <w:rFonts w:hint="eastAsia" w:ascii="宋体" w:eastAsia="宋体" w:cs="Times New Roman"/>
          <w:kern w:val="2"/>
          <w:sz w:val="18"/>
          <w:szCs w:val="18"/>
          <w:lang w:val="en-US" w:eastAsia="zh-CN" w:bidi="ar"/>
        </w:rPr>
        <w:t>2.</w:t>
      </w:r>
      <w:r>
        <w:rPr>
          <w:rFonts w:hint="eastAsia" w:ascii="宋体" w:hAnsi="Times New Roman" w:eastAsia="宋体" w:cs="Times New Roman"/>
          <w:kern w:val="2"/>
          <w:sz w:val="18"/>
          <w:szCs w:val="18"/>
          <w:lang w:val="en-US" w:eastAsia="zh-CN" w:bidi="ar"/>
        </w:rPr>
        <w:t>报送日期及方式：</w:t>
      </w:r>
      <w:r>
        <w:rPr>
          <w:rFonts w:hint="eastAsia" w:ascii="宋体" w:eastAsia="宋体" w:cs="Times New Roman"/>
          <w:kern w:val="2"/>
          <w:sz w:val="18"/>
          <w:szCs w:val="18"/>
          <w:lang w:val="en-US" w:eastAsia="zh-CN" w:bidi="ar"/>
        </w:rPr>
        <w:t>当年</w:t>
      </w:r>
      <w:r>
        <w:rPr>
          <w:rFonts w:hint="eastAsia" w:ascii="宋体"/>
          <w:sz w:val="18"/>
          <w:szCs w:val="18"/>
          <w:lang w:bidi="ar"/>
        </w:rPr>
        <w:t>11月</w:t>
      </w:r>
      <w:r>
        <w:rPr>
          <w:rFonts w:hint="eastAsia" w:ascii="宋体"/>
          <w:sz w:val="18"/>
          <w:szCs w:val="18"/>
          <w:lang w:val="en-US" w:eastAsia="zh-CN" w:bidi="ar"/>
        </w:rPr>
        <w:t>25</w:t>
      </w:r>
      <w:r>
        <w:rPr>
          <w:rFonts w:hint="eastAsia" w:ascii="宋体"/>
          <w:sz w:val="18"/>
          <w:szCs w:val="18"/>
          <w:lang w:bidi="ar"/>
        </w:rPr>
        <w:t>日前，</w:t>
      </w:r>
      <w:r>
        <w:rPr>
          <w:rFonts w:hint="eastAsia" w:ascii="宋体"/>
          <w:sz w:val="18"/>
          <w:szCs w:val="18"/>
          <w:lang w:eastAsia="zh-CN" w:bidi="ar"/>
        </w:rPr>
        <w:t>各街道</w:t>
      </w:r>
      <w:r>
        <w:rPr>
          <w:rFonts w:hint="eastAsia" w:ascii="宋体" w:eastAsia="宋体"/>
          <w:sz w:val="18"/>
          <w:szCs w:val="18"/>
          <w:lang w:eastAsia="zh-CN" w:bidi="ar"/>
        </w:rPr>
        <w:t>将调查对象填报的报表上传至审核系统</w:t>
      </w:r>
      <w:r>
        <w:rPr>
          <w:rFonts w:hint="eastAsia" w:ascii="宋体" w:hAnsi="Times New Roman" w:eastAsia="宋体" w:cs="Times New Roman"/>
          <w:kern w:val="2"/>
          <w:sz w:val="18"/>
          <w:szCs w:val="18"/>
          <w:lang w:val="en-US" w:eastAsia="zh-CN" w:bidi="ar"/>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Wingdings 2">
    <w:altName w:val="C059"/>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EE0D62"/>
    <w:rsid w:val="D97EAC87"/>
    <w:rsid w:val="E35EFCE0"/>
    <w:rsid w:val="FDBD315D"/>
    <w:rsid w:val="FF3F9D45"/>
    <w:rsid w:val="FF7DE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0"/>
    <w:pPr>
      <w:spacing w:line="460" w:lineRule="exact"/>
      <w:ind w:firstLine="60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hcz</cp:lastModifiedBy>
  <dcterms:modified xsi:type="dcterms:W3CDTF">2024-11-01T11:58:16Z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