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ind w:firstLine="0" w:firstLineChars="0"/>
        <w:jc w:val="center"/>
        <w:rPr>
          <w:rFonts w:hint="eastAsia" w:ascii="宋体" w:hAnsi="宋体" w:eastAsia="宋体" w:cs="Arial"/>
          <w:b/>
          <w:bCs/>
          <w:color w:val="0D0D0D" w:themeColor="text1" w:themeTint="F2"/>
          <w:sz w:val="44"/>
          <w:szCs w:val="44"/>
          <w:u w:val="none"/>
          <w14:textFill>
            <w14:solidFill>
              <w14:schemeClr w14:val="tx1">
                <w14:lumMod w14:val="95000"/>
                <w14:lumOff w14:val="5000"/>
              </w14:schemeClr>
            </w14:solidFill>
          </w14:textFill>
        </w:rPr>
      </w:pPr>
    </w:p>
    <w:p>
      <w:pPr>
        <w:adjustRightInd w:val="0"/>
        <w:snapToGrid w:val="0"/>
        <w:spacing w:line="700" w:lineRule="exact"/>
        <w:ind w:firstLine="0" w:firstLineChars="0"/>
        <w:jc w:val="center"/>
        <w:rPr>
          <w:rFonts w:hint="eastAsia" w:ascii="宋体" w:hAnsi="宋体" w:eastAsia="宋体" w:cs="Arial"/>
          <w:b/>
          <w:bCs/>
          <w:color w:val="0D0D0D" w:themeColor="text1" w:themeTint="F2"/>
          <w:sz w:val="44"/>
          <w:szCs w:val="44"/>
          <w:u w:val="none"/>
          <w14:textFill>
            <w14:solidFill>
              <w14:schemeClr w14:val="tx1">
                <w14:lumMod w14:val="95000"/>
                <w14:lumOff w14:val="5000"/>
              </w14:schemeClr>
            </w14:solidFill>
          </w14:textFill>
        </w:rPr>
      </w:pPr>
      <w:r>
        <w:rPr>
          <w:rFonts w:hint="eastAsia" w:ascii="宋体" w:hAnsi="宋体" w:eastAsia="宋体" w:cs="Arial"/>
          <w:b/>
          <w:bCs/>
          <w:color w:val="0D0D0D" w:themeColor="text1" w:themeTint="F2"/>
          <w:sz w:val="44"/>
          <w:szCs w:val="44"/>
          <w:u w:val="none"/>
          <w14:textFill>
            <w14:solidFill>
              <w14:schemeClr w14:val="tx1">
                <w14:lumMod w14:val="95000"/>
                <w14:lumOff w14:val="5000"/>
              </w14:schemeClr>
            </w14:solidFill>
          </w14:textFill>
        </w:rPr>
        <w:t>龙华区202</w:t>
      </w:r>
      <w:r>
        <w:rPr>
          <w:rFonts w:hint="eastAsia" w:ascii="宋体" w:hAnsi="宋体" w:eastAsia="宋体" w:cs="Arial"/>
          <w:b/>
          <w:bCs/>
          <w:color w:val="0D0D0D" w:themeColor="text1" w:themeTint="F2"/>
          <w:sz w:val="44"/>
          <w:szCs w:val="44"/>
          <w:u w:val="none"/>
          <w:lang w:val="en-US" w:eastAsia="zh-CN"/>
          <w14:textFill>
            <w14:solidFill>
              <w14:schemeClr w14:val="tx1">
                <w14:lumMod w14:val="95000"/>
                <w14:lumOff w14:val="5000"/>
              </w14:schemeClr>
            </w14:solidFill>
          </w14:textFill>
        </w:rPr>
        <w:t>4</w:t>
      </w:r>
      <w:r>
        <w:rPr>
          <w:rFonts w:hint="eastAsia" w:ascii="宋体" w:hAnsi="宋体" w:eastAsia="宋体" w:cs="Arial"/>
          <w:b/>
          <w:bCs/>
          <w:color w:val="0D0D0D" w:themeColor="text1" w:themeTint="F2"/>
          <w:sz w:val="44"/>
          <w:szCs w:val="44"/>
          <w:u w:val="none"/>
          <w14:textFill>
            <w14:solidFill>
              <w14:schemeClr w14:val="tx1">
                <w14:lumMod w14:val="95000"/>
                <w14:lumOff w14:val="5000"/>
              </w14:schemeClr>
            </w14:solidFill>
          </w14:textFill>
        </w:rPr>
        <w:t>年新能源产业观察</w:t>
      </w:r>
    </w:p>
    <w:p>
      <w:pPr>
        <w:adjustRightInd w:val="0"/>
        <w:snapToGrid w:val="0"/>
        <w:spacing w:line="700" w:lineRule="exact"/>
        <w:ind w:firstLine="0" w:firstLineChars="0"/>
        <w:jc w:val="center"/>
        <w:rPr>
          <w:rFonts w:ascii="宋体" w:hAnsi="宋体" w:eastAsia="宋体" w:cs="Arial"/>
          <w:b/>
          <w:bCs/>
          <w:color w:val="0D0D0D" w:themeColor="text1" w:themeTint="F2"/>
          <w:sz w:val="44"/>
          <w:szCs w:val="44"/>
          <w:u w:val="none"/>
          <w14:textFill>
            <w14:solidFill>
              <w14:schemeClr w14:val="tx1">
                <w14:lumMod w14:val="95000"/>
                <w14:lumOff w14:val="5000"/>
              </w14:schemeClr>
            </w14:solidFill>
          </w14:textFill>
        </w:rPr>
      </w:pPr>
      <w:r>
        <w:rPr>
          <w:rFonts w:hint="eastAsia" w:ascii="宋体" w:hAnsi="宋体" w:eastAsia="宋体" w:cs="Arial"/>
          <w:b/>
          <w:bCs/>
          <w:color w:val="0D0D0D" w:themeColor="text1" w:themeTint="F2"/>
          <w:sz w:val="44"/>
          <w:szCs w:val="44"/>
          <w:u w:val="none"/>
          <w14:textFill>
            <w14:solidFill>
              <w14:schemeClr w14:val="tx1">
                <w14:lumMod w14:val="95000"/>
                <w14:lumOff w14:val="5000"/>
              </w14:schemeClr>
            </w14:solidFill>
          </w14:textFill>
        </w:rPr>
        <w:t>研究项目</w:t>
      </w:r>
    </w:p>
    <w:p>
      <w:pPr>
        <w:adjustRightInd/>
        <w:snapToGrid/>
        <w:spacing w:line="360" w:lineRule="auto"/>
        <w:ind w:left="420" w:leftChars="200" w:firstLine="0" w:firstLineChars="0"/>
        <w:jc w:val="center"/>
        <w:rPr>
          <w:rFonts w:ascii="宋体" w:hAnsi="宋体" w:eastAsia="宋体" w:cs="Arial"/>
          <w:b/>
          <w:bCs/>
          <w:color w:val="0D0D0D" w:themeColor="text1" w:themeTint="F2"/>
          <w:sz w:val="44"/>
          <w:szCs w:val="44"/>
          <w:u w:val="none"/>
          <w14:textFill>
            <w14:solidFill>
              <w14:schemeClr w14:val="tx1">
                <w14:lumMod w14:val="95000"/>
                <w14:lumOff w14:val="5000"/>
              </w14:schemeClr>
            </w14:solidFill>
          </w14:textFill>
        </w:rPr>
      </w:pPr>
    </w:p>
    <w:p>
      <w:pPr>
        <w:adjustRightInd/>
        <w:snapToGrid/>
        <w:spacing w:line="360" w:lineRule="auto"/>
        <w:ind w:left="420" w:leftChars="200" w:firstLine="0" w:firstLineChars="0"/>
        <w:jc w:val="center"/>
        <w:rPr>
          <w:rFonts w:ascii="黑体" w:hAnsi="宋体" w:eastAsia="黑体" w:cs="Times New Roman"/>
          <w:b/>
          <w:bCs/>
          <w:color w:val="0D0D0D" w:themeColor="text1" w:themeTint="F2"/>
          <w:sz w:val="32"/>
          <w:szCs w:val="32"/>
          <w:u w:val="none"/>
          <w14:textFill>
            <w14:solidFill>
              <w14:schemeClr w14:val="tx1">
                <w14:lumMod w14:val="95000"/>
                <w14:lumOff w14:val="5000"/>
              </w14:schemeClr>
            </w14:solidFill>
          </w14:textFill>
        </w:rPr>
      </w:pPr>
    </w:p>
    <w:p>
      <w:pPr>
        <w:adjustRightInd/>
        <w:snapToGrid/>
        <w:spacing w:line="360" w:lineRule="auto"/>
        <w:ind w:left="420" w:leftChars="200" w:firstLine="0" w:firstLineChars="0"/>
        <w:jc w:val="center"/>
        <w:rPr>
          <w:rFonts w:ascii="黑体" w:hAnsi="宋体" w:eastAsia="黑体" w:cs="Times New Roman"/>
          <w:b/>
          <w:bCs/>
          <w:color w:val="0D0D0D" w:themeColor="text1" w:themeTint="F2"/>
          <w:sz w:val="32"/>
          <w:szCs w:val="32"/>
          <w:u w:val="none"/>
          <w14:textFill>
            <w14:solidFill>
              <w14:schemeClr w14:val="tx1">
                <w14:lumMod w14:val="95000"/>
                <w14:lumOff w14:val="5000"/>
              </w14:schemeClr>
            </w14:solidFill>
          </w14:textFill>
        </w:rPr>
      </w:pPr>
    </w:p>
    <w:p>
      <w:pPr>
        <w:adjustRightInd/>
        <w:snapToGrid/>
        <w:spacing w:line="360" w:lineRule="auto"/>
        <w:ind w:firstLine="0" w:firstLineChars="0"/>
        <w:jc w:val="center"/>
        <w:rPr>
          <w:rFonts w:ascii="黑体" w:hAnsi="宋体" w:eastAsia="黑体" w:cs="Times New Roman"/>
          <w:b/>
          <w:bCs/>
          <w:color w:val="0D0D0D" w:themeColor="text1" w:themeTint="F2"/>
          <w:sz w:val="72"/>
          <w:szCs w:val="72"/>
          <w:u w:val="none"/>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u w:val="none"/>
          <w14:textFill>
            <w14:solidFill>
              <w14:schemeClr w14:val="tx1">
                <w14:lumMod w14:val="95000"/>
                <w14:lumOff w14:val="5000"/>
              </w14:schemeClr>
            </w14:solidFill>
          </w14:textFill>
        </w:rPr>
        <w:t>招</w:t>
      </w:r>
    </w:p>
    <w:p>
      <w:pPr>
        <w:adjustRightInd/>
        <w:snapToGrid/>
        <w:spacing w:line="360" w:lineRule="auto"/>
        <w:ind w:firstLine="0" w:firstLineChars="0"/>
        <w:jc w:val="center"/>
        <w:rPr>
          <w:rFonts w:ascii="黑体" w:hAnsi="宋体" w:eastAsia="黑体" w:cs="Times New Roman"/>
          <w:b/>
          <w:bCs/>
          <w:color w:val="0D0D0D" w:themeColor="text1" w:themeTint="F2"/>
          <w:sz w:val="72"/>
          <w:szCs w:val="72"/>
          <w:u w:val="none"/>
          <w14:textFill>
            <w14:solidFill>
              <w14:schemeClr w14:val="tx1">
                <w14:lumMod w14:val="95000"/>
                <w14:lumOff w14:val="5000"/>
              </w14:schemeClr>
            </w14:solidFill>
          </w14:textFill>
        </w:rPr>
      </w:pPr>
    </w:p>
    <w:p>
      <w:pPr>
        <w:adjustRightInd/>
        <w:snapToGrid/>
        <w:spacing w:line="360" w:lineRule="auto"/>
        <w:ind w:firstLine="0" w:firstLineChars="0"/>
        <w:jc w:val="center"/>
        <w:rPr>
          <w:rFonts w:ascii="黑体" w:hAnsi="宋体" w:eastAsia="黑体" w:cs="Times New Roman"/>
          <w:b/>
          <w:bCs/>
          <w:color w:val="0D0D0D" w:themeColor="text1" w:themeTint="F2"/>
          <w:sz w:val="72"/>
          <w:szCs w:val="72"/>
          <w:u w:val="none"/>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u w:val="none"/>
          <w14:textFill>
            <w14:solidFill>
              <w14:schemeClr w14:val="tx1">
                <w14:lumMod w14:val="95000"/>
                <w14:lumOff w14:val="5000"/>
              </w14:schemeClr>
            </w14:solidFill>
          </w14:textFill>
        </w:rPr>
        <w:t>标</w:t>
      </w:r>
    </w:p>
    <w:p>
      <w:pPr>
        <w:adjustRightInd/>
        <w:snapToGrid/>
        <w:spacing w:line="360" w:lineRule="auto"/>
        <w:ind w:firstLine="0" w:firstLineChars="0"/>
        <w:jc w:val="center"/>
        <w:rPr>
          <w:rFonts w:ascii="黑体" w:hAnsi="宋体" w:eastAsia="黑体" w:cs="Times New Roman"/>
          <w:b/>
          <w:bCs/>
          <w:color w:val="0D0D0D" w:themeColor="text1" w:themeTint="F2"/>
          <w:sz w:val="48"/>
          <w:szCs w:val="48"/>
          <w:u w:val="none"/>
          <w14:textFill>
            <w14:solidFill>
              <w14:schemeClr w14:val="tx1">
                <w14:lumMod w14:val="95000"/>
                <w14:lumOff w14:val="5000"/>
              </w14:schemeClr>
            </w14:solidFill>
          </w14:textFill>
        </w:rPr>
      </w:pPr>
    </w:p>
    <w:p>
      <w:pPr>
        <w:adjustRightInd/>
        <w:snapToGrid/>
        <w:spacing w:line="360" w:lineRule="auto"/>
        <w:ind w:firstLine="0" w:firstLineChars="0"/>
        <w:jc w:val="center"/>
        <w:rPr>
          <w:rFonts w:ascii="黑体" w:hAnsi="宋体" w:eastAsia="黑体" w:cs="Times New Roman"/>
          <w:b/>
          <w:bCs/>
          <w:color w:val="0D0D0D" w:themeColor="text1" w:themeTint="F2"/>
          <w:sz w:val="72"/>
          <w:szCs w:val="72"/>
          <w:u w:val="none"/>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u w:val="none"/>
          <w14:textFill>
            <w14:solidFill>
              <w14:schemeClr w14:val="tx1">
                <w14:lumMod w14:val="95000"/>
                <w14:lumOff w14:val="5000"/>
              </w14:schemeClr>
            </w14:solidFill>
          </w14:textFill>
        </w:rPr>
        <w:t>书</w:t>
      </w:r>
    </w:p>
    <w:p>
      <w:pPr>
        <w:adjustRightInd/>
        <w:snapToGrid/>
        <w:spacing w:line="360" w:lineRule="auto"/>
        <w:ind w:left="420" w:leftChars="200" w:firstLine="0" w:firstLineChars="0"/>
        <w:jc w:val="center"/>
        <w:rPr>
          <w:rFonts w:ascii="宋体" w:hAnsi="宋体" w:eastAsia="宋体" w:cs="Times New Roman"/>
          <w:color w:val="0D0D0D" w:themeColor="text1" w:themeTint="F2"/>
          <w:sz w:val="44"/>
          <w:szCs w:val="44"/>
          <w:u w:val="none"/>
          <w14:textFill>
            <w14:solidFill>
              <w14:schemeClr w14:val="tx1">
                <w14:lumMod w14:val="95000"/>
                <w14:lumOff w14:val="5000"/>
              </w14:schemeClr>
            </w14:solidFill>
          </w14:textFill>
        </w:rPr>
      </w:pPr>
    </w:p>
    <w:p>
      <w:pPr>
        <w:adjustRightInd/>
        <w:snapToGrid/>
        <w:spacing w:line="360" w:lineRule="auto"/>
        <w:ind w:left="420" w:leftChars="200" w:firstLine="0" w:firstLineChars="0"/>
        <w:jc w:val="center"/>
        <w:rPr>
          <w:rFonts w:ascii="方正小标宋简体" w:hAnsi="宋体" w:eastAsia="宋体" w:cs="Arial"/>
          <w:color w:val="0D0D0D" w:themeColor="text1" w:themeTint="F2"/>
          <w:sz w:val="48"/>
          <w:szCs w:val="48"/>
          <w:u w:val="none"/>
          <w14:textFill>
            <w14:solidFill>
              <w14:schemeClr w14:val="tx1">
                <w14:lumMod w14:val="95000"/>
                <w14:lumOff w14:val="5000"/>
              </w14:schemeClr>
            </w14:solidFill>
          </w14:textFill>
        </w:rPr>
      </w:pPr>
    </w:p>
    <w:p>
      <w:pPr>
        <w:adjustRightInd/>
        <w:snapToGrid/>
        <w:spacing w:line="360" w:lineRule="auto"/>
        <w:ind w:firstLine="0" w:firstLineChars="0"/>
        <w:rPr>
          <w:rFonts w:ascii="方正小标宋简体" w:hAnsi="宋体" w:eastAsia="宋体" w:cs="Arial"/>
          <w:color w:val="0D0D0D" w:themeColor="text1" w:themeTint="F2"/>
          <w:sz w:val="48"/>
          <w:szCs w:val="48"/>
          <w:u w:val="none"/>
          <w14:textFill>
            <w14:solidFill>
              <w14:schemeClr w14:val="tx1">
                <w14:lumMod w14:val="95000"/>
                <w14:lumOff w14:val="5000"/>
              </w14:schemeClr>
            </w14:solidFill>
          </w14:textFill>
        </w:rPr>
      </w:pPr>
    </w:p>
    <w:p>
      <w:pPr>
        <w:adjustRightInd/>
        <w:snapToGrid/>
        <w:spacing w:line="600" w:lineRule="exact"/>
        <w:ind w:firstLine="0" w:firstLineChars="0"/>
        <w:jc w:val="center"/>
        <w:rPr>
          <w:rFonts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pPr>
      <w:r>
        <w:rPr>
          <w:rFonts w:hint="eastAsia"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　深圳市龙华区发展和改革局</w:t>
      </w:r>
    </w:p>
    <w:p>
      <w:pPr>
        <w:adjustRightInd/>
        <w:snapToGrid/>
        <w:spacing w:line="600" w:lineRule="exact"/>
        <w:ind w:firstLine="0" w:firstLineChars="0"/>
        <w:jc w:val="center"/>
        <w:rPr>
          <w:rFonts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pPr>
      <w:r>
        <w:rPr>
          <w:rFonts w:hint="eastAsia"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20</w:t>
      </w:r>
      <w:r>
        <w:rPr>
          <w:rFonts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2</w:t>
      </w:r>
      <w:r>
        <w:rPr>
          <w:rFonts w:hint="eastAsia" w:ascii="宋体" w:hAnsi="宋体" w:eastAsia="宋体" w:cs="Times New Roman"/>
          <w:b/>
          <w:bCs/>
          <w:color w:val="0D0D0D" w:themeColor="text1" w:themeTint="F2"/>
          <w:sz w:val="32"/>
          <w:szCs w:val="32"/>
          <w:u w:val="none"/>
          <w:lang w:val="en-US" w:eastAsia="zh-CN"/>
          <w14:textFill>
            <w14:solidFill>
              <w14:schemeClr w14:val="tx1">
                <w14:lumMod w14:val="95000"/>
                <w14:lumOff w14:val="5000"/>
              </w14:schemeClr>
            </w14:solidFill>
          </w14:textFill>
        </w:rPr>
        <w:t>4</w:t>
      </w:r>
      <w:r>
        <w:rPr>
          <w:rFonts w:hint="eastAsia"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年</w:t>
      </w:r>
      <w:r>
        <w:rPr>
          <w:rFonts w:hint="eastAsia" w:ascii="宋体" w:hAnsi="宋体" w:eastAsia="宋体" w:cs="Times New Roman"/>
          <w:b/>
          <w:bCs/>
          <w:color w:val="0D0D0D" w:themeColor="text1" w:themeTint="F2"/>
          <w:sz w:val="32"/>
          <w:szCs w:val="32"/>
          <w:u w:val="none"/>
          <w:lang w:val="en-US" w:eastAsia="zh-CN"/>
          <w14:textFill>
            <w14:solidFill>
              <w14:schemeClr w14:val="tx1">
                <w14:lumMod w14:val="95000"/>
                <w14:lumOff w14:val="5000"/>
              </w14:schemeClr>
            </w14:solidFill>
          </w14:textFill>
        </w:rPr>
        <w:t>04</w:t>
      </w:r>
      <w:r>
        <w:rPr>
          <w:rFonts w:hint="eastAsia"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月</w:t>
      </w:r>
    </w:p>
    <w:p>
      <w:pPr>
        <w:jc w:val="left"/>
        <w:rPr>
          <w:rFonts w:ascii="宋体" w:hAnsi="宋体" w:cs="宋体"/>
          <w:b/>
          <w:bCs/>
          <w:color w:val="0D0D0D" w:themeColor="text1" w:themeTint="F2"/>
          <w:sz w:val="44"/>
          <w:szCs w:val="44"/>
          <w:u w:val="none"/>
          <w14:textFill>
            <w14:solidFill>
              <w14:schemeClr w14:val="tx1">
                <w14:lumMod w14:val="95000"/>
                <w14:lumOff w14:val="5000"/>
              </w14:schemeClr>
            </w14:solidFill>
          </w14:textFill>
        </w:rPr>
        <w:sectPr>
          <w:footerReference r:id="rId3" w:type="default"/>
          <w:pgSz w:w="11906" w:h="16838"/>
          <w:pgMar w:top="1400" w:right="1797" w:bottom="1089" w:left="1797" w:header="720" w:footer="720" w:gutter="0"/>
          <w:pgNumType w:fmt="decimal"/>
          <w:cols w:space="720" w:num="1"/>
          <w:docGrid w:type="lines" w:linePitch="312" w:charSpace="0"/>
        </w:sectPr>
      </w:pPr>
    </w:p>
    <w:p>
      <w:pPr>
        <w:adjustRightInd w:val="0"/>
        <w:snapToGrid w:val="0"/>
        <w:spacing w:line="240" w:lineRule="auto"/>
        <w:ind w:firstLine="0" w:firstLineChars="0"/>
        <w:jc w:val="center"/>
        <w:rPr>
          <w:rFonts w:ascii="宋体" w:hAnsi="宋体" w:eastAsia="宋体" w:cs="Arial"/>
          <w:b/>
          <w:bCs/>
          <w:color w:val="0D0D0D" w:themeColor="text1" w:themeTint="F2"/>
          <w:sz w:val="44"/>
          <w:szCs w:val="44"/>
          <w:u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color w:val="0D0D0D" w:themeColor="text1" w:themeTint="F2"/>
          <w:sz w:val="44"/>
          <w:szCs w:val="44"/>
          <w:u w:val="none"/>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44"/>
          <w:szCs w:val="44"/>
          <w:u w:val="none"/>
          <w14:textFill>
            <w14:solidFill>
              <w14:schemeClr w14:val="tx1">
                <w14:lumMod w14:val="95000"/>
                <w14:lumOff w14:val="5000"/>
              </w14:schemeClr>
            </w14:solidFill>
          </w14:textFill>
        </w:rPr>
        <w:t>龙华区202</w:t>
      </w:r>
      <w:r>
        <w:rPr>
          <w:rFonts w:hint="eastAsia" w:ascii="方正小标宋简体" w:hAnsi="方正小标宋简体" w:eastAsia="方正小标宋简体" w:cs="方正小标宋简体"/>
          <w:b w:val="0"/>
          <w:bCs w:val="0"/>
          <w:color w:val="0D0D0D" w:themeColor="text1" w:themeTint="F2"/>
          <w:sz w:val="44"/>
          <w:szCs w:val="44"/>
          <w:u w:val="none"/>
          <w:lang w:val="en-US" w:eastAsia="zh-CN"/>
          <w14:textFill>
            <w14:solidFill>
              <w14:schemeClr w14:val="tx1">
                <w14:lumMod w14:val="95000"/>
                <w14:lumOff w14:val="5000"/>
              </w14:schemeClr>
            </w14:solidFill>
          </w14:textFill>
        </w:rPr>
        <w:t>4</w:t>
      </w:r>
      <w:r>
        <w:rPr>
          <w:rFonts w:hint="eastAsia" w:ascii="方正小标宋简体" w:hAnsi="方正小标宋简体" w:eastAsia="方正小标宋简体" w:cs="方正小标宋简体"/>
          <w:b w:val="0"/>
          <w:bCs w:val="0"/>
          <w:color w:val="0D0D0D" w:themeColor="text1" w:themeTint="F2"/>
          <w:sz w:val="44"/>
          <w:szCs w:val="44"/>
          <w:u w:val="none"/>
          <w14:textFill>
            <w14:solidFill>
              <w14:schemeClr w14:val="tx1">
                <w14:lumMod w14:val="95000"/>
                <w14:lumOff w14:val="5000"/>
              </w14:schemeClr>
            </w14:solidFill>
          </w14:textFill>
        </w:rPr>
        <w:t>年新能源产业观察</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color w:val="0D0D0D" w:themeColor="text1" w:themeTint="F2"/>
          <w:sz w:val="44"/>
          <w:szCs w:val="44"/>
          <w:u w:val="none"/>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44"/>
          <w:szCs w:val="44"/>
          <w:u w:val="none"/>
          <w14:textFill>
            <w14:solidFill>
              <w14:schemeClr w14:val="tx1">
                <w14:lumMod w14:val="95000"/>
                <w14:lumOff w14:val="5000"/>
              </w14:schemeClr>
            </w14:solidFill>
          </w14:textFill>
        </w:rPr>
        <w:t>项目招标书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ascii="黑体" w:hAnsi="黑体" w:eastAsia="黑体" w:cs="Times New Roman"/>
          <w:b/>
          <w:bCs/>
          <w:color w:val="0D0D0D" w:themeColor="text1" w:themeTint="F2"/>
          <w:sz w:val="32"/>
          <w:szCs w:val="32"/>
          <w:u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（一）项目名称：</w:t>
      </w:r>
      <w:r>
        <w:rPr>
          <w:rFonts w:hint="eastAsia" w:ascii="仿宋_GB2312" w:hAnsi="仿宋" w:eastAsia="仿宋_GB2312" w:cs="仿宋_GB2312"/>
          <w:color w:val="0D0D0D" w:themeColor="text1" w:themeTint="F2"/>
          <w:sz w:val="32"/>
          <w:szCs w:val="32"/>
          <w:u w:val="none"/>
          <w:lang w:eastAsia="zh-CN"/>
          <w14:textFill>
            <w14:solidFill>
              <w14:schemeClr w14:val="tx1">
                <w14:lumMod w14:val="95000"/>
                <w14:lumOff w14:val="5000"/>
              </w14:schemeClr>
            </w14:solidFill>
          </w14:textFill>
        </w:rPr>
        <w:t>龙华区</w:t>
      </w:r>
      <w:r>
        <w:rPr>
          <w:rFonts w:hint="eastAsia" w:ascii="仿宋_GB2312" w:hAnsi="仿宋_GB2312" w:eastAsia="仿宋_GB2312" w:cs="仿宋_GB2312"/>
          <w:color w:val="0D0D0D" w:themeColor="text1" w:themeTint="F2"/>
          <w:sz w:val="32"/>
          <w:szCs w:val="32"/>
          <w:u w:val="none"/>
          <w:lang w:bidi="ar"/>
          <w14:textFill>
            <w14:solidFill>
              <w14:schemeClr w14:val="tx1">
                <w14:lumMod w14:val="95000"/>
                <w14:lumOff w14:val="5000"/>
              </w14:schemeClr>
            </w14:solidFill>
          </w14:textFill>
        </w:rPr>
        <w:t>202</w:t>
      </w:r>
      <w:r>
        <w:rPr>
          <w:rFonts w:hint="eastAsia" w:ascii="仿宋_GB2312" w:hAnsi="仿宋_GB2312" w:eastAsia="仿宋_GB2312" w:cs="仿宋_GB2312"/>
          <w:color w:val="0D0D0D" w:themeColor="text1" w:themeTint="F2"/>
          <w:sz w:val="32"/>
          <w:szCs w:val="32"/>
          <w:u w:val="none"/>
          <w:lang w:val="en-US" w:eastAsia="zh-CN" w:bidi="ar"/>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u w:val="none"/>
          <w:lang w:bidi="ar"/>
          <w14:textFill>
            <w14:solidFill>
              <w14:schemeClr w14:val="tx1">
                <w14:lumMod w14:val="95000"/>
                <w14:lumOff w14:val="5000"/>
              </w14:schemeClr>
            </w14:solidFill>
          </w14:textFill>
        </w:rPr>
        <w:t>年新能源产业观察</w:t>
      </w: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（二）服务期限：自合同签订之日起</w:t>
      </w:r>
      <w:r>
        <w:rPr>
          <w:rFonts w:hint="eastAsia" w:ascii="仿宋_GB2312" w:hAnsi="仿宋" w:eastAsia="仿宋_GB2312" w:cs="仿宋_GB2312"/>
          <w:color w:val="0D0D0D" w:themeColor="text1" w:themeTint="F2"/>
          <w:sz w:val="32"/>
          <w:szCs w:val="32"/>
          <w:u w:val="none"/>
          <w:lang w:val="en-US" w:eastAsia="zh-CN"/>
          <w14:textFill>
            <w14:solidFill>
              <w14:schemeClr w14:val="tx1">
                <w14:lumMod w14:val="95000"/>
                <w14:lumOff w14:val="5000"/>
              </w14:schemeClr>
            </w14:solidFill>
          </w14:textFill>
        </w:rPr>
        <w:t>12</w:t>
      </w: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个月。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（三）项目预算：预算金额不超过</w:t>
      </w:r>
      <w:r>
        <w:rPr>
          <w:rFonts w:hint="eastAsia" w:ascii="仿宋_GB2312" w:hAnsi="仿宋" w:eastAsia="仿宋_GB2312" w:cs="仿宋_GB2312"/>
          <w:color w:val="0D0D0D" w:themeColor="text1" w:themeTint="F2"/>
          <w:sz w:val="32"/>
          <w:szCs w:val="32"/>
          <w:u w:val="none"/>
          <w:lang w:val="en-US" w:eastAsia="zh-CN"/>
          <w14:textFill>
            <w14:solidFill>
              <w14:schemeClr w14:val="tx1">
                <w14:lumMod w14:val="95000"/>
                <w14:lumOff w14:val="5000"/>
              </w14:schemeClr>
            </w14:solidFill>
          </w14:textFill>
        </w:rPr>
        <w:t>80</w:t>
      </w: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二、项目内容</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Times" w:eastAsia="仿宋_GB2312" w:cs="仿宋_GB2312"/>
          <w:sz w:val="32"/>
          <w:szCs w:val="32"/>
          <w:lang w:eastAsia="zh-CN"/>
        </w:rPr>
      </w:pPr>
      <w:r>
        <w:rPr>
          <w:rFonts w:hint="eastAsia" w:ascii="仿宋_GB2312" w:hAnsi="Times" w:eastAsia="仿宋_GB2312" w:cs="仿宋_GB2312"/>
          <w:sz w:val="32"/>
          <w:szCs w:val="32"/>
          <w:lang w:eastAsia="zh-CN"/>
        </w:rPr>
        <w:t>本课题以推动龙华高质量建设国际一流的新能源产业集聚发展高地为目标，对龙华区新能源产业和行业发展进行全面分析研判。具体研究内容如下：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（一）新能源专题研究报告</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Times" w:eastAsia="仿宋_GB2312" w:cs="仿宋_GB2312"/>
          <w:sz w:val="32"/>
          <w:szCs w:val="32"/>
          <w:lang w:eastAsia="zh-CN"/>
        </w:rPr>
      </w:pPr>
      <w:r>
        <w:rPr>
          <w:rFonts w:hint="eastAsia" w:ascii="仿宋_GB2312" w:hAnsi="Times" w:eastAsia="仿宋_GB2312" w:cs="仿宋_GB2312"/>
          <w:sz w:val="32"/>
          <w:szCs w:val="32"/>
          <w:lang w:eastAsia="zh-CN"/>
        </w:rPr>
        <w:t>以龙华区新能源“1+2+2”产业领域为基础，定期研究深圳市、龙华区及其他地区新能源产业发展最新动态。研究龙华区重点企业经营动态，调研了解重点企业经营基本情况及诉求，摸查区内新能源产业发展概况，建立龙华区新能源重点企业数据库。围绕新能源产业重要趋势、重点项目、重大平台建设等方面，定期撰写新能源专题研究报告，并结合龙华区基础现状提供专业建议。服务期内交付研究报告数量不少于8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（二）年度跟踪及研究报告</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Times" w:eastAsia="仿宋_GB2312" w:cs="仿宋_GB2312"/>
          <w:sz w:val="32"/>
          <w:szCs w:val="32"/>
          <w:lang w:eastAsia="zh-CN"/>
        </w:rPr>
      </w:pPr>
      <w:r>
        <w:rPr>
          <w:rFonts w:hint="eastAsia" w:ascii="仿宋_GB2312" w:hAnsi="Times" w:eastAsia="仿宋_GB2312" w:cs="仿宋_GB2312"/>
          <w:sz w:val="32"/>
          <w:szCs w:val="32"/>
          <w:lang w:eastAsia="zh-CN"/>
        </w:rPr>
        <w:t>通过分类、对比等方法多维度挖掘统计数据、绘制相关统计图表，撰写辖区新能源产业发展半年度/年度研究总结报告，梳理半年度及全年辖区新能源产业发展特点。研究全国新能源产业发展情况，根据项目需要开展外出调研。总结辖区新能源重点企业发展动向及发展趋势，根据调研收集的企业诉求提出新能源产业发展相关工作建议。年度跟踪及研究报告分为半年度研究报告及全年研究报告，通过调研、数据资料分析整理，侧重对全区新能源产业发展情况、新能源工作开展</w:t>
      </w:r>
      <w:r>
        <w:rPr>
          <w:rFonts w:hint="eastAsia" w:ascii="仿宋_GB2312" w:hAnsi="Times" w:eastAsia="仿宋_GB2312" w:cs="仿宋_GB2312"/>
          <w:sz w:val="32"/>
          <w:szCs w:val="32"/>
          <w:lang w:val="en-US" w:eastAsia="zh-CN"/>
        </w:rPr>
        <w:t>情况</w:t>
      </w:r>
      <w:r>
        <w:rPr>
          <w:rFonts w:hint="eastAsia" w:ascii="仿宋_GB2312" w:hAnsi="Times" w:eastAsia="仿宋_GB2312" w:cs="仿宋_GB2312"/>
          <w:sz w:val="32"/>
          <w:szCs w:val="32"/>
          <w:lang w:eastAsia="zh-CN"/>
        </w:rPr>
        <w:t>的总结，</w:t>
      </w:r>
      <w:r>
        <w:rPr>
          <w:rFonts w:hint="eastAsia" w:ascii="仿宋_GB2312" w:hAnsi="Times" w:eastAsia="仿宋_GB2312" w:cs="仿宋_GB2312"/>
          <w:sz w:val="32"/>
          <w:szCs w:val="32"/>
          <w:lang w:val="en-US" w:eastAsia="zh-CN"/>
        </w:rPr>
        <w:t>并</w:t>
      </w:r>
      <w:r>
        <w:rPr>
          <w:rFonts w:hint="eastAsia" w:ascii="仿宋_GB2312" w:hAnsi="Times" w:eastAsia="仿宋_GB2312" w:cs="仿宋_GB2312"/>
          <w:sz w:val="32"/>
          <w:szCs w:val="32"/>
          <w:lang w:eastAsia="zh-CN"/>
        </w:rPr>
        <w:t>提出相应对策建议。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（三）年度产业招商动态跟踪研究报告</w:t>
      </w:r>
    </w:p>
    <w:p>
      <w:pPr>
        <w:keepNext/>
        <w:keepLines/>
        <w:pageBreakBefore w:val="0"/>
        <w:widowControl w:val="0"/>
        <w:kinsoku/>
        <w:overflowPunct/>
        <w:topLinePunct w:val="0"/>
        <w:autoSpaceDE/>
        <w:autoSpaceDN/>
        <w:bidi w:val="0"/>
        <w:snapToGrid/>
        <w:spacing w:after="0" w:line="560" w:lineRule="exact"/>
        <w:ind w:firstLine="640" w:firstLineChars="200"/>
        <w:jc w:val="both"/>
        <w:textAlignment w:val="auto"/>
        <w:outlineLvl w:val="0"/>
        <w:rPr>
          <w:rFonts w:hint="eastAsia" w:ascii="仿宋_GB2312" w:hAnsi="Times" w:eastAsia="仿宋_GB2312" w:cs="Times New Roman"/>
          <w:sz w:val="32"/>
          <w:szCs w:val="32"/>
          <w:lang w:eastAsia="zh-CN"/>
        </w:rPr>
      </w:pPr>
      <w:r>
        <w:rPr>
          <w:rFonts w:hint="eastAsia" w:ascii="仿宋_GB2312" w:hAnsi="Times" w:eastAsia="仿宋_GB2312" w:cs="Times New Roman"/>
          <w:sz w:val="32"/>
          <w:szCs w:val="32"/>
          <w:lang w:eastAsia="zh-CN"/>
        </w:rPr>
        <w:t>收集整理龙华区新能源产业招商引资基本情况，跟踪招商项目动态，整理形成1份龙华区新能源招商引资清单。根据招商引资实际工作需要，采取公开资料研究、企业调研座谈等方式研判招商项目发展潜力，形成项目落地可行性研究报告，为新能源招商工作提供有价值的决策咨询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三、项目技术要求</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（一）项目成果应遵循国家颁布的有关法律、法规及政策要求，符合相关的技术规范和标准。</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（二）研究过程中应当进行调查研究，充分把握龙华区新能源产业发展基础、存在问题等相关信息和基础资料。</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三）研究成果要具有前瞻性，结合新能源产业发展趋势，体现新能源产业对实现碳达峰碳中和的重要意义；具有系统性，研究成果要体系完整、内容全面、材料丰富；具有实用性，研究成果符合深圳市、龙华区实际，针对性和可操作性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四、项目成果交付要求</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（一）8</w:t>
      </w:r>
      <w:r>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份新能源专题分析报告</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（二）</w:t>
      </w:r>
      <w:r>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2份年度跟踪及分析报告（半年报、年报）</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（三）1</w:t>
      </w:r>
      <w:r>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个龙华区新能源企业数据库</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（四）</w:t>
      </w:r>
      <w:r>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1份新能源招商引资清单</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（五）1份新能源产业咨询建议汇编；</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（六）</w:t>
      </w:r>
      <w:r>
        <w:rPr>
          <w:rFonts w:hint="default"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2篇市级信息稿件（不少于1篇被采纳）</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（七）10家企业落地可行性分析报告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五、项目保密要求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u w:val="none"/>
          <w14:textFill>
            <w14:solidFill>
              <w14:schemeClr w14:val="tx1">
                <w14:lumMod w14:val="95000"/>
                <w14:lumOff w14:val="5000"/>
              </w14:schemeClr>
            </w14:solidFill>
          </w14:textFill>
        </w:rPr>
        <w:t>中标人应当对其在项目开展过程中所知悉的国家秘密、商业秘密和技术秘密负有保密责任，建立并实施相应的保密措施，具体保密要求如下：</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（一）中标人不得利用所获取、掌握的采购人及其他政府部门的任何保密内容从事采购人及其他政府部门授权工作以外的任何事情，不得披露、允许第三方使用。</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（二）中标人按照采购人要求完成项目后，须立即将项目成果提交采购人存档，未经采购人许可，不得向第三方披露。</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（三）中标人应建立相应的保密制度，明确项目开展过程中各环节的保密性要求，确保相关资料和信息的保密性。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六、投标资格要求</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val="0"/>
          <w:bCs/>
          <w:color w:val="auto"/>
          <w:kern w:val="2"/>
          <w:sz w:val="32"/>
          <w:szCs w:val="32"/>
          <w:lang w:val="en-US" w:eastAsia="zh-CN" w:bidi="ar-SA"/>
        </w:rPr>
        <w:t>（一）具有独立承担民事责任能力的在中华人民共和国境内注册的法人。</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val="0"/>
          <w:bCs/>
          <w:color w:val="auto"/>
          <w:kern w:val="2"/>
          <w:sz w:val="32"/>
          <w:szCs w:val="32"/>
          <w:lang w:val="en-US" w:eastAsia="zh-CN" w:bidi="ar-SA"/>
        </w:rPr>
        <w:t>（二）投标人必须具备相关经营范围（咨询服务等），</w:t>
      </w:r>
      <w:r>
        <w:rPr>
          <w:rFonts w:hint="eastAsia" w:ascii="仿宋_GB2312" w:hAnsi="Times New Roman" w:eastAsia="仿宋_GB2312" w:cs="Times New Roman"/>
          <w:b w:val="0"/>
          <w:bCs/>
          <w:color w:val="auto"/>
          <w:kern w:val="2"/>
          <w:sz w:val="32"/>
          <w:szCs w:val="32"/>
          <w:highlight w:val="none"/>
          <w:lang w:val="en-US" w:eastAsia="zh-CN" w:bidi="ar-SA"/>
        </w:rPr>
        <w:t>具</w:t>
      </w:r>
      <w:r>
        <w:rPr>
          <w:rFonts w:hint="eastAsia" w:ascii="仿宋_GB2312" w:hAnsi="Times New Roman" w:eastAsia="仿宋_GB2312" w:cs="Times New Roman"/>
          <w:b w:val="0"/>
          <w:bCs/>
          <w:color w:val="auto"/>
          <w:kern w:val="2"/>
          <w:sz w:val="32"/>
          <w:szCs w:val="32"/>
          <w:lang w:val="en-US" w:eastAsia="zh-CN" w:bidi="ar-SA"/>
        </w:rPr>
        <w:t>备开展本项目研究的基本条件和研究能力。</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auto"/>
          <w:kern w:val="2"/>
          <w:sz w:val="32"/>
          <w:szCs w:val="32"/>
          <w:lang w:val="en-US" w:eastAsia="zh-CN" w:bidi="ar-SA"/>
        </w:rPr>
        <w:t>（三）参加本次政府采购活动前</w:t>
      </w:r>
      <w:r>
        <w:rPr>
          <w:rFonts w:ascii="仿宋_GB2312" w:hAnsi="Times New Roman" w:eastAsia="仿宋_GB2312" w:cs="Times New Roman"/>
          <w:b w:val="0"/>
          <w:bCs/>
          <w:color w:val="auto"/>
          <w:kern w:val="2"/>
          <w:sz w:val="32"/>
          <w:szCs w:val="32"/>
          <w:lang w:val="en-US" w:eastAsia="zh-CN" w:bidi="ar-SA"/>
        </w:rPr>
        <w:t>3年内在经营活动中没有重大违法记录（提供声明函，格式自拟）</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七、投标时间、地点及联系人</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（一）投标时间：</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202</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4年4月16日至</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202</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4年4月18日（以正式发布为准），每日上午</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9:00-12:00，下午2:00-</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6：00</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（节假日除外）。逾期未投标将不再受理。</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（二）投标地点：深圳市龙华区龙华街道清泉路7号富康行政服务办公区19楼A1902，深圳市龙华区发展和改革局办公室</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（可邮寄，以送达日期为投标日期）。</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default" w:ascii="仿宋_GB2312" w:hAnsi="Times New Roman" w:eastAsia="仿宋_GB2312" w:cs="Times New Roman"/>
          <w:b/>
          <w:bCs/>
          <w:color w:val="0D0D0D" w:themeColor="text1" w:themeTint="F2"/>
          <w:kern w:val="2"/>
          <w:sz w:val="32"/>
          <w:szCs w:val="32"/>
          <w:highlight w:val="none"/>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（三）联系人及电话：</w:t>
      </w:r>
      <w:r>
        <w:rPr>
          <w:rFonts w:hint="eastAsia" w:ascii="仿宋_GB2312" w:hAnsi="Times New Roman" w:eastAsia="仿宋_GB2312" w:cs="Times New Roman"/>
          <w:b w:val="0"/>
          <w:bCs/>
          <w:color w:val="0D0D0D" w:themeColor="text1" w:themeTint="F2"/>
          <w:kern w:val="2"/>
          <w:sz w:val="32"/>
          <w:szCs w:val="32"/>
          <w:highlight w:val="none"/>
          <w:u w:val="none"/>
          <w:lang w:val="en-US" w:eastAsia="zh-CN" w:bidi="ar-SA"/>
          <w14:textFill>
            <w14:solidFill>
              <w14:schemeClr w14:val="tx1">
                <w14:lumMod w14:val="95000"/>
                <w14:lumOff w14:val="5000"/>
              </w14:schemeClr>
            </w14:solidFill>
          </w14:textFill>
        </w:rPr>
        <w:t>李石磊，0755-23338510</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黑体" w:hAnsi="黑体" w:eastAsia="黑体" w:cs="Times New Roman"/>
          <w:b w:val="0"/>
          <w:bCs w:val="0"/>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kern w:val="2"/>
          <w:sz w:val="32"/>
          <w:szCs w:val="32"/>
          <w:u w:val="none"/>
          <w:lang w:val="en-US" w:eastAsia="zh-CN" w:bidi="ar-SA"/>
          <w14:textFill>
            <w14:solidFill>
              <w14:schemeClr w14:val="tx1">
                <w14:lumMod w14:val="95000"/>
                <w14:lumOff w14:val="5000"/>
              </w14:schemeClr>
            </w14:solidFill>
          </w14:textFill>
        </w:rPr>
        <w:t>八、投标文件递交内容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（一）投标单位简介、投标人营业执照及相关证照（提供加盖公章的复印件，原件备查）。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（二）法定代表人证明书及授权委托书（原件加盖公章）。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（三）法定代表人及受委托人身份证复印件（复印件加盖公章）。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（四）项目方案及报价单（原件加盖公章）。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（五）投标人相关领域/项目经验证明材料（复印件加盖公章）。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（六）投标人无重大违法记录声明函（原件加盖公章，格式自拟）。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（七）投标及履约承诺函原件（格式见附件）。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（八）住所地不在深圳的投标人应提供营业场所证明原件。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（九）投标人认为有必要提供的其它材料。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 w:hAnsi="仿宋" w:eastAsia="仿宋"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投标文件一式</w:t>
      </w:r>
      <w:r>
        <w:rPr>
          <w:rFonts w:hint="eastAsia" w:ascii="仿宋_GB2312" w:hAnsi="仿宋" w:eastAsia="仿宋_GB2312" w:cs="仿宋_GB2312"/>
          <w:color w:val="0D0D0D" w:themeColor="text1" w:themeTint="F2"/>
          <w:sz w:val="32"/>
          <w:szCs w:val="32"/>
          <w:u w:val="none"/>
          <w:lang w:eastAsia="zh-CN"/>
          <w14:textFill>
            <w14:solidFill>
              <w14:schemeClr w14:val="tx1">
                <w14:lumMod w14:val="95000"/>
                <w14:lumOff w14:val="5000"/>
              </w14:schemeClr>
            </w14:solidFill>
          </w14:textFill>
        </w:rPr>
        <w:t>五</w:t>
      </w: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份，整套</w:t>
      </w:r>
      <w:r>
        <w:rPr>
          <w:rFonts w:hint="eastAsia" w:ascii="仿宋_GB2312" w:hAnsi="仿宋" w:eastAsia="仿宋_GB2312" w:cs="仿宋_GB2312"/>
          <w:color w:val="0D0D0D" w:themeColor="text1" w:themeTint="F2"/>
          <w:sz w:val="32"/>
          <w:szCs w:val="32"/>
          <w:u w:val="none"/>
          <w:lang w:eastAsia="zh-CN"/>
          <w14:textFill>
            <w14:solidFill>
              <w14:schemeClr w14:val="tx1">
                <w14:lumMod w14:val="95000"/>
                <w14:lumOff w14:val="5000"/>
              </w14:schemeClr>
            </w14:solidFill>
          </w14:textFill>
        </w:rPr>
        <w:t>纸质</w:t>
      </w: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材料密封并加盖骑缝章，封面注明</w:t>
      </w:r>
      <w:r>
        <w:rPr>
          <w:rFonts w:hint="eastAsia" w:ascii="仿宋_GB2312" w:hAnsi="仿宋" w:eastAsia="仿宋_GB2312" w:cs="仿宋_GB2312"/>
          <w:color w:val="0D0D0D" w:themeColor="text1" w:themeTint="F2"/>
          <w:sz w:val="32"/>
          <w:szCs w:val="32"/>
          <w:u w:val="none"/>
          <w:lang w:eastAsia="zh-CN"/>
          <w14:textFill>
            <w14:solidFill>
              <w14:schemeClr w14:val="tx1">
                <w14:lumMod w14:val="95000"/>
                <w14:lumOff w14:val="5000"/>
              </w14:schemeClr>
            </w14:solidFill>
          </w14:textFill>
        </w:rPr>
        <w:t>招标项目名称；</w:t>
      </w: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投标人的名称、地址、联系人及手机号码。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九、重要提示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（一）未在规定时间内将投标文件送达规定地点的。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（三）投标文件未按规定密封、签字、盖章。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（五）分项报价或投标总价高于预算金额（最高投标限价）的。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（九）法律、法规规定的其他情形。</w:t>
      </w:r>
    </w:p>
    <w:p>
      <w:pPr>
        <w:pStyle w:val="5"/>
        <w:spacing w:line="560" w:lineRule="exact"/>
        <w:ind w:firstLine="640"/>
        <w:outlineLvl w:val="1"/>
        <w:rPr>
          <w:rFonts w:hint="eastAsia" w:ascii="黑体" w:hAnsi="黑体" w:eastAsia="黑体" w:cs="Times New Roman"/>
          <w:b w:val="0"/>
          <w:bCs w:val="0"/>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highlight w:val="none"/>
          <w:u w:val="none"/>
          <w14:textFill>
            <w14:solidFill>
              <w14:schemeClr w14:val="tx1">
                <w14:lumMod w14:val="95000"/>
                <w14:lumOff w14:val="5000"/>
              </w14:schemeClr>
            </w14:solidFill>
          </w14:textFill>
        </w:rPr>
        <w:t>十、评标方法</w:t>
      </w:r>
    </w:p>
    <w:p>
      <w:pPr>
        <w:pStyle w:val="5"/>
        <w:spacing w:line="560" w:lineRule="exact"/>
        <w:ind w:firstLine="640"/>
        <w:outlineLvl w:val="1"/>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sz w:val="32"/>
          <w:szCs w:val="32"/>
        </w:rPr>
        <w:t>（一）评分规则</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评标采用综合评分法。确定中标供应商按评审后得分由高到低顺序排列。得分相同的，按投标报价由低到高顺序排列。得分且投标报价相同的，按技术或服务方案优劣顺序排列。</w:t>
      </w:r>
    </w:p>
    <w:p>
      <w:pPr>
        <w:pStyle w:val="5"/>
        <w:spacing w:line="560" w:lineRule="exact"/>
        <w:ind w:firstLine="64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（二）评分权重</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948"/>
        <w:gridCol w:w="1738"/>
        <w:gridCol w:w="1784"/>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pct"/>
            <w:noWrap w:val="0"/>
            <w:vAlign w:val="center"/>
          </w:tcPr>
          <w:p>
            <w:pPr>
              <w:pStyle w:val="24"/>
              <w:spacing w:line="360" w:lineRule="auto"/>
              <w:ind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评分内容</w:t>
            </w:r>
          </w:p>
        </w:tc>
        <w:tc>
          <w:tcPr>
            <w:tcW w:w="1075" w:type="pct"/>
            <w:noWrap w:val="0"/>
            <w:vAlign w:val="center"/>
          </w:tcPr>
          <w:p>
            <w:pPr>
              <w:pStyle w:val="24"/>
              <w:spacing w:line="360" w:lineRule="auto"/>
              <w:ind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商务能力</w:t>
            </w:r>
          </w:p>
        </w:tc>
        <w:tc>
          <w:tcPr>
            <w:tcW w:w="959" w:type="pct"/>
            <w:noWrap w:val="0"/>
            <w:vAlign w:val="center"/>
          </w:tcPr>
          <w:p>
            <w:pPr>
              <w:pStyle w:val="24"/>
              <w:spacing w:line="360" w:lineRule="auto"/>
              <w:ind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技术能力</w:t>
            </w:r>
          </w:p>
        </w:tc>
        <w:tc>
          <w:tcPr>
            <w:tcW w:w="984" w:type="pct"/>
            <w:noWrap w:val="0"/>
            <w:vAlign w:val="center"/>
          </w:tcPr>
          <w:p>
            <w:pPr>
              <w:pStyle w:val="24"/>
              <w:spacing w:line="360" w:lineRule="auto"/>
              <w:ind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人员配备</w:t>
            </w:r>
          </w:p>
        </w:tc>
        <w:tc>
          <w:tcPr>
            <w:tcW w:w="1032" w:type="pct"/>
            <w:noWrap w:val="0"/>
            <w:vAlign w:val="center"/>
          </w:tcPr>
          <w:p>
            <w:pPr>
              <w:pStyle w:val="24"/>
              <w:spacing w:line="360" w:lineRule="auto"/>
              <w:ind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pct"/>
            <w:noWrap w:val="0"/>
            <w:vAlign w:val="center"/>
          </w:tcPr>
          <w:p>
            <w:pPr>
              <w:pStyle w:val="24"/>
              <w:spacing w:line="360" w:lineRule="auto"/>
              <w:ind w:firstLine="0" w:firstLine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分值</w:t>
            </w:r>
          </w:p>
        </w:tc>
        <w:tc>
          <w:tcPr>
            <w:tcW w:w="1075" w:type="pct"/>
            <w:noWrap w:val="0"/>
            <w:vAlign w:val="center"/>
          </w:tcPr>
          <w:p>
            <w:pPr>
              <w:pStyle w:val="24"/>
              <w:spacing w:line="360" w:lineRule="auto"/>
              <w:ind w:firstLine="0" w:firstLine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25</w:t>
            </w:r>
            <w:r>
              <w:rPr>
                <w:rFonts w:hint="eastAsia" w:ascii="仿宋_GB2312" w:hAnsi="仿宋_GB2312" w:eastAsia="仿宋_GB2312" w:cs="仿宋_GB2312"/>
                <w:b w:val="0"/>
                <w:bCs/>
                <w:color w:val="000000"/>
                <w:sz w:val="24"/>
                <w:szCs w:val="24"/>
              </w:rPr>
              <w:t>分</w:t>
            </w:r>
          </w:p>
        </w:tc>
        <w:tc>
          <w:tcPr>
            <w:tcW w:w="959" w:type="pct"/>
            <w:noWrap w:val="0"/>
            <w:vAlign w:val="center"/>
          </w:tcPr>
          <w:p>
            <w:pPr>
              <w:pStyle w:val="24"/>
              <w:spacing w:line="360" w:lineRule="auto"/>
              <w:ind w:firstLine="0" w:firstLine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35</w:t>
            </w:r>
            <w:r>
              <w:rPr>
                <w:rFonts w:hint="eastAsia" w:ascii="仿宋_GB2312" w:hAnsi="仿宋_GB2312" w:eastAsia="仿宋_GB2312" w:cs="仿宋_GB2312"/>
                <w:b w:val="0"/>
                <w:bCs/>
                <w:color w:val="000000"/>
                <w:sz w:val="24"/>
                <w:szCs w:val="24"/>
              </w:rPr>
              <w:t>分</w:t>
            </w:r>
          </w:p>
        </w:tc>
        <w:tc>
          <w:tcPr>
            <w:tcW w:w="984" w:type="pct"/>
            <w:noWrap w:val="0"/>
            <w:vAlign w:val="center"/>
          </w:tcPr>
          <w:p>
            <w:pPr>
              <w:pStyle w:val="24"/>
              <w:spacing w:line="360" w:lineRule="auto"/>
              <w:ind w:firstLine="0" w:firstLine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20分</w:t>
            </w:r>
          </w:p>
        </w:tc>
        <w:tc>
          <w:tcPr>
            <w:tcW w:w="1032" w:type="pct"/>
            <w:noWrap w:val="0"/>
            <w:vAlign w:val="center"/>
          </w:tcPr>
          <w:p>
            <w:pPr>
              <w:pStyle w:val="24"/>
              <w:spacing w:line="360" w:lineRule="auto"/>
              <w:ind w:firstLine="0" w:firstLine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20分</w:t>
            </w:r>
          </w:p>
        </w:tc>
      </w:tr>
    </w:tbl>
    <w:p>
      <w:pPr>
        <w:pStyle w:val="5"/>
        <w:spacing w:line="560" w:lineRule="exact"/>
        <w:ind w:firstLine="64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（三）评分标准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1.商务能力</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026"/>
        <w:gridCol w:w="4473"/>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9" w:type="pct"/>
            <w:gridSpan w:val="3"/>
            <w:vAlign w:val="center"/>
          </w:tcPr>
          <w:p>
            <w:pPr>
              <w:pStyle w:val="24"/>
              <w:spacing w:line="312" w:lineRule="auto"/>
              <w:ind w:firstLine="0" w:firstLineChars="0"/>
              <w:jc w:val="center"/>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项目</w:t>
            </w:r>
          </w:p>
        </w:tc>
        <w:tc>
          <w:tcPr>
            <w:tcW w:w="1580" w:type="pct"/>
            <w:vAlign w:val="center"/>
          </w:tcPr>
          <w:p>
            <w:pPr>
              <w:pStyle w:val="24"/>
              <w:spacing w:line="312" w:lineRule="auto"/>
              <w:ind w:firstLine="0" w:firstLineChars="0"/>
              <w:jc w:val="center"/>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restart"/>
            <w:vAlign w:val="center"/>
          </w:tcPr>
          <w:p>
            <w:pPr>
              <w:pStyle w:val="24"/>
              <w:spacing w:line="312" w:lineRule="auto"/>
              <w:ind w:firstLine="0" w:firstLineChars="0"/>
              <w:jc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商务能力评分25分</w:t>
            </w:r>
          </w:p>
        </w:tc>
        <w:tc>
          <w:tcPr>
            <w:tcW w:w="566" w:type="pct"/>
            <w:vAlign w:val="center"/>
          </w:tcPr>
          <w:p>
            <w:pPr>
              <w:pStyle w:val="24"/>
              <w:spacing w:line="312" w:lineRule="auto"/>
              <w:ind w:firstLine="0" w:firstLineChars="0"/>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经验（10分）</w:t>
            </w:r>
          </w:p>
        </w:tc>
        <w:tc>
          <w:tcPr>
            <w:tcW w:w="2468" w:type="pct"/>
            <w:vAlign w:val="center"/>
          </w:tcPr>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自2018年1月1日至今（以合同签订时间或中标通知书落款时间为准），承担过类似项目：</w:t>
            </w:r>
          </w:p>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1.承担过市、区经济、产业领域相关项目，每个项目得2分，同一项业绩仅计算一个方向。</w:t>
            </w:r>
          </w:p>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2.本项满分10分。</w:t>
            </w:r>
          </w:p>
        </w:tc>
        <w:tc>
          <w:tcPr>
            <w:tcW w:w="1580" w:type="pct"/>
            <w:vAlign w:val="center"/>
          </w:tcPr>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1.投标人须提供项目合同关键页或中标通知书原件扫描件，作为得分依据。未提供或提供不清晰导致无法判断的，不得分。</w:t>
            </w:r>
          </w:p>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385" w:type="pct"/>
            <w:vMerge w:val="continue"/>
            <w:vAlign w:val="center"/>
          </w:tcPr>
          <w:p>
            <w:pPr>
              <w:pStyle w:val="24"/>
              <w:spacing w:line="312" w:lineRule="auto"/>
              <w:ind w:firstLine="0" w:firstLineChars="0"/>
              <w:jc w:val="center"/>
              <w:rPr>
                <w:rFonts w:hint="eastAsia" w:ascii="仿宋_GB2312" w:hAnsi="仿宋_GB2312" w:eastAsia="仿宋_GB2312" w:cs="仿宋_GB2312"/>
                <w:b w:val="0"/>
                <w:bCs/>
                <w:color w:val="000000"/>
                <w:sz w:val="24"/>
                <w:szCs w:val="24"/>
                <w:lang w:val="en-US" w:eastAsia="zh-CN"/>
              </w:rPr>
            </w:pPr>
          </w:p>
        </w:tc>
        <w:tc>
          <w:tcPr>
            <w:tcW w:w="566" w:type="pct"/>
            <w:vAlign w:val="center"/>
          </w:tcPr>
          <w:p>
            <w:pPr>
              <w:pStyle w:val="24"/>
              <w:spacing w:line="312" w:lineRule="auto"/>
              <w:ind w:firstLine="0" w:firstLineChars="0"/>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履约评价情况（10分）</w:t>
            </w:r>
          </w:p>
        </w:tc>
        <w:tc>
          <w:tcPr>
            <w:tcW w:w="2468" w:type="pct"/>
            <w:vAlign w:val="center"/>
          </w:tcPr>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自2018年1月1日至今（以合同签订时间或中标通知书落款时间为准），所做项目经服务单位考核评价为优或满意的，每个项目得2分，满分10分。(同一方向内的多项业绩资料仅按一项业绩计，同一项业绩仅计算一个方向）</w:t>
            </w:r>
          </w:p>
        </w:tc>
        <w:tc>
          <w:tcPr>
            <w:tcW w:w="1580" w:type="pct"/>
            <w:vAlign w:val="center"/>
          </w:tcPr>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1.提供以上项目合同关键页（含签订合同双方的单位名称、合同项目名称、项目金额与含签订合同双方的落款盖章、签订日期的关键页）及盖有用户单位公章的履约评价表，并加盖投标人公章。</w:t>
            </w:r>
          </w:p>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2.未按要求提供或提供不清晰导致专家无法判断的不得分。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vAlign w:val="center"/>
          </w:tcPr>
          <w:p>
            <w:pPr>
              <w:pStyle w:val="24"/>
              <w:spacing w:line="312" w:lineRule="auto"/>
              <w:ind w:firstLine="0" w:firstLineChars="0"/>
              <w:jc w:val="center"/>
              <w:rPr>
                <w:rFonts w:hint="eastAsia" w:ascii="仿宋_GB2312" w:hAnsi="仿宋_GB2312" w:eastAsia="仿宋_GB2312" w:cs="仿宋_GB2312"/>
                <w:b w:val="0"/>
                <w:bCs/>
                <w:color w:val="000000"/>
                <w:sz w:val="24"/>
                <w:szCs w:val="24"/>
                <w:lang w:val="en-US" w:eastAsia="zh-CN"/>
              </w:rPr>
            </w:pPr>
          </w:p>
        </w:tc>
        <w:tc>
          <w:tcPr>
            <w:tcW w:w="566" w:type="pct"/>
            <w:vAlign w:val="center"/>
          </w:tcPr>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诚信管理情况</w:t>
            </w:r>
          </w:p>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（5分）</w:t>
            </w:r>
          </w:p>
        </w:tc>
        <w:tc>
          <w:tcPr>
            <w:tcW w:w="2468" w:type="pct"/>
            <w:vAlign w:val="center"/>
          </w:tcPr>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符合国家法规政策关于诚信管理的要求，至投标截止时间，投标人没有在信用中国网（www.creditchina.gov.cn）或中国政府采购网（www.ccgp.gov.cn）或深圳市政府采购监督管理网（zfcg.sz.gov.cn）或深圳公共资源交易中心市区政府采购统一平台（www.szggzy.com）或“国家企业信用信息公示系统”（www.gsxt.gov.cn）等官网中列入“失信被执行人、重大税收违法案件当事人名单、政府采购严重违法失信行为记录名单” 。</w:t>
            </w:r>
          </w:p>
        </w:tc>
        <w:tc>
          <w:tcPr>
            <w:tcW w:w="1580" w:type="pct"/>
            <w:vAlign w:val="center"/>
          </w:tcPr>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1.投标人须提供相关截图作为佐证材料。</w:t>
            </w:r>
          </w:p>
          <w:p>
            <w:pPr>
              <w:pStyle w:val="24"/>
              <w:spacing w:line="312" w:lineRule="auto"/>
              <w:ind w:firstLine="0" w:firstLineChars="0"/>
              <w:jc w:val="lef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2.投标人在参与政府采购活动中存在诚信相关问题且在主管部门相关处理措施实施期限内的</w:t>
            </w:r>
            <w:bookmarkStart w:id="0" w:name="_GoBack"/>
            <w:bookmarkEnd w:id="0"/>
            <w:r>
              <w:rPr>
                <w:rFonts w:hint="eastAsia" w:ascii="仿宋_GB2312" w:hAnsi="仿宋_GB2312" w:eastAsia="仿宋_GB2312" w:cs="仿宋_GB2312"/>
                <w:b w:val="0"/>
                <w:bCs/>
                <w:color w:val="000000"/>
                <w:sz w:val="24"/>
                <w:szCs w:val="24"/>
                <w:lang w:val="en-US" w:eastAsia="zh-CN"/>
              </w:rPr>
              <w:t>，本项不得分，否则得满分。</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2.技术能力</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023"/>
        <w:gridCol w:w="450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1" w:type="dxa"/>
            <w:gridSpan w:val="3"/>
            <w:vAlign w:val="center"/>
          </w:tcPr>
          <w:p>
            <w:pPr>
              <w:spacing w:line="312" w:lineRule="auto"/>
              <w:ind w:firstLine="0" w:firstLineChars="0"/>
              <w:jc w:val="center"/>
              <w:rPr>
                <w:rFonts w:hint="eastAsia" w:ascii="仿宋_GB2312" w:hAnsi="仿宋_GB2312" w:eastAsia="仿宋_GB2312" w:cs="仿宋_GB2312"/>
                <w:b/>
                <w:bCs w:val="0"/>
                <w:color w:val="000000"/>
                <w:sz w:val="24"/>
                <w:szCs w:val="24"/>
                <w:lang w:eastAsia="zh-CN"/>
              </w:rPr>
            </w:pPr>
            <w:r>
              <w:rPr>
                <w:rFonts w:hint="eastAsia" w:ascii="仿宋_GB2312" w:hAnsi="仿宋_GB2312" w:eastAsia="仿宋_GB2312" w:cs="仿宋_GB2312"/>
                <w:b/>
                <w:bCs w:val="0"/>
                <w:color w:val="000000"/>
                <w:sz w:val="24"/>
                <w:szCs w:val="24"/>
                <w:lang w:eastAsia="zh-CN"/>
              </w:rPr>
              <w:t>项目</w:t>
            </w:r>
          </w:p>
        </w:tc>
        <w:tc>
          <w:tcPr>
            <w:tcW w:w="2850" w:type="dxa"/>
            <w:vAlign w:val="center"/>
          </w:tcPr>
          <w:p>
            <w:pPr>
              <w:spacing w:line="312" w:lineRule="auto"/>
              <w:ind w:firstLine="0" w:firstLineChars="0"/>
              <w:jc w:val="center"/>
              <w:rPr>
                <w:rFonts w:hint="eastAsia" w:ascii="仿宋_GB2312" w:hAnsi="仿宋_GB2312" w:eastAsia="仿宋_GB2312" w:cs="仿宋_GB2312"/>
                <w:b/>
                <w:bCs w:val="0"/>
                <w:color w:val="000000"/>
                <w:sz w:val="24"/>
                <w:szCs w:val="24"/>
                <w:lang w:eastAsia="zh-CN"/>
              </w:rPr>
            </w:pPr>
            <w:r>
              <w:rPr>
                <w:rFonts w:hint="eastAsia" w:ascii="仿宋_GB2312" w:hAnsi="仿宋_GB2312" w:eastAsia="仿宋_GB2312" w:cs="仿宋_GB2312"/>
                <w:b/>
                <w:bCs w:val="0"/>
                <w:color w:val="000000"/>
                <w:sz w:val="24"/>
                <w:szCs w:val="24"/>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pPr>
              <w:spacing w:line="312" w:lineRule="auto"/>
              <w:ind w:firstLine="0" w:firstLineChars="0"/>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技术能力评分</w:t>
            </w:r>
            <w:r>
              <w:rPr>
                <w:rFonts w:hint="eastAsia" w:ascii="仿宋_GB2312" w:hAnsi="仿宋_GB2312" w:eastAsia="仿宋_GB2312" w:cs="仿宋_GB2312"/>
                <w:bCs/>
                <w:color w:val="000000"/>
                <w:sz w:val="24"/>
                <w:szCs w:val="24"/>
                <w:lang w:val="en-US" w:eastAsia="zh-CN"/>
              </w:rPr>
              <w:t>35</w:t>
            </w:r>
            <w:r>
              <w:rPr>
                <w:rFonts w:hint="eastAsia" w:ascii="仿宋_GB2312" w:hAnsi="仿宋_GB2312" w:eastAsia="仿宋_GB2312" w:cs="仿宋_GB2312"/>
                <w:bCs/>
                <w:color w:val="000000"/>
                <w:sz w:val="24"/>
                <w:szCs w:val="24"/>
              </w:rPr>
              <w:t>分</w:t>
            </w:r>
          </w:p>
        </w:tc>
        <w:tc>
          <w:tcPr>
            <w:tcW w:w="1023" w:type="dxa"/>
            <w:vAlign w:val="center"/>
          </w:tcPr>
          <w:p>
            <w:pPr>
              <w:spacing w:line="312" w:lineRule="auto"/>
              <w:ind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方案</w:t>
            </w:r>
          </w:p>
          <w:p>
            <w:pPr>
              <w:spacing w:line="312" w:lineRule="auto"/>
              <w:ind w:firstLine="0" w:firstLineChars="0"/>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val="en-US" w:eastAsia="zh-CN"/>
              </w:rPr>
              <w:t>15</w:t>
            </w:r>
            <w:r>
              <w:rPr>
                <w:rFonts w:hint="eastAsia" w:ascii="仿宋_GB2312" w:hAnsi="仿宋_GB2312" w:eastAsia="仿宋_GB2312" w:cs="仿宋_GB2312"/>
                <w:bCs/>
                <w:color w:val="000000"/>
                <w:sz w:val="24"/>
                <w:szCs w:val="24"/>
              </w:rPr>
              <w:t>分）</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（一）评分内容</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1.对项目背景意义、工作目标等的理解深入、准确；</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2.工作内容和成果认识全面、准确；</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3.技术路线清晰合理，工作方法多样。</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（二）评分标准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投标人提供的方案每满足以上1点的得1分，最高得3分。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在以上评审内容的基础上，根据各投标人的具体响应内容进一步评审加分：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1.优：对项目理解准确全面，对上述评审内容有针对性分析，方案详细且贴切项目实际的，</w:t>
            </w:r>
            <w:r>
              <w:rPr>
                <w:rFonts w:hint="eastAsia" w:ascii="仿宋_GB2312" w:hAnsi="仿宋_GB2312" w:eastAsia="仿宋_GB2312" w:cs="仿宋_GB2312"/>
                <w:bCs/>
                <w:color w:val="auto"/>
                <w:sz w:val="24"/>
                <w:szCs w:val="24"/>
                <w:lang w:val="en-US" w:eastAsia="zh-CN"/>
              </w:rPr>
              <w:t>加12</w:t>
            </w:r>
            <w:r>
              <w:rPr>
                <w:rFonts w:hint="eastAsia" w:ascii="仿宋_GB2312" w:hAnsi="仿宋_GB2312" w:eastAsia="仿宋_GB2312" w:cs="仿宋_GB2312"/>
                <w:bCs/>
                <w:color w:val="auto"/>
                <w:sz w:val="24"/>
                <w:szCs w:val="24"/>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2.良：对项目理解准确，但对上述评审内容分析不全面，方案详细但针对性一般的，</w:t>
            </w:r>
            <w:r>
              <w:rPr>
                <w:rFonts w:hint="eastAsia" w:ascii="仿宋_GB2312" w:hAnsi="仿宋_GB2312" w:eastAsia="仿宋_GB2312" w:cs="仿宋_GB2312"/>
                <w:bCs/>
                <w:color w:val="auto"/>
                <w:sz w:val="24"/>
                <w:szCs w:val="24"/>
                <w:lang w:val="en-US" w:eastAsia="zh-CN"/>
              </w:rPr>
              <w:t>加7</w:t>
            </w:r>
            <w:r>
              <w:rPr>
                <w:rFonts w:hint="eastAsia" w:ascii="仿宋_GB2312" w:hAnsi="仿宋_GB2312" w:eastAsia="仿宋_GB2312" w:cs="仿宋_GB2312"/>
                <w:bCs/>
                <w:color w:val="auto"/>
                <w:sz w:val="24"/>
                <w:szCs w:val="24"/>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3.中：对项目理解不够准确，对评审内容分析不全面，方案简要且针对性不强的，</w:t>
            </w:r>
            <w:r>
              <w:rPr>
                <w:rFonts w:hint="eastAsia" w:ascii="仿宋_GB2312" w:hAnsi="仿宋_GB2312" w:eastAsia="仿宋_GB2312" w:cs="仿宋_GB2312"/>
                <w:bCs/>
                <w:color w:val="auto"/>
                <w:sz w:val="24"/>
                <w:szCs w:val="24"/>
                <w:lang w:val="en-US" w:eastAsia="zh-CN"/>
              </w:rPr>
              <w:t>加3</w:t>
            </w:r>
            <w:r>
              <w:rPr>
                <w:rFonts w:hint="eastAsia" w:ascii="仿宋_GB2312" w:hAnsi="仿宋_GB2312" w:eastAsia="仿宋_GB2312" w:cs="仿宋_GB2312"/>
                <w:bCs/>
                <w:color w:val="auto"/>
                <w:sz w:val="24"/>
                <w:szCs w:val="24"/>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4.差：没有理解项目需求且没有针对评审内容进行分析，缺少方案的，加0分。</w:t>
            </w:r>
          </w:p>
        </w:tc>
        <w:tc>
          <w:tcPr>
            <w:tcW w:w="2850" w:type="dxa"/>
            <w:vAlign w:val="center"/>
          </w:tcPr>
          <w:p>
            <w:pPr>
              <w:spacing w:line="312" w:lineRule="auto"/>
              <w:ind w:firstLine="0" w:firstLineChars="0"/>
              <w:jc w:val="left"/>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tcPr>
          <w:p>
            <w:pPr>
              <w:pStyle w:val="7"/>
              <w:spacing w:line="312" w:lineRule="auto"/>
              <w:rPr>
                <w:rFonts w:hint="eastAsia" w:ascii="仿宋_GB2312" w:hAnsi="仿宋_GB2312" w:eastAsia="仿宋_GB2312" w:cs="仿宋_GB2312"/>
                <w:sz w:val="24"/>
                <w:szCs w:val="24"/>
                <w:vertAlign w:val="baseline"/>
                <w:lang w:val="en-US" w:eastAsia="zh-CN"/>
              </w:rPr>
            </w:pPr>
          </w:p>
        </w:tc>
        <w:tc>
          <w:tcPr>
            <w:tcW w:w="1023" w:type="dxa"/>
            <w:vAlign w:val="center"/>
          </w:tcPr>
          <w:p>
            <w:pPr>
              <w:spacing w:line="312" w:lineRule="auto"/>
              <w:ind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重难点分析</w:t>
            </w:r>
          </w:p>
          <w:p>
            <w:pPr>
              <w:spacing w:line="312" w:lineRule="auto"/>
              <w:ind w:firstLine="0" w:firstLineChars="0"/>
              <w:jc w:val="center"/>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val="en-US" w:eastAsia="zh-CN"/>
              </w:rPr>
              <w:t>1</w:t>
            </w:r>
            <w:r>
              <w:rPr>
                <w:rFonts w:hint="default" w:ascii="仿宋_GB2312" w:hAnsi="仿宋_GB2312" w:eastAsia="仿宋_GB2312" w:cs="仿宋_GB2312"/>
                <w:bCs/>
                <w:color w:val="000000"/>
                <w:sz w:val="24"/>
                <w:szCs w:val="24"/>
                <w:lang w:val="en-US" w:eastAsia="zh-CN"/>
              </w:rPr>
              <w:t>0</w:t>
            </w:r>
            <w:r>
              <w:rPr>
                <w:rFonts w:hint="eastAsia" w:ascii="仿宋_GB2312" w:hAnsi="仿宋_GB2312" w:eastAsia="仿宋_GB2312" w:cs="仿宋_GB2312"/>
                <w:bCs/>
                <w:color w:val="000000"/>
                <w:sz w:val="24"/>
                <w:szCs w:val="24"/>
              </w:rPr>
              <w:t>分）</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（一）评分内容</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1.对项目重点、难点的挖掘分析准确到位；</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2.应对措施得当，具有可操作性；</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3.相关建议合理、有针对性。</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（二）评分标准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投标人提供的项目重点难点分析、应对措施及相关的合理化建议每满足以上1点的得1分，最高得3分。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在以上评审内容的基础上，根据各投标人的具体响应内容进一步评审加分：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1.优：以上项目重点难点分析、应对措施及相关的合理化建议的内容全面具体、针对性强、可操作性强，加</w:t>
            </w:r>
            <w:r>
              <w:rPr>
                <w:rFonts w:hint="default" w:ascii="仿宋_GB2312" w:hAnsi="仿宋_GB2312" w:eastAsia="仿宋_GB2312" w:cs="仿宋_GB2312"/>
                <w:bCs/>
                <w:color w:val="000000"/>
                <w:sz w:val="24"/>
                <w:szCs w:val="24"/>
                <w:lang w:val="en-US" w:eastAsia="zh-CN"/>
              </w:rPr>
              <w:t>7</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2.良：以上项目重点难点分析、应对措施及相关的合理化建议的内容较全面、针对性较强、可操作性较强，加</w:t>
            </w:r>
            <w:r>
              <w:rPr>
                <w:rFonts w:hint="default" w:ascii="仿宋_GB2312" w:hAnsi="仿宋_GB2312" w:eastAsia="仿宋_GB2312" w:cs="仿宋_GB2312"/>
                <w:bCs/>
                <w:color w:val="000000"/>
                <w:sz w:val="24"/>
                <w:szCs w:val="24"/>
                <w:lang w:val="en-US" w:eastAsia="zh-CN"/>
              </w:rPr>
              <w:t>4</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3.中：以上项目重点难点分析、应对措施及相关的合理化建议的内容完整性、针对性、可操作性均一般，加</w:t>
            </w:r>
            <w:r>
              <w:rPr>
                <w:rFonts w:hint="default"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4.差：项目重点难点分析、应对措施及相关的合理化建议内容不科学、不完整、针对性较弱，加0分；</w:t>
            </w:r>
          </w:p>
        </w:tc>
        <w:tc>
          <w:tcPr>
            <w:tcW w:w="2850" w:type="dxa"/>
            <w:vAlign w:val="center"/>
          </w:tcPr>
          <w:p>
            <w:pPr>
              <w:spacing w:line="312" w:lineRule="auto"/>
              <w:ind w:firstLine="0" w:firstLineChars="0"/>
              <w:jc w:val="left"/>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tcPr>
          <w:p>
            <w:pPr>
              <w:pStyle w:val="7"/>
              <w:spacing w:line="312" w:lineRule="auto"/>
              <w:rPr>
                <w:rFonts w:hint="eastAsia" w:ascii="仿宋_GB2312" w:hAnsi="仿宋_GB2312" w:eastAsia="仿宋_GB2312" w:cs="仿宋_GB2312"/>
                <w:sz w:val="24"/>
                <w:szCs w:val="24"/>
                <w:vertAlign w:val="baseline"/>
                <w:lang w:val="en-US" w:eastAsia="zh-CN"/>
              </w:rPr>
            </w:pPr>
          </w:p>
        </w:tc>
        <w:tc>
          <w:tcPr>
            <w:tcW w:w="1023" w:type="dxa"/>
            <w:vAlign w:val="center"/>
          </w:tcPr>
          <w:p>
            <w:pPr>
              <w:spacing w:line="312" w:lineRule="auto"/>
              <w:ind w:firstLine="0" w:firstLineChars="0"/>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质量保障措施及方案（</w:t>
            </w:r>
            <w:r>
              <w:rPr>
                <w:rFonts w:hint="eastAsia" w:ascii="仿宋_GB2312" w:hAnsi="仿宋_GB2312" w:eastAsia="仿宋_GB2312" w:cs="仿宋_GB2312"/>
                <w:bCs/>
                <w:color w:val="000000"/>
                <w:sz w:val="24"/>
                <w:szCs w:val="24"/>
                <w:lang w:val="en-US" w:eastAsia="zh-CN"/>
              </w:rPr>
              <w:t>10</w:t>
            </w:r>
            <w:r>
              <w:rPr>
                <w:rFonts w:hint="eastAsia" w:ascii="仿宋_GB2312" w:hAnsi="仿宋_GB2312" w:eastAsia="仿宋_GB2312" w:cs="仿宋_GB2312"/>
                <w:bCs/>
                <w:color w:val="000000"/>
                <w:sz w:val="24"/>
                <w:szCs w:val="24"/>
              </w:rPr>
              <w:t>分）</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（一）评分内容</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1.项目进度控制和沟通协调机制合理；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2.项目实施涉及的保障措施全面；</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3.项目整体质量控制有完整方案。</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（二）评分标准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投标人提供的质量保障措施及方案每满足以上1点的得1分，最高得3分。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在以上评审内容的基础上，根据各投标人的具体响应内容进一步评审加分：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1.优：有切实有效的项目进度控制措施和沟通协调机制，相关措施全面、有效、可行，加7分；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2.良：有较为切实有效的项目进度控制措施和沟通协调机制，相关措施较为全面、有效、可行，加4分；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3.中：项目进度控制措施和沟通协调机制有效性一般，相关措施较为全面、有效、可行，加2分；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4.差：没有质量保障措施及方案，加0分。</w:t>
            </w:r>
          </w:p>
        </w:tc>
        <w:tc>
          <w:tcPr>
            <w:tcW w:w="2850" w:type="dxa"/>
            <w:vAlign w:val="center"/>
          </w:tcPr>
          <w:p>
            <w:pPr>
              <w:spacing w:line="312" w:lineRule="auto"/>
              <w:ind w:firstLine="0" w:firstLineChars="0"/>
              <w:jc w:val="left"/>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采购评审小组评分</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3.人员配备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themeColor="text1" w:themeTint="F2"/>
          <w:sz w:val="32"/>
          <w:szCs w:val="32"/>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结合</w:t>
      </w:r>
      <w:r>
        <w:rPr>
          <w:rFonts w:hint="default" w:ascii="仿宋_GB2312" w:hAnsi="仿宋_GB2312" w:eastAsia="仿宋_GB2312" w:cs="仿宋_GB2312"/>
          <w:color w:val="0D0D0D" w:themeColor="text1" w:themeTint="F2"/>
          <w:sz w:val="32"/>
          <w:szCs w:val="32"/>
          <w:highlight w:val="none"/>
          <w:u w:val="none"/>
          <w:lang w:val="en"/>
          <w14:textFill>
            <w14:solidFill>
              <w14:schemeClr w14:val="tx1">
                <w14:lumMod w14:val="95000"/>
                <w14:lumOff w14:val="5000"/>
              </w14:schemeClr>
            </w14:solidFill>
          </w14:textFill>
        </w:rPr>
        <w:t>本课题</w:t>
      </w:r>
      <w:r>
        <w:rPr>
          <w:rFonts w:hint="eastAsia" w:ascii="仿宋_GB2312" w:hAnsi="仿宋_GB2312"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项目实际情况，</w:t>
      </w:r>
      <w:r>
        <w:rPr>
          <w:rFonts w:hint="default" w:ascii="仿宋_GB2312" w:hAnsi="仿宋_GB2312" w:eastAsia="仿宋_GB2312" w:cs="仿宋_GB2312"/>
          <w:color w:val="0D0D0D" w:themeColor="text1" w:themeTint="F2"/>
          <w:sz w:val="32"/>
          <w:szCs w:val="32"/>
          <w:highlight w:val="none"/>
          <w:u w:val="none"/>
          <w:lang w:val="en"/>
          <w14:textFill>
            <w14:solidFill>
              <w14:schemeClr w14:val="tx1">
                <w14:lumMod w14:val="95000"/>
                <w14:lumOff w14:val="5000"/>
              </w14:schemeClr>
            </w14:solidFill>
          </w14:textFill>
        </w:rPr>
        <w:t>供应商</w:t>
      </w:r>
      <w:r>
        <w:rPr>
          <w:rFonts w:hint="eastAsia" w:ascii="仿宋_GB2312" w:hAnsi="仿宋_GB2312"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需组建不少于</w:t>
      </w:r>
      <w:r>
        <w:rPr>
          <w:rFonts w:hint="eastAsia" w:ascii="仿宋_GB2312" w:hAnsi="仿宋_GB2312" w:eastAsia="仿宋_GB2312" w:cs="仿宋_GB2312"/>
          <w:color w:val="0D0D0D" w:themeColor="text1" w:themeTint="F2"/>
          <w:sz w:val="32"/>
          <w:szCs w:val="32"/>
          <w:highlight w:val="none"/>
          <w:u w:val="none"/>
          <w:lang w:val="en-US" w:eastAsia="zh-CN"/>
          <w14:textFill>
            <w14:solidFill>
              <w14:schemeClr w14:val="tx1">
                <w14:lumMod w14:val="95000"/>
                <w14:lumOff w14:val="5000"/>
              </w14:schemeClr>
            </w14:solidFill>
          </w14:textFill>
        </w:rPr>
        <w:t>6</w:t>
      </w:r>
      <w:r>
        <w:rPr>
          <w:rFonts w:hint="eastAsia" w:ascii="仿宋_GB2312" w:hAnsi="仿宋_GB2312"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名</w:t>
      </w:r>
      <w:r>
        <w:rPr>
          <w:rFonts w:hint="eastAsia" w:ascii="仿宋_GB2312" w:hAnsi="仿宋_GB2312" w:eastAsia="仿宋_GB2312" w:cs="仿宋_GB2312"/>
          <w:color w:val="0D0D0D" w:themeColor="text1" w:themeTint="F2"/>
          <w:sz w:val="32"/>
          <w:szCs w:val="32"/>
          <w:highlight w:val="none"/>
          <w:u w:val="none"/>
          <w:lang w:val="en-US" w:eastAsia="zh-CN"/>
          <w14:textFill>
            <w14:solidFill>
              <w14:schemeClr w14:val="tx1">
                <w14:lumMod w14:val="95000"/>
                <w14:lumOff w14:val="5000"/>
              </w14:schemeClr>
            </w14:solidFill>
          </w14:textFill>
        </w:rPr>
        <w:t>专业研究人员</w:t>
      </w:r>
      <w:r>
        <w:rPr>
          <w:rFonts w:hint="eastAsia" w:ascii="仿宋_GB2312" w:hAnsi="仿宋_GB2312"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组成的项目团队，保障项目顺利实施。</w:t>
      </w:r>
      <w:r>
        <w:rPr>
          <w:rFonts w:hint="eastAsia" w:ascii="仿宋_GB2312" w:hAnsi="仿宋_GB2312" w:eastAsia="仿宋_GB2312" w:cs="仿宋_GB2312"/>
          <w:color w:val="0D0D0D" w:themeColor="text1" w:themeTint="F2"/>
          <w:sz w:val="32"/>
          <w:szCs w:val="32"/>
          <w:highlight w:val="none"/>
          <w:u w:val="none"/>
          <w:lang w:val="en"/>
          <w14:textFill>
            <w14:solidFill>
              <w14:schemeClr w14:val="tx1">
                <w14:lumMod w14:val="95000"/>
                <w14:lumOff w14:val="5000"/>
              </w14:schemeClr>
            </w14:solidFill>
          </w14:textFill>
        </w:rPr>
        <w:t>项目团队应</w:t>
      </w:r>
      <w:r>
        <w:rPr>
          <w:rFonts w:hint="eastAsia" w:ascii="仿宋_GB2312" w:hAnsi="仿宋_GB2312" w:eastAsia="仿宋_GB2312" w:cs="仿宋_GB2312"/>
          <w:color w:val="0D0D0D" w:themeColor="text1" w:themeTint="F2"/>
          <w:sz w:val="32"/>
          <w:szCs w:val="32"/>
          <w:highlight w:val="none"/>
          <w:u w:val="none"/>
          <w:lang w:val="en-US" w:eastAsia="zh-CN"/>
          <w14:textFill>
            <w14:solidFill>
              <w14:schemeClr w14:val="tx1">
                <w14:lumMod w14:val="95000"/>
                <w14:lumOff w14:val="5000"/>
              </w14:schemeClr>
            </w14:solidFill>
          </w14:textFill>
        </w:rPr>
        <w:t>了解龙华区新能源产业发展现状</w:t>
      </w:r>
      <w:r>
        <w:rPr>
          <w:rFonts w:hint="eastAsia" w:ascii="仿宋_GB2312" w:hAnsi="仿宋_GB2312" w:eastAsia="仿宋_GB2312" w:cs="仿宋_GB2312"/>
          <w:color w:val="0D0D0D" w:themeColor="text1" w:themeTint="F2"/>
          <w:sz w:val="32"/>
          <w:szCs w:val="32"/>
          <w:highlight w:val="none"/>
          <w:u w:val="none"/>
          <w:lang w:val="en"/>
          <w14:textFill>
            <w14:solidFill>
              <w14:schemeClr w14:val="tx1">
                <w14:lumMod w14:val="95000"/>
                <w14:lumOff w14:val="5000"/>
              </w14:schemeClr>
            </w14:solidFill>
          </w14:textFill>
        </w:rPr>
        <w:t>，并做过相关分析研究，具备较强的</w:t>
      </w:r>
      <w:r>
        <w:rPr>
          <w:rFonts w:hint="eastAsia" w:ascii="仿宋_GB2312" w:hAnsi="仿宋_GB2312" w:eastAsia="仿宋_GB2312" w:cs="仿宋_GB2312"/>
          <w:color w:val="0D0D0D" w:themeColor="text1" w:themeTint="F2"/>
          <w:sz w:val="32"/>
          <w:szCs w:val="32"/>
          <w:highlight w:val="none"/>
          <w:u w:val="none"/>
          <w:lang w:val="en-US" w:eastAsia="zh-CN"/>
          <w14:textFill>
            <w14:solidFill>
              <w14:schemeClr w14:val="tx1">
                <w14:lumMod w14:val="95000"/>
                <w14:lumOff w14:val="5000"/>
              </w14:schemeClr>
            </w14:solidFill>
          </w14:textFill>
        </w:rPr>
        <w:t>调研分析</w:t>
      </w:r>
      <w:r>
        <w:rPr>
          <w:rFonts w:hint="eastAsia" w:ascii="仿宋_GB2312" w:hAnsi="仿宋_GB2312" w:eastAsia="仿宋_GB2312" w:cs="仿宋_GB2312"/>
          <w:color w:val="0D0D0D" w:themeColor="text1" w:themeTint="F2"/>
          <w:sz w:val="32"/>
          <w:szCs w:val="32"/>
          <w:highlight w:val="none"/>
          <w:u w:val="none"/>
          <w:lang w:val="en"/>
          <w14:textFill>
            <w14:solidFill>
              <w14:schemeClr w14:val="tx1">
                <w14:lumMod w14:val="95000"/>
                <w14:lumOff w14:val="5000"/>
              </w14:schemeClr>
            </w14:solidFill>
          </w14:textFill>
        </w:rPr>
        <w:t>能力和材料写作能力。</w:t>
      </w:r>
    </w:p>
    <w:tbl>
      <w:tblPr>
        <w:tblStyle w:val="1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028"/>
        <w:gridCol w:w="5103"/>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50" w:type="dxa"/>
            <w:gridSpan w:val="3"/>
            <w:noWrap w:val="0"/>
            <w:vAlign w:val="center"/>
          </w:tcPr>
          <w:p>
            <w:pPr>
              <w:widowControl/>
              <w:spacing w:line="312" w:lineRule="auto"/>
              <w:ind w:firstLine="0" w:firstLineChars="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w:t>
            </w:r>
          </w:p>
        </w:tc>
        <w:tc>
          <w:tcPr>
            <w:tcW w:w="1229" w:type="dxa"/>
            <w:noWrap w:val="0"/>
            <w:vAlign w:val="center"/>
          </w:tcPr>
          <w:p>
            <w:pPr>
              <w:widowControl/>
              <w:spacing w:line="312" w:lineRule="auto"/>
              <w:ind w:firstLine="0" w:firstLineChars="0"/>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19" w:type="dxa"/>
            <w:vMerge w:val="restart"/>
            <w:noWrap w:val="0"/>
            <w:vAlign w:val="center"/>
          </w:tcPr>
          <w:p>
            <w:pPr>
              <w:spacing w:line="312" w:lineRule="auto"/>
              <w:ind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人员配备评分20分</w:t>
            </w:r>
          </w:p>
        </w:tc>
        <w:tc>
          <w:tcPr>
            <w:tcW w:w="2028" w:type="dxa"/>
            <w:noWrap w:val="0"/>
            <w:vAlign w:val="center"/>
          </w:tcPr>
          <w:p>
            <w:pPr>
              <w:spacing w:line="312" w:lineRule="auto"/>
              <w:ind w:firstLine="0" w:firstLineChars="0"/>
              <w:jc w:val="left"/>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拟安排的项目负责人情况（仅限一人）（5分）</w:t>
            </w:r>
          </w:p>
        </w:tc>
        <w:tc>
          <w:tcPr>
            <w:tcW w:w="5103"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拟安排的项目负责人须为投标人自有员工（提供社保作为证明材料），否则本项不得分。</w:t>
            </w:r>
          </w:p>
          <w:p>
            <w:pPr>
              <w:spacing w:line="312" w:lineRule="auto"/>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具有①</w:t>
            </w:r>
            <w:r>
              <w:rPr>
                <w:rFonts w:hint="eastAsia" w:ascii="仿宋_GB2312" w:hAnsi="仿宋_GB2312" w:eastAsia="仿宋_GB2312" w:cs="仿宋_GB2312"/>
                <w:bCs/>
                <w:color w:val="000000"/>
                <w:sz w:val="24"/>
                <w:szCs w:val="24"/>
                <w:lang w:val="en-US" w:eastAsia="zh-CN"/>
              </w:rPr>
              <w:t>硕士研究生及以上学历；</w:t>
            </w:r>
            <w:r>
              <w:rPr>
                <w:rFonts w:hint="eastAsia" w:ascii="仿宋_GB2312" w:hAnsi="仿宋_GB2312" w:eastAsia="仿宋_GB2312" w:cs="仿宋_GB2312"/>
                <w:bCs/>
                <w:color w:val="000000"/>
                <w:sz w:val="24"/>
                <w:szCs w:val="24"/>
              </w:rPr>
              <w:t>②</w:t>
            </w:r>
            <w:r>
              <w:rPr>
                <w:rFonts w:hint="eastAsia" w:ascii="仿宋_GB2312" w:hAnsi="仿宋_GB2312" w:eastAsia="仿宋_GB2312" w:cs="仿宋_GB2312"/>
                <w:bCs/>
                <w:color w:val="000000"/>
                <w:sz w:val="24"/>
                <w:szCs w:val="24"/>
                <w:lang w:val="en-US" w:eastAsia="zh-CN"/>
              </w:rPr>
              <w:t>经济专业中级及以上</w:t>
            </w:r>
            <w:r>
              <w:rPr>
                <w:rFonts w:hint="eastAsia" w:ascii="仿宋_GB2312" w:hAnsi="仿宋_GB2312" w:eastAsia="仿宋_GB2312" w:cs="仿宋_GB2312"/>
                <w:bCs/>
                <w:color w:val="000000"/>
                <w:sz w:val="24"/>
                <w:szCs w:val="24"/>
              </w:rPr>
              <w:t>职称</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③具有5年以上经济产业研究相关工作经验。以上要求满足三项得5分</w:t>
            </w: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val="en-US" w:eastAsia="zh-CN"/>
              </w:rPr>
              <w:t>满足两项得2分</w:t>
            </w:r>
            <w:r>
              <w:rPr>
                <w:rFonts w:hint="eastAsia" w:ascii="仿宋_GB2312" w:hAnsi="仿宋_GB2312" w:eastAsia="仿宋_GB2312" w:cs="仿宋_GB2312"/>
                <w:bCs/>
                <w:color w:val="000000"/>
                <w:sz w:val="24"/>
                <w:szCs w:val="24"/>
              </w:rPr>
              <w:t>；其它情况不得分。</w:t>
            </w:r>
          </w:p>
        </w:tc>
        <w:tc>
          <w:tcPr>
            <w:tcW w:w="1229"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spacing w:line="312" w:lineRule="auto"/>
              <w:ind w:firstLine="0" w:firstLineChars="0"/>
              <w:jc w:val="center"/>
              <w:rPr>
                <w:rFonts w:hint="eastAsia" w:ascii="仿宋_GB2312" w:hAnsi="仿宋_GB2312" w:eastAsia="仿宋_GB2312" w:cs="仿宋_GB2312"/>
                <w:bCs/>
                <w:color w:val="000000"/>
                <w:sz w:val="24"/>
                <w:szCs w:val="24"/>
              </w:rPr>
            </w:pPr>
          </w:p>
        </w:tc>
        <w:tc>
          <w:tcPr>
            <w:tcW w:w="2028" w:type="dxa"/>
            <w:noWrap w:val="0"/>
            <w:vAlign w:val="center"/>
          </w:tcPr>
          <w:p>
            <w:pPr>
              <w:spacing w:line="312" w:lineRule="auto"/>
              <w:ind w:firstLine="0" w:firstLineChars="0"/>
              <w:jc w:val="left"/>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拟安排的项目主要团队成员（主要技术人员）情况（项目负责人除外）（15分）</w:t>
            </w:r>
          </w:p>
        </w:tc>
        <w:tc>
          <w:tcPr>
            <w:tcW w:w="5103"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拟安排的项目团队成员须为投标人自有员工（提供社保作为证明材料），否则本项不得分。团队成员不少于</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名，少于</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名不得分。</w:t>
            </w:r>
          </w:p>
          <w:p>
            <w:pPr>
              <w:spacing w:line="312" w:lineRule="auto"/>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团队成员</w:t>
            </w:r>
            <w:r>
              <w:rPr>
                <w:rFonts w:hint="eastAsia" w:ascii="仿宋_GB2312" w:hAnsi="仿宋_GB2312" w:eastAsia="仿宋_GB2312" w:cs="仿宋_GB2312"/>
                <w:bCs/>
                <w:color w:val="000000"/>
                <w:sz w:val="24"/>
                <w:szCs w:val="24"/>
                <w:lang w:val="en-US" w:eastAsia="zh-CN"/>
              </w:rPr>
              <w:t>评分标准：</w:t>
            </w:r>
            <w:r>
              <w:rPr>
                <w:rFonts w:hint="eastAsia" w:ascii="仿宋_GB2312" w:hAnsi="仿宋_GB2312" w:eastAsia="仿宋_GB2312" w:cs="仿宋_GB2312"/>
                <w:bCs/>
                <w:color w:val="000000"/>
                <w:sz w:val="24"/>
                <w:szCs w:val="24"/>
              </w:rPr>
              <w:t>①</w:t>
            </w:r>
            <w:r>
              <w:rPr>
                <w:rFonts w:hint="eastAsia" w:ascii="仿宋_GB2312" w:hAnsi="仿宋_GB2312" w:eastAsia="仿宋_GB2312" w:cs="仿宋_GB2312"/>
                <w:bCs/>
                <w:color w:val="000000"/>
                <w:sz w:val="24"/>
                <w:szCs w:val="24"/>
                <w:lang w:val="en-US" w:eastAsia="zh-CN"/>
              </w:rPr>
              <w:t>均有</w:t>
            </w:r>
            <w:r>
              <w:rPr>
                <w:rFonts w:hint="eastAsia" w:ascii="仿宋_GB2312" w:hAnsi="仿宋_GB2312" w:eastAsia="仿宋_GB2312" w:cs="仿宋_GB2312"/>
                <w:bCs/>
                <w:color w:val="000000"/>
                <w:sz w:val="24"/>
                <w:szCs w:val="24"/>
              </w:rPr>
              <w:t>研究生学历或中级（或以上）职称，得分15分；</w:t>
            </w:r>
            <w:r>
              <w:rPr>
                <w:rFonts w:hint="eastAsia" w:ascii="仿宋_GB2312" w:hAnsi="仿宋_GB2312" w:eastAsia="仿宋_GB2312" w:cs="仿宋_GB2312"/>
                <w:bCs/>
                <w:color w:val="000000"/>
                <w:sz w:val="24"/>
                <w:szCs w:val="24"/>
                <w:lang w:val="en-US" w:eastAsia="zh-CN"/>
              </w:rPr>
              <w:t>②</w:t>
            </w:r>
            <w:r>
              <w:rPr>
                <w:rFonts w:hint="eastAsia" w:ascii="仿宋_GB2312" w:hAnsi="仿宋_GB2312" w:eastAsia="仿宋_GB2312" w:cs="仿宋_GB2312"/>
                <w:bCs/>
                <w:color w:val="000000"/>
                <w:sz w:val="24"/>
                <w:szCs w:val="24"/>
              </w:rPr>
              <w:t>研究生学历或中级（或以上）职称人数不少于</w:t>
            </w:r>
            <w:r>
              <w:rPr>
                <w:rFonts w:hint="eastAsia" w:ascii="仿宋_GB2312" w:hAnsi="仿宋_GB2312" w:eastAsia="仿宋_GB2312" w:cs="仿宋_GB2312"/>
                <w:bCs/>
                <w:color w:val="000000"/>
                <w:sz w:val="24"/>
                <w:szCs w:val="24"/>
                <w:lang w:eastAsia="zh-CN"/>
              </w:rPr>
              <w:t>3</w:t>
            </w:r>
            <w:r>
              <w:rPr>
                <w:rFonts w:hint="eastAsia" w:ascii="仿宋_GB2312" w:hAnsi="仿宋_GB2312" w:eastAsia="仿宋_GB2312" w:cs="仿宋_GB2312"/>
                <w:bCs/>
                <w:color w:val="000000"/>
                <w:sz w:val="24"/>
                <w:szCs w:val="24"/>
              </w:rPr>
              <w:t>人，得10分；</w:t>
            </w:r>
            <w:r>
              <w:rPr>
                <w:rFonts w:hint="eastAsia" w:ascii="仿宋_GB2312" w:hAnsi="仿宋_GB2312" w:eastAsia="仿宋_GB2312" w:cs="仿宋_GB2312"/>
                <w:bCs/>
                <w:color w:val="000000"/>
                <w:sz w:val="24"/>
                <w:szCs w:val="24"/>
                <w:lang w:val="en-US" w:eastAsia="zh-CN"/>
              </w:rPr>
              <w:t>③</w:t>
            </w:r>
            <w:r>
              <w:rPr>
                <w:rFonts w:hint="eastAsia" w:ascii="仿宋_GB2312" w:hAnsi="仿宋_GB2312" w:eastAsia="仿宋_GB2312" w:cs="仿宋_GB2312"/>
                <w:bCs/>
                <w:color w:val="000000"/>
                <w:sz w:val="24"/>
                <w:szCs w:val="24"/>
              </w:rPr>
              <w:t>研究生学历或中级（或以上）职称人数少于3人，得5分；其它情况不得分</w:t>
            </w:r>
            <w:r>
              <w:rPr>
                <w:rFonts w:hint="eastAsia" w:ascii="仿宋_GB2312" w:hAnsi="仿宋_GB2312" w:eastAsia="仿宋_GB2312" w:cs="仿宋_GB2312"/>
                <w:bCs/>
                <w:color w:val="000000"/>
                <w:sz w:val="24"/>
                <w:szCs w:val="24"/>
                <w:lang w:eastAsia="zh-CN"/>
              </w:rPr>
              <w:t>。</w:t>
            </w:r>
          </w:p>
        </w:tc>
        <w:tc>
          <w:tcPr>
            <w:tcW w:w="1229"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Times New Roman" w:eastAsia="仿宋_GB2312" w:cs="Times New Roman"/>
          <w:b w:val="0"/>
          <w:bCs/>
          <w:color w:val="0D0D0D" w:themeColor="text1" w:themeTint="F2"/>
          <w:kern w:val="2"/>
          <w:sz w:val="32"/>
          <w:szCs w:val="32"/>
          <w:u w:val="none"/>
          <w:lang w:val="en"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 w:eastAsia="zh-CN" w:bidi="ar-SA"/>
          <w14:textFill>
            <w14:solidFill>
              <w14:schemeClr w14:val="tx1">
                <w14:lumMod w14:val="95000"/>
                <w14:lumOff w14:val="5000"/>
              </w14:schemeClr>
            </w14:solidFill>
          </w14:textFill>
        </w:rPr>
        <w:t>4.报价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Times New Roman" w:eastAsia="仿宋_GB2312" w:cs="Times New Roman"/>
          <w:b w:val="0"/>
          <w:bCs/>
          <w:color w:val="0D0D0D" w:themeColor="text1" w:themeTint="F2"/>
          <w:kern w:val="2"/>
          <w:sz w:val="32"/>
          <w:szCs w:val="32"/>
          <w:u w:val="none"/>
          <w:lang w:val="en"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 w:eastAsia="zh-CN" w:bidi="ar-SA"/>
          <w14:textFill>
            <w14:solidFill>
              <w14:schemeClr w14:val="tx1">
                <w14:lumMod w14:val="95000"/>
                <w14:lumOff w14:val="5000"/>
              </w14:schemeClr>
            </w14:solidFill>
          </w14:textFill>
        </w:rPr>
        <w:t>投标报价不得超过项目预算金额。以投标人所报的有效报价中的最低价作为基准价，各投标人报价得分=（基准价/投标人报价）*20分。</w:t>
      </w:r>
    </w:p>
    <w:p>
      <w:pPr>
        <w:pStyle w:val="2"/>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附件：投标及履约承诺函</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pPr>
      <w:r>
        <w:rPr>
          <w:rFonts w:ascii="仿宋" w:hAnsi="仿宋" w:eastAsia="仿宋" w:cs="仿宋_GB2312"/>
          <w:color w:val="0D0D0D" w:themeColor="text1" w:themeTint="F2"/>
          <w:sz w:val="32"/>
          <w:szCs w:val="32"/>
          <w:u w:val="none"/>
          <w14:textFill>
            <w14:solidFill>
              <w14:schemeClr w14:val="tx1">
                <w14:lumMod w14:val="95000"/>
                <w14:lumOff w14:val="5000"/>
              </w14:schemeClr>
            </w14:solidFill>
          </w14:textFill>
        </w:rPr>
        <w:br w:type="page"/>
      </w:r>
      <w:r>
        <w:rPr>
          <w:rFonts w:hint="eastAsia" w:ascii="黑体" w:hAnsi="黑体" w:eastAsia="黑体" w:cs="黑体"/>
          <w:b w:val="0"/>
          <w:bCs w:val="0"/>
          <w:color w:val="0D0D0D" w:themeColor="text1" w:themeTint="F2"/>
          <w:sz w:val="32"/>
          <w:szCs w:val="32"/>
          <w:u w:val="none"/>
          <w:lang w:val="en"/>
          <w14:textFill>
            <w14:solidFill>
              <w14:schemeClr w14:val="tx1">
                <w14:lumMod w14:val="95000"/>
                <w14:lumOff w14:val="5000"/>
              </w14:schemeClr>
            </w14:solidFill>
          </w14:textFill>
        </w:rPr>
        <w:t>附件</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eastAsia="宋体" w:cs="宋体"/>
          <w:b/>
          <w:bCs/>
          <w:color w:val="0D0D0D" w:themeColor="text1" w:themeTint="F2"/>
          <w:sz w:val="44"/>
          <w:szCs w:val="44"/>
          <w:u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eastAsia="宋体" w:cs="宋体"/>
          <w:b/>
          <w:bCs/>
          <w:color w:val="0D0D0D" w:themeColor="text1" w:themeTint="F2"/>
          <w:sz w:val="44"/>
          <w:szCs w:val="44"/>
          <w:u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44"/>
          <w:szCs w:val="44"/>
          <w:u w:val="none"/>
          <w14:textFill>
            <w14:solidFill>
              <w14:schemeClr w14:val="tx1">
                <w14:lumMod w14:val="95000"/>
                <w14:lumOff w14:val="5000"/>
              </w14:schemeClr>
            </w14:solidFill>
          </w14:textFill>
        </w:rPr>
        <w:t>投标及履约承诺函</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eastAsia="宋体" w:cs="宋体"/>
          <w:b/>
          <w:bCs/>
          <w:color w:val="0D0D0D" w:themeColor="text1" w:themeTint="F2"/>
          <w:sz w:val="44"/>
          <w:szCs w:val="44"/>
          <w:u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我单位承诺：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1.依法缴纳税收和社会保障资金。具备项目所必需的人员和专业技术能力。参加政府采购活动前三年内在经营活动中没有重大违法记录。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2.对本招标项目所提供的服务未侵犯知识产权。</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4</w:t>
      </w: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.如果中标，做到守信，不偷工减料，依照本项目招标文件需求内容、签署的采购合同及在投标中所作的一切承诺履约。项目验收达到全部指标合格，力争优良。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5</w:t>
      </w: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.我单位已认真阅读本项目需求，我单位承诺按时递交标书。</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6</w:t>
      </w: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.我单位承诺不非法转包或分包。</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 xml:space="preserve">承诺投标人：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单位地址：</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法定代表人或其委托代理人：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联系电话：</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color w:val="0D0D0D" w:themeColor="text1" w:themeTint="F2"/>
          <w:u w:val="none"/>
          <w:lang w:eastAsia="zh-CN"/>
          <w14:textFill>
            <w14:solidFill>
              <w14:schemeClr w14:val="tx1">
                <w14:lumMod w14:val="95000"/>
                <w14:lumOff w14:val="5000"/>
              </w14:schemeClr>
            </w14:solidFill>
          </w14:textFill>
        </w:rPr>
      </w:pPr>
      <w:r>
        <w:rPr>
          <w:rFonts w:hint="eastAsia" w:ascii="仿宋_GB2312" w:hAnsi="Times New Roman" w:eastAsia="仿宋_GB2312" w:cs="仿宋_GB2312"/>
          <w:color w:val="0D0D0D" w:themeColor="text1" w:themeTint="F2"/>
          <w:sz w:val="32"/>
          <w:szCs w:val="22"/>
          <w:u w:val="none"/>
          <w14:textFill>
            <w14:solidFill>
              <w14:schemeClr w14:val="tx1">
                <w14:lumMod w14:val="95000"/>
                <w14:lumOff w14:val="5000"/>
              </w14:schemeClr>
            </w14:solidFill>
          </w14:textFill>
        </w:rPr>
        <w:t xml:space="preserve">日期：   年   月   日  </w:t>
      </w:r>
      <w:r>
        <w:rPr>
          <w:rFonts w:ascii="Times New Roman" w:hAnsi="Times New Roman" w:eastAsia="仿宋_GB2312" w:cs="Times New Roman"/>
          <w:color w:val="0D0D0D" w:themeColor="text1" w:themeTint="F2"/>
          <w:sz w:val="32"/>
          <w:szCs w:val="22"/>
          <w:u w:val="none"/>
          <w14:textFill>
            <w14:solidFill>
              <w14:schemeClr w14:val="tx1">
                <w14:lumMod w14:val="95000"/>
                <w14:lumOff w14:val="5000"/>
              </w14:schemeClr>
            </w14:solidFill>
          </w14:textFill>
        </w:rPr>
        <w:t xml:space="preserve"> </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imes">
    <w:altName w:val="DejaVu Sans"/>
    <w:panose1 w:val="00000500000000020000"/>
    <w:charset w:val="00"/>
    <w:family w:val="roman"/>
    <w:pitch w:val="default"/>
    <w:sig w:usb0="00000000" w:usb1="00000000" w:usb2="00000000" w:usb3="00000000" w:csb0="2000019F" w:csb1="4F010000"/>
  </w:font>
  <w:font w:name="楷体_GB2312">
    <w:panose1 w:val="02010609030101010101"/>
    <w:charset w:val="86"/>
    <w:family w:val="modern"/>
    <w:pitch w:val="default"/>
    <w:sig w:usb0="00000001" w:usb1="080E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TU3ZDY1Nzg1ZTNiNDYyNzY5Y2M0MmVlOTgyMjgifQ=="/>
    <w:docVar w:name="KSO_WPS_MARK_KEY" w:val="35481cc0-76d0-410b-b20a-8bacd7d23770"/>
  </w:docVars>
  <w:rsids>
    <w:rsidRoot w:val="FE7FCCCB"/>
    <w:rsid w:val="054A3917"/>
    <w:rsid w:val="07C75183"/>
    <w:rsid w:val="0C57284E"/>
    <w:rsid w:val="0CF7C9CD"/>
    <w:rsid w:val="0F8B5083"/>
    <w:rsid w:val="19F7AB19"/>
    <w:rsid w:val="1B7E63F5"/>
    <w:rsid w:val="1DFEFE21"/>
    <w:rsid w:val="1EF02DBA"/>
    <w:rsid w:val="24E24F53"/>
    <w:rsid w:val="25053EA9"/>
    <w:rsid w:val="26B257AF"/>
    <w:rsid w:val="2B6FDDCC"/>
    <w:rsid w:val="2B77C6A7"/>
    <w:rsid w:val="2BDF91EB"/>
    <w:rsid w:val="2D9F696D"/>
    <w:rsid w:val="2E8FC8B7"/>
    <w:rsid w:val="30E17BCF"/>
    <w:rsid w:val="33AFFEFC"/>
    <w:rsid w:val="353C5579"/>
    <w:rsid w:val="36CFE30D"/>
    <w:rsid w:val="37CE779B"/>
    <w:rsid w:val="395068B1"/>
    <w:rsid w:val="3A2D2935"/>
    <w:rsid w:val="3B42756B"/>
    <w:rsid w:val="3BF5870C"/>
    <w:rsid w:val="3CFFC8D0"/>
    <w:rsid w:val="3D731DFB"/>
    <w:rsid w:val="3D7FB8E2"/>
    <w:rsid w:val="3DBFE9C2"/>
    <w:rsid w:val="3DFF9564"/>
    <w:rsid w:val="3ECF8681"/>
    <w:rsid w:val="3EFD6A22"/>
    <w:rsid w:val="3F5F5440"/>
    <w:rsid w:val="3F7F6DC4"/>
    <w:rsid w:val="3FCDAF46"/>
    <w:rsid w:val="42CF5C44"/>
    <w:rsid w:val="472F3348"/>
    <w:rsid w:val="496D6C31"/>
    <w:rsid w:val="4DDA1989"/>
    <w:rsid w:val="4EBFC045"/>
    <w:rsid w:val="50F9B51C"/>
    <w:rsid w:val="51EA59E1"/>
    <w:rsid w:val="53880583"/>
    <w:rsid w:val="564F50D7"/>
    <w:rsid w:val="57CB39F7"/>
    <w:rsid w:val="5AE07BE8"/>
    <w:rsid w:val="5CFCD960"/>
    <w:rsid w:val="5DF7F320"/>
    <w:rsid w:val="5DF7FCAF"/>
    <w:rsid w:val="5ED8AEC1"/>
    <w:rsid w:val="5EDB6203"/>
    <w:rsid w:val="5EE52E1D"/>
    <w:rsid w:val="5F7E3F9B"/>
    <w:rsid w:val="5FAE3B07"/>
    <w:rsid w:val="5FDBAD09"/>
    <w:rsid w:val="5FFBF03C"/>
    <w:rsid w:val="62F43AEE"/>
    <w:rsid w:val="639421D0"/>
    <w:rsid w:val="63E539CF"/>
    <w:rsid w:val="66758732"/>
    <w:rsid w:val="668227E1"/>
    <w:rsid w:val="66853E1C"/>
    <w:rsid w:val="6ACF41A4"/>
    <w:rsid w:val="6B4B1BCA"/>
    <w:rsid w:val="6BE97F42"/>
    <w:rsid w:val="6BF73BED"/>
    <w:rsid w:val="6DBF39CC"/>
    <w:rsid w:val="6EDE7B21"/>
    <w:rsid w:val="6FAF1160"/>
    <w:rsid w:val="6FFBFF42"/>
    <w:rsid w:val="72710C91"/>
    <w:rsid w:val="732E26DE"/>
    <w:rsid w:val="74E8EE1C"/>
    <w:rsid w:val="7776B2B1"/>
    <w:rsid w:val="77DF1DEA"/>
    <w:rsid w:val="77FDB132"/>
    <w:rsid w:val="79DF93AB"/>
    <w:rsid w:val="79FF8771"/>
    <w:rsid w:val="7A664E53"/>
    <w:rsid w:val="7BCFCB66"/>
    <w:rsid w:val="7BFA14DA"/>
    <w:rsid w:val="7CE792F9"/>
    <w:rsid w:val="7DDF65C1"/>
    <w:rsid w:val="7DEABAB3"/>
    <w:rsid w:val="7E2EA836"/>
    <w:rsid w:val="7EDFC2CA"/>
    <w:rsid w:val="7EE629F6"/>
    <w:rsid w:val="7EE77258"/>
    <w:rsid w:val="7EFDDAAB"/>
    <w:rsid w:val="7F5BA9E8"/>
    <w:rsid w:val="7F634685"/>
    <w:rsid w:val="7F9F6E1B"/>
    <w:rsid w:val="7FF62093"/>
    <w:rsid w:val="7FFDFC7C"/>
    <w:rsid w:val="7FFEBB31"/>
    <w:rsid w:val="7FFFF3E1"/>
    <w:rsid w:val="9EF69204"/>
    <w:rsid w:val="A7FD9ACF"/>
    <w:rsid w:val="ABBDB696"/>
    <w:rsid w:val="AFFF7A50"/>
    <w:rsid w:val="B4DD53A8"/>
    <w:rsid w:val="BBEF8E03"/>
    <w:rsid w:val="BDFF18D7"/>
    <w:rsid w:val="BEDF2168"/>
    <w:rsid w:val="BEEE8D1A"/>
    <w:rsid w:val="BF5F5A9E"/>
    <w:rsid w:val="BF7B7456"/>
    <w:rsid w:val="BFFA6BDE"/>
    <w:rsid w:val="BFFB79C9"/>
    <w:rsid w:val="BFFC4975"/>
    <w:rsid w:val="C4D1B424"/>
    <w:rsid w:val="C9FF36FF"/>
    <w:rsid w:val="CFF50384"/>
    <w:rsid w:val="D79F998B"/>
    <w:rsid w:val="DBBB9BFE"/>
    <w:rsid w:val="DBFB7EF4"/>
    <w:rsid w:val="DC7F2056"/>
    <w:rsid w:val="DCBF4392"/>
    <w:rsid w:val="DFFF961E"/>
    <w:rsid w:val="E39F24A0"/>
    <w:rsid w:val="E77F129C"/>
    <w:rsid w:val="E7F58E40"/>
    <w:rsid w:val="E7F743F4"/>
    <w:rsid w:val="EBAFFCB2"/>
    <w:rsid w:val="EF0DC4FA"/>
    <w:rsid w:val="EF960AC1"/>
    <w:rsid w:val="EFEC9B19"/>
    <w:rsid w:val="EFFF24A9"/>
    <w:rsid w:val="F1BC263A"/>
    <w:rsid w:val="F1FFD1CF"/>
    <w:rsid w:val="F57348A6"/>
    <w:rsid w:val="F57633AA"/>
    <w:rsid w:val="F59FEE4B"/>
    <w:rsid w:val="F77F638C"/>
    <w:rsid w:val="F9FF484D"/>
    <w:rsid w:val="FA7FF16E"/>
    <w:rsid w:val="FAFF878D"/>
    <w:rsid w:val="FB877040"/>
    <w:rsid w:val="FB9DD758"/>
    <w:rsid w:val="FD6F8556"/>
    <w:rsid w:val="FD776DAA"/>
    <w:rsid w:val="FDF75B41"/>
    <w:rsid w:val="FDFFF864"/>
    <w:rsid w:val="FE3E45D3"/>
    <w:rsid w:val="FE7B2F42"/>
    <w:rsid w:val="FE7FCCCB"/>
    <w:rsid w:val="FE9F9E19"/>
    <w:rsid w:val="FEDD8928"/>
    <w:rsid w:val="FEF71730"/>
    <w:rsid w:val="FEFB99B9"/>
    <w:rsid w:val="FEFF5234"/>
    <w:rsid w:val="FFA8FBA9"/>
    <w:rsid w:val="FFD74B8F"/>
    <w:rsid w:val="FFED3EDE"/>
    <w:rsid w:val="FFED54DD"/>
    <w:rsid w:val="FFFB915B"/>
    <w:rsid w:val="FFFFE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napToGrid w:val="0"/>
      <w:spacing w:beforeLines="0" w:beforeAutospacing="0" w:afterLines="0" w:afterAutospacing="0" w:line="560" w:lineRule="exact"/>
      <w:ind w:firstLine="880" w:firstLineChars="200"/>
      <w:jc w:val="left"/>
      <w:outlineLvl w:val="0"/>
    </w:pPr>
    <w:rPr>
      <w:rFonts w:ascii="Arial" w:hAnsi="Arial" w:eastAsia="黑体" w:cs="Times New Roman"/>
      <w:kern w:val="44"/>
      <w:szCs w:val="22"/>
    </w:rPr>
  </w:style>
  <w:style w:type="paragraph" w:styleId="5">
    <w:name w:val="heading 2"/>
    <w:basedOn w:val="1"/>
    <w:next w:val="1"/>
    <w:unhideWhenUsed/>
    <w:qFormat/>
    <w:uiPriority w:val="0"/>
    <w:pPr>
      <w:keepNext/>
      <w:keepLines/>
      <w:outlineLvl w:val="1"/>
    </w:pPr>
    <w:rPr>
      <w:rFonts w:ascii="Calibri Light" w:hAnsi="Calibri Light" w:eastAsia="楷体" w:cs="Times New Roman"/>
      <w:bCs/>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8"/>
    <w:basedOn w:val="1"/>
    <w:next w:val="1"/>
    <w:qFormat/>
    <w:uiPriority w:val="0"/>
    <w:pPr>
      <w:ind w:left="2940"/>
    </w:pPr>
    <w:rPr>
      <w:rFonts w:ascii="Times New Roman" w:hAnsi="Times New Roman" w:eastAsia="宋体" w:cs="Times New Roman"/>
    </w:rPr>
  </w:style>
  <w:style w:type="paragraph" w:styleId="7">
    <w:name w:val="Normal Indent"/>
    <w:basedOn w:val="1"/>
    <w:unhideWhenUsed/>
    <w:qFormat/>
    <w:uiPriority w:val="0"/>
    <w:pPr>
      <w:spacing w:line="360" w:lineRule="auto"/>
      <w:ind w:firstLine="640" w:firstLineChars="200"/>
    </w:pPr>
    <w:rPr>
      <w:rFonts w:ascii="宋体" w:hAnsi="宋体" w:eastAsia="宋体"/>
    </w:rPr>
  </w:style>
  <w:style w:type="paragraph" w:styleId="8">
    <w:name w:val="annotation text"/>
    <w:basedOn w:val="1"/>
    <w:unhideWhenUsed/>
    <w:qFormat/>
    <w:uiPriority w:val="0"/>
    <w:pPr>
      <w:adjustRightInd/>
      <w:snapToGrid/>
      <w:spacing w:line="240" w:lineRule="auto"/>
      <w:ind w:firstLine="0" w:firstLineChars="0"/>
      <w:jc w:val="left"/>
    </w:pPr>
    <w:rPr>
      <w:rFonts w:ascii="Calibri" w:hAnsi="Calibri" w:eastAsia="宋体"/>
      <w:sz w:val="21"/>
      <w:szCs w:val="21"/>
    </w:rPr>
  </w:style>
  <w:style w:type="paragraph" w:styleId="9">
    <w:name w:val="Body Text"/>
    <w:basedOn w:val="1"/>
    <w:next w:val="1"/>
    <w:unhideWhenUsed/>
    <w:qFormat/>
    <w:uiPriority w:val="99"/>
    <w:pPr>
      <w:spacing w:after="120"/>
    </w:pPr>
  </w:style>
  <w:style w:type="paragraph" w:styleId="10">
    <w:name w:val="Body Text Indent"/>
    <w:basedOn w:val="1"/>
    <w:unhideWhenUsed/>
    <w:qFormat/>
    <w:uiPriority w:val="99"/>
    <w:pPr>
      <w:spacing w:after="120"/>
      <w:ind w:left="420" w:leftChars="200"/>
    </w:pPr>
  </w:style>
  <w:style w:type="paragraph" w:styleId="11">
    <w:name w:val="Block Text"/>
    <w:basedOn w:val="1"/>
    <w:qFormat/>
    <w:uiPriority w:val="0"/>
    <w:pPr>
      <w:tabs>
        <w:tab w:val="left" w:pos="426"/>
      </w:tabs>
      <w:spacing w:after="120"/>
      <w:ind w:left="1440" w:leftChars="700" w:right="1440" w:rightChars="700"/>
    </w:pPr>
  </w:style>
  <w:style w:type="paragraph" w:styleId="12">
    <w:name w:val="footer"/>
    <w:basedOn w:val="1"/>
    <w:unhideWhenUsed/>
    <w:qFormat/>
    <w:uiPriority w:val="99"/>
    <w:pPr>
      <w:tabs>
        <w:tab w:val="center" w:pos="4153"/>
        <w:tab w:val="right" w:pos="8306"/>
      </w:tabs>
      <w:jc w:val="left"/>
    </w:pPr>
    <w:rPr>
      <w:rFonts w:ascii="Calibri" w:hAnsi="Calibri" w:eastAsia="宋体"/>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17">
    <w:name w:val="Body Text First Indent 2"/>
    <w:basedOn w:val="10"/>
    <w:qFormat/>
    <w:uiPriority w:val="0"/>
    <w:pPr>
      <w:ind w:firstLine="420" w:firstLineChars="200"/>
    </w:pPr>
    <w:rPr>
      <w:rFonts w:ascii="??" w:hAnsi="??"/>
      <w:szCs w:val="22"/>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pPr>
  </w:style>
  <w:style w:type="paragraph" w:customStyle="1" w:styleId="24">
    <w:name w:val="USE 1"/>
    <w:basedOn w:val="1"/>
    <w:qFormat/>
    <w:uiPriority w:val="0"/>
    <w:pPr>
      <w:spacing w:line="200" w:lineRule="atLeast"/>
      <w:jc w:val="left"/>
    </w:pPr>
    <w:rPr>
      <w:rFonts w:ascii="宋体" w:hAnsi="宋体"/>
      <w:b/>
      <w:sz w:val="24"/>
      <w:szCs w:val="28"/>
    </w:rPr>
  </w:style>
  <w:style w:type="character" w:customStyle="1" w:styleId="25">
    <w:name w:val="font11"/>
    <w:basedOn w:val="20"/>
    <w:qFormat/>
    <w:uiPriority w:val="0"/>
    <w:rPr>
      <w:rFonts w:hint="eastAsia" w:ascii="仿宋_GB2312" w:eastAsia="仿宋_GB2312" w:cs="仿宋_GB2312"/>
      <w:b/>
      <w:bCs/>
      <w:color w:val="000000"/>
      <w:sz w:val="28"/>
      <w:szCs w:val="28"/>
      <w:u w:val="none"/>
    </w:rPr>
  </w:style>
  <w:style w:type="character" w:customStyle="1" w:styleId="26">
    <w:name w:val="font21"/>
    <w:basedOn w:val="20"/>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12054</Words>
  <Characters>12612</Characters>
  <Lines>0</Lines>
  <Paragraphs>0</Paragraphs>
  <TotalTime>40</TotalTime>
  <ScaleCrop>false</ScaleCrop>
  <LinksUpToDate>false</LinksUpToDate>
  <CharactersWithSpaces>12635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2023-06-12T15:18:00Z</dcterms:created>
  <dc:creator>zzc</dc:creator>
  <cp:lastModifiedBy>oyh</cp:lastModifiedBy>
  <cp:lastPrinted>2024-03-27T17:43:00Z</cp:lastPrinted>
  <dcterms:modified xsi:type="dcterms:W3CDTF">2024-11-01T16:23:35Z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94C6C8793F4D58D8DF86B466919BFA59</vt:lpwstr>
  </property>
</Properties>
</file>