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龙华区文化馆</w:t>
      </w:r>
      <w:r>
        <w:rPr>
          <w:rFonts w:hint="default" w:ascii="方正小标宋简体" w:hAnsi="方正小标宋简体" w:eastAsia="方正小标宋简体" w:cs="方正小标宋简体"/>
          <w:b w:val="0"/>
          <w:bCs/>
          <w:sz w:val="44"/>
          <w:szCs w:val="44"/>
          <w:lang w:val="en-US" w:eastAsia="zh-CN"/>
        </w:rPr>
        <w:t>2022-2024</w:t>
      </w:r>
      <w:r>
        <w:rPr>
          <w:rFonts w:hint="eastAsia" w:ascii="方正小标宋简体" w:hAnsi="方正小标宋简体" w:eastAsia="方正小标宋简体" w:cs="方正小标宋简体"/>
          <w:b w:val="0"/>
          <w:bCs/>
          <w:sz w:val="44"/>
          <w:szCs w:val="44"/>
          <w:lang w:val="en-US" w:eastAsia="zh-CN"/>
        </w:rPr>
        <w:t>年度系列工作报告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印刷制作</w:t>
      </w: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b w:val="0"/>
          <w:bCs w:val="0"/>
          <w:sz w:val="44"/>
          <w:szCs w:val="44"/>
          <w:lang w:val="en-US" w:eastAsia="zh-CN"/>
        </w:rPr>
        <w:t>需求书</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jc w:val="both"/>
        <w:textAlignment w:val="auto"/>
        <w:rPr>
          <w:rFonts w:hint="eastAsia" w:ascii="黑体" w:hAnsi="黑体" w:eastAsia="黑体" w:cs="黑体"/>
          <w:bCs/>
          <w:color w:val="auto"/>
          <w:sz w:val="32"/>
          <w:szCs w:val="32"/>
          <w:highlight w:val="none"/>
          <w:lang w:eastAsia="zh-CN"/>
        </w:rPr>
      </w:pP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color w:val="auto"/>
          <w:highlight w:val="none"/>
          <w:lang w:eastAsia="zh-CN"/>
        </w:rPr>
      </w:pPr>
      <w:r>
        <w:rPr>
          <w:rFonts w:hint="eastAsia" w:ascii="黑体" w:hAnsi="黑体" w:eastAsia="黑体" w:cs="黑体"/>
          <w:bCs/>
          <w:color w:val="auto"/>
          <w:sz w:val="32"/>
          <w:szCs w:val="32"/>
          <w:highlight w:val="none"/>
          <w:lang w:val="en-US" w:eastAsia="zh-CN"/>
        </w:rPr>
        <w:t>一、</w:t>
      </w:r>
      <w:r>
        <w:rPr>
          <w:rFonts w:hint="eastAsia" w:ascii="黑体" w:hAnsi="黑体" w:eastAsia="黑体" w:cs="黑体"/>
          <w:bCs/>
          <w:color w:val="auto"/>
          <w:sz w:val="32"/>
          <w:szCs w:val="32"/>
          <w:highlight w:val="none"/>
          <w:lang w:eastAsia="zh-CN"/>
        </w:rPr>
        <w:t>项目</w:t>
      </w:r>
      <w:r>
        <w:rPr>
          <w:rFonts w:hint="eastAsia" w:ascii="黑体" w:hAnsi="黑体" w:eastAsia="黑体" w:cs="黑体"/>
          <w:bCs/>
          <w:color w:val="auto"/>
          <w:sz w:val="32"/>
          <w:szCs w:val="32"/>
          <w:highlight w:val="none"/>
        </w:rPr>
        <w:t>目</w:t>
      </w:r>
      <w:r>
        <w:rPr>
          <w:rFonts w:hint="eastAsia" w:ascii="黑体" w:hAnsi="黑体" w:eastAsia="黑体" w:cs="黑体"/>
          <w:bCs/>
          <w:color w:val="auto"/>
          <w:sz w:val="32"/>
          <w:szCs w:val="32"/>
          <w:highlight w:val="none"/>
          <w:lang w:eastAsia="zh-CN"/>
        </w:rPr>
        <w:t>标</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cs="宋体"/>
          <w:kern w:val="0"/>
          <w:sz w:val="32"/>
          <w:szCs w:val="32"/>
          <w:highlight w:val="none"/>
          <w:lang w:val="en-US" w:eastAsia="zh-CN" w:bidi="ar-SA"/>
        </w:rPr>
        <w:t>根据《深圳市2024年度绩效管理工作实施方案》中</w:t>
      </w:r>
      <w:r>
        <w:rPr>
          <w:rFonts w:hint="eastAsia" w:ascii="仿宋_GB2312" w:hAnsi="Calibri" w:eastAsia="仿宋_GB2312" w:cs="宋体"/>
          <w:kern w:val="0"/>
          <w:sz w:val="32"/>
          <w:szCs w:val="32"/>
          <w:highlight w:val="none"/>
          <w:lang w:val="en-US" w:eastAsia="zh-CN" w:bidi="ar-SA"/>
        </w:rPr>
        <w:t>“公共文化建设与服务”指标评分标准</w:t>
      </w:r>
      <w:r>
        <w:rPr>
          <w:rFonts w:hint="eastAsia" w:ascii="仿宋_GB2312" w:eastAsia="仿宋_GB2312" w:cs="宋体"/>
          <w:kern w:val="0"/>
          <w:sz w:val="32"/>
          <w:szCs w:val="32"/>
          <w:highlight w:val="none"/>
          <w:lang w:val="en-US" w:eastAsia="zh-CN" w:bidi="ar-SA"/>
        </w:rPr>
        <w:t>“</w:t>
      </w:r>
      <w:r>
        <w:rPr>
          <w:rFonts w:hint="eastAsia" w:ascii="仿宋_GB2312" w:eastAsia="仿宋_GB2312"/>
          <w:kern w:val="0"/>
          <w:sz w:val="32"/>
          <w:szCs w:val="32"/>
          <w:highlight w:val="none"/>
        </w:rPr>
        <w:t>区级文化馆达到国家一级馆占比</w:t>
      </w:r>
      <w:r>
        <w:rPr>
          <w:rFonts w:hint="eastAsia" w:ascii="仿宋_GB2312" w:hAnsi="Calibri" w:eastAsia="仿宋_GB2312" w:cs="宋体"/>
          <w:kern w:val="0"/>
          <w:sz w:val="32"/>
          <w:szCs w:val="32"/>
          <w:highlight w:val="none"/>
          <w:lang w:val="en-US" w:eastAsia="zh-CN" w:bidi="ar-SA"/>
        </w:rPr>
        <w:t>”要求</w:t>
      </w:r>
      <w:r>
        <w:rPr>
          <w:rFonts w:hint="eastAsia" w:ascii="仿宋_GB2312" w:eastAsia="仿宋_GB2312"/>
          <w:sz w:val="32"/>
          <w:szCs w:val="32"/>
          <w:highlight w:val="none"/>
          <w:lang w:val="en-US" w:eastAsia="zh-CN"/>
        </w:rPr>
        <w:t>，</w:t>
      </w:r>
      <w:r>
        <w:rPr>
          <w:rFonts w:hint="eastAsia" w:ascii="仿宋_GB2312" w:hAnsi="Calibri" w:eastAsia="仿宋_GB2312" w:cs="宋体"/>
          <w:kern w:val="0"/>
          <w:sz w:val="32"/>
          <w:szCs w:val="32"/>
          <w:highlight w:val="none"/>
          <w:lang w:val="en-US" w:eastAsia="zh-CN" w:bidi="ar-SA"/>
        </w:rPr>
        <w:t>中心参照</w:t>
      </w:r>
      <w:r>
        <w:rPr>
          <w:rFonts w:hint="eastAsia" w:ascii="仿宋_GB2312" w:eastAsia="仿宋_GB2312"/>
          <w:sz w:val="32"/>
          <w:szCs w:val="32"/>
          <w:highlight w:val="none"/>
          <w:lang w:val="en-US" w:eastAsia="zh-CN"/>
        </w:rPr>
        <w:t>文件《副省级城市和地市级文化馆（含直辖市所辖区县）等级必备条件和评估标准（初稿）》</w:t>
      </w:r>
      <w:r>
        <w:rPr>
          <w:rFonts w:hint="eastAsia" w:ascii="仿宋_GB2312" w:eastAsia="仿宋_GB2312" w:cs="宋体"/>
          <w:kern w:val="0"/>
          <w:sz w:val="32"/>
          <w:szCs w:val="32"/>
          <w:highlight w:val="none"/>
          <w:lang w:val="en-US" w:eastAsia="zh-CN" w:bidi="ar-SA"/>
        </w:rPr>
        <w:t>相关指标，</w:t>
      </w:r>
      <w:r>
        <w:rPr>
          <w:rFonts w:hint="eastAsia" w:ascii="仿宋_GB2312" w:eastAsia="仿宋_GB2312"/>
          <w:sz w:val="32"/>
          <w:szCs w:val="32"/>
          <w:highlight w:val="none"/>
          <w:lang w:val="en-US" w:eastAsia="zh-CN"/>
        </w:rPr>
        <w:t>进行全国文化馆一级馆评估定级材料准备工作，全面提升文化馆的建设质量、管理水平和服务效能，推动文化馆事业的科学发展。</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color w:val="auto"/>
          <w:highlight w:val="none"/>
        </w:rPr>
      </w:pPr>
      <w:r>
        <w:rPr>
          <w:rFonts w:hint="eastAsia" w:ascii="黑体" w:hAnsi="黑体" w:eastAsia="黑体" w:cs="黑体"/>
          <w:bCs/>
          <w:color w:val="auto"/>
          <w:sz w:val="32"/>
          <w:szCs w:val="32"/>
          <w:highlight w:val="none"/>
          <w:lang w:val="en-US" w:eastAsia="zh-CN"/>
        </w:rPr>
        <w:t>二、</w:t>
      </w:r>
      <w:r>
        <w:rPr>
          <w:rFonts w:hint="eastAsia" w:ascii="黑体" w:hAnsi="黑体" w:eastAsia="黑体" w:cs="黑体"/>
          <w:bCs/>
          <w:color w:val="auto"/>
          <w:sz w:val="32"/>
          <w:szCs w:val="32"/>
          <w:highlight w:val="none"/>
        </w:rPr>
        <w:t>时间安排</w:t>
      </w:r>
    </w:p>
    <w:p>
      <w:pPr>
        <w:pStyle w:val="2"/>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eastAsia" w:ascii="仿宋_GB2312" w:hAnsi="仿宋_GB2312" w:eastAsia="仿宋_GB2312" w:cs="仿宋_GB2312"/>
          <w:color w:val="auto"/>
          <w:sz w:val="32"/>
          <w:szCs w:val="36"/>
          <w:highlight w:val="none"/>
          <w:lang w:val="en-US" w:eastAsia="zh-CN"/>
        </w:rPr>
      </w:pPr>
      <w:r>
        <w:rPr>
          <w:rFonts w:hint="eastAsia" w:ascii="仿宋_GB2312" w:hAnsi="仿宋_GB2312" w:eastAsia="仿宋_GB2312" w:cs="仿宋_GB2312"/>
          <w:color w:val="auto"/>
          <w:sz w:val="32"/>
          <w:szCs w:val="36"/>
          <w:highlight w:val="none"/>
          <w:lang w:val="en-US" w:eastAsia="zh-CN"/>
        </w:rPr>
        <w:t>2024年11月-2025年3月（预计）</w:t>
      </w:r>
    </w:p>
    <w:p>
      <w:pPr>
        <w:pStyle w:val="2"/>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lang w:eastAsia="zh-CN"/>
        </w:rPr>
        <w:t>项目</w:t>
      </w:r>
      <w:r>
        <w:rPr>
          <w:rFonts w:hint="eastAsia" w:ascii="黑体" w:hAnsi="黑体" w:eastAsia="黑体" w:cs="黑体"/>
          <w:b w:val="0"/>
          <w:bCs/>
          <w:color w:val="auto"/>
          <w:sz w:val="32"/>
          <w:szCs w:val="32"/>
          <w:highlight w:val="none"/>
        </w:rPr>
        <w:t>内容</w:t>
      </w:r>
      <w:r>
        <w:rPr>
          <w:rFonts w:hint="eastAsia" w:ascii="黑体" w:hAnsi="黑体" w:eastAsia="黑体" w:cs="黑体"/>
          <w:b w:val="0"/>
          <w:bCs/>
          <w:color w:val="auto"/>
          <w:sz w:val="32"/>
          <w:szCs w:val="32"/>
          <w:highlight w:val="none"/>
          <w:lang w:val="en-US" w:eastAsia="zh-CN"/>
        </w:rPr>
        <w:t>及要求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（一）项目内容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sz w:val="32"/>
          <w:szCs w:val="32"/>
          <w:highlight w:val="none"/>
          <w:lang w:val="en-US" w:eastAsia="zh-CN"/>
        </w:rPr>
        <w:t>进行全国文化馆一级馆评估定级材料准备工作，</w:t>
      </w:r>
      <w:r>
        <w:rPr>
          <w:rFonts w:hint="eastAsia" w:ascii="仿宋_GB2312" w:eastAsia="仿宋_GB2312"/>
          <w:color w:val="auto"/>
          <w:sz w:val="32"/>
          <w:szCs w:val="32"/>
        </w:rPr>
        <w:t>推动我区公共文化服务体系快速发展，更好的满足人民群众精神文化需求。</w:t>
      </w: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具体要求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1.负责文化馆2022年年报印刷制作，共40本，含材料印刷制作，审稿、指导、打样印刷及成品运输等相关工作。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2.负责文化馆2023年年报印刷制作，共40本，含材料印刷制作，审稿、指导、打样印刷及成品运输等相关工作。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3.负责文化馆2024年年报设计印刷制作，共40本，含材料页面设计、排版、印刷制作，材料校对、审稿、指导、打样印刷及成品运输等相关工作。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4.负责文化馆一级馆评级材料综合册设计印刷制作，共2本，含材料页面设计、排版、印刷制作，材料校对、审稿、指导、打样印刷及成品运输。</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Hans"/>
        </w:rPr>
        <w:t>本次活动</w:t>
      </w:r>
      <w:r>
        <w:rPr>
          <w:rFonts w:hint="eastAsia" w:ascii="仿宋_GB2312" w:hAnsi="仿宋_GB2312" w:eastAsia="仿宋_GB2312" w:cs="仿宋_GB2312"/>
          <w:sz w:val="32"/>
          <w:szCs w:val="32"/>
          <w:lang w:val="en-US" w:eastAsia="zh-CN"/>
        </w:rPr>
        <w:t>所有</w:t>
      </w:r>
      <w:r>
        <w:rPr>
          <w:rFonts w:hint="eastAsia" w:ascii="仿宋_GB2312" w:hAnsi="仿宋_GB2312" w:eastAsia="仿宋_GB2312" w:cs="仿宋_GB2312"/>
          <w:sz w:val="32"/>
          <w:szCs w:val="32"/>
          <w:lang w:val="en-US" w:eastAsia="zh-Hans"/>
        </w:rPr>
        <w:t>图文资料所有权归属</w:t>
      </w:r>
      <w:r>
        <w:rPr>
          <w:rFonts w:hint="eastAsia" w:ascii="仿宋_GB2312" w:hAnsi="仿宋_GB2312" w:eastAsia="仿宋_GB2312" w:cs="仿宋_GB2312"/>
          <w:sz w:val="32"/>
          <w:szCs w:val="32"/>
          <w:lang w:val="en-US" w:eastAsia="zh-CN"/>
        </w:rPr>
        <w:t>深圳市</w:t>
      </w:r>
      <w:r>
        <w:rPr>
          <w:rFonts w:hint="eastAsia" w:ascii="仿宋_GB2312" w:hAnsi="仿宋_GB2312" w:eastAsia="仿宋_GB2312" w:cs="仿宋_GB2312"/>
          <w:sz w:val="32"/>
          <w:szCs w:val="32"/>
          <w:lang w:val="en-US" w:eastAsia="zh-Hans"/>
        </w:rPr>
        <w:t>龙华区</w:t>
      </w:r>
      <w:r>
        <w:rPr>
          <w:rFonts w:hint="eastAsia" w:ascii="仿宋_GB2312" w:hAnsi="仿宋_GB2312" w:eastAsia="仿宋_GB2312" w:cs="仿宋_GB2312"/>
          <w:sz w:val="32"/>
          <w:szCs w:val="32"/>
          <w:lang w:val="en-US" w:eastAsia="zh-CN"/>
        </w:rPr>
        <w:t>文化广电旅游体育局</w:t>
      </w:r>
      <w:r>
        <w:rPr>
          <w:rFonts w:hint="eastAsia" w:ascii="仿宋_GB2312" w:hAnsi="仿宋_GB2312" w:eastAsia="仿宋_GB2312" w:cs="仿宋_GB2312"/>
          <w:sz w:val="32"/>
          <w:szCs w:val="32"/>
          <w:lang w:val="en-US" w:eastAsia="zh-Hans"/>
        </w:rPr>
        <w:t>所有</w:t>
      </w:r>
      <w:r>
        <w:rPr>
          <w:rFonts w:hint="eastAsia" w:ascii="仿宋_GB2312" w:hAnsi="仿宋_GB2312" w:eastAsia="仿宋_GB2312" w:cs="仿宋_GB2312"/>
          <w:sz w:val="32"/>
          <w:szCs w:val="32"/>
          <w:lang w:val="en-US" w:eastAsia="zh-CN"/>
        </w:rPr>
        <w:t>并负责本项目所有材料存档等工作；</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6.承诺对所有提供的文字及图片材料严格保密。</w:t>
      </w:r>
    </w:p>
    <w:p>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rPr>
        <w:t>由于供应商原因造成</w:t>
      </w:r>
      <w:r>
        <w:rPr>
          <w:rFonts w:hint="eastAsia" w:ascii="仿宋_GB2312" w:hAnsi="仿宋_GB2312" w:eastAsia="仿宋_GB2312" w:cs="仿宋_GB2312"/>
          <w:sz w:val="32"/>
          <w:szCs w:val="32"/>
          <w:lang w:val="en-US" w:eastAsia="zh-CN"/>
        </w:rPr>
        <w:t>成品物料质量</w:t>
      </w:r>
      <w:r>
        <w:rPr>
          <w:rFonts w:hint="eastAsia" w:ascii="仿宋_GB2312" w:hAnsi="仿宋_GB2312" w:eastAsia="仿宋_GB2312" w:cs="仿宋_GB2312"/>
          <w:sz w:val="32"/>
          <w:szCs w:val="32"/>
          <w:lang w:val="en-US"/>
        </w:rPr>
        <w:t>低劣，不能满足甲方要求时，应继续完善</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lang w:val="en-US"/>
        </w:rPr>
        <w:t>工作，其费用由乙方承担</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报价限额</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right="0" w:righ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8.72万元</w:t>
      </w:r>
      <w:r>
        <w:rPr>
          <w:rFonts w:hint="default" w:ascii="仿宋_GB2312" w:hAnsi="仿宋_GB2312" w:eastAsia="仿宋_GB2312" w:cs="仿宋_GB2312"/>
          <w:color w:val="auto"/>
          <w:sz w:val="32"/>
          <w:szCs w:val="32"/>
          <w:highlight w:val="none"/>
          <w:lang w:val="en-US" w:eastAsia="zh-CN"/>
        </w:rPr>
        <w:t>，各报价项目需与</w:t>
      </w:r>
      <w:r>
        <w:rPr>
          <w:rFonts w:hint="eastAsia" w:ascii="仿宋_GB2312" w:hAnsi="仿宋_GB2312" w:eastAsia="仿宋_GB2312" w:cs="仿宋_GB2312"/>
          <w:color w:val="auto"/>
          <w:sz w:val="32"/>
          <w:szCs w:val="32"/>
          <w:highlight w:val="none"/>
          <w:lang w:val="en-US" w:eastAsia="zh-CN"/>
        </w:rPr>
        <w:t>下</w:t>
      </w:r>
      <w:r>
        <w:rPr>
          <w:rFonts w:hint="default" w:ascii="仿宋_GB2312" w:hAnsi="仿宋_GB2312" w:eastAsia="仿宋_GB2312" w:cs="仿宋_GB2312"/>
          <w:color w:val="auto"/>
          <w:sz w:val="32"/>
          <w:szCs w:val="32"/>
          <w:highlight w:val="none"/>
          <w:lang w:val="en-US" w:eastAsia="zh-CN"/>
        </w:rPr>
        <w:t>表项目保持一致，同时各项目报价不得超过各单项限额。</w:t>
      </w:r>
    </w:p>
    <w:tbl>
      <w:tblPr>
        <w:tblStyle w:val="8"/>
        <w:tblpPr w:leftFromText="180" w:rightFromText="180" w:vertAnchor="text" w:horzAnchor="page" w:tblpXSpec="center" w:tblpY="587"/>
        <w:tblOverlap w:val="never"/>
        <w:tblW w:w="90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1449"/>
        <w:gridCol w:w="1602"/>
        <w:gridCol w:w="865"/>
        <w:gridCol w:w="904"/>
        <w:gridCol w:w="1019"/>
        <w:gridCol w:w="2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项目类别</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项目内容</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default" w:ascii="仿宋_GB2312" w:hAnsi="仿宋_GB2312" w:eastAsia="仿宋_GB2312" w:cs="仿宋_GB2312"/>
                <w:b/>
                <w:bCs/>
                <w:i w:val="0"/>
                <w:iCs w:val="0"/>
                <w:color w:val="000000"/>
                <w:kern w:val="0"/>
                <w:sz w:val="24"/>
                <w:szCs w:val="24"/>
                <w:u w:val="none"/>
                <w:lang w:val="en-US" w:eastAsia="zh-CN" w:bidi="ar"/>
              </w:rPr>
              <w:t>单项限额</w:t>
            </w: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2"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2024年报</w:t>
            </w:r>
          </w:p>
        </w:tc>
        <w:tc>
          <w:tcPr>
            <w:tcW w:w="160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设计、排版服务、印刷制作服务、校对服务</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90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本</w:t>
            </w:r>
          </w:p>
        </w:tc>
        <w:tc>
          <w:tcPr>
            <w:tcW w:w="10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23000</w:t>
            </w:r>
          </w:p>
        </w:tc>
        <w:tc>
          <w:tcPr>
            <w:tcW w:w="24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所有材料页面设计、排版，共需完成4份封面设计；印刷制作，内文（100-150）页每年40本：A4竖版，胶装，封面：300克铜版纸，含所有材料的校对服务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7" w:hRule="atLeast"/>
          <w:jc w:val="center"/>
        </w:trPr>
        <w:tc>
          <w:tcPr>
            <w:tcW w:w="732" w:type="dxa"/>
            <w:vMerge w:val="continue"/>
            <w:tcBorders>
              <w:top w:val="single" w:color="auto"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印刷制作服务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5200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印刷制作，内文（100-150）页每年40本：A4竖版，胶装，封面：300克铜版纸，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7" w:hRule="atLeast"/>
          <w:jc w:val="center"/>
        </w:trPr>
        <w:tc>
          <w:tcPr>
            <w:tcW w:w="73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539"/>
              </w:tabs>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2022年报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印刷制作服务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40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5200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印刷制作，内文（100-150）页每年40本：A4竖版，胶装，封面：300克铜版纸，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8"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44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文化馆一级馆评级材料综合成册</w:t>
            </w:r>
          </w:p>
        </w:tc>
        <w:tc>
          <w:tcPr>
            <w:tcW w:w="1602" w:type="dxa"/>
            <w:tcBorders>
              <w:top w:val="nil"/>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设计、排版服务、印刷制作服务、校对服务</w:t>
            </w:r>
          </w:p>
        </w:tc>
        <w:tc>
          <w:tcPr>
            <w:tcW w:w="865" w:type="dxa"/>
            <w:tcBorders>
              <w:top w:val="nil"/>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04" w:type="dxa"/>
            <w:tcBorders>
              <w:top w:val="nil"/>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19" w:type="dxa"/>
            <w:tcBorders>
              <w:top w:val="nil"/>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36800</w:t>
            </w:r>
          </w:p>
        </w:tc>
        <w:tc>
          <w:tcPr>
            <w:tcW w:w="24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1.封面设计，内容排版设计，文字表格排版，含多次修改费，预计内文（700-800）页；</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2.印刷制作，预计内文（700-800）页,A4竖版，胶装，封面：300克铜版纸；</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3.刊物校对，含所有材料的校对服务,预计内文（700-800）页。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7"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44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审稿、指导服务</w:t>
            </w:r>
          </w:p>
        </w:tc>
        <w:tc>
          <w:tcPr>
            <w:tcW w:w="16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审稿、指导服务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规划编制指导，根据文件评分细则要求完成对所有材料的统一打包、编制服务，并按要求提交成品文件，协助收集并整理相关材料、汇编，进行内容统筹等。          2.印刷技术支持，为整套材料印制部分提供业务咨询、专业分析、负责印制文件检查，并安排印刷订单及时下印,负责把控印刷时间、进度、质量，去印厂跟踪印制流程，及时协调印装过程中出现的各种问题。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打样印刷服务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含所有年刊及汇编等材料样品制作费用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jc w:val="center"/>
        </w:trPr>
        <w:tc>
          <w:tcPr>
            <w:tcW w:w="73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44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运输</w:t>
            </w:r>
          </w:p>
        </w:tc>
        <w:tc>
          <w:tcPr>
            <w:tcW w:w="16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含所有打样画册刊物及成品等多次运输费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5552"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09"/>
              </w:tabs>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87200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五、</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1.</w:t>
      </w:r>
      <w:r>
        <w:rPr>
          <w:rFonts w:hint="eastAsia" w:ascii="仿宋_GB2312" w:hAnsi="仿宋" w:eastAsia="仿宋_GB2312" w:cs="仿宋"/>
          <w:color w:val="auto"/>
          <w:sz w:val="32"/>
          <w:szCs w:val="32"/>
          <w:highlight w:val="none"/>
        </w:rPr>
        <w:t>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2.</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w:t>
      </w:r>
      <w:bookmarkStart w:id="0" w:name="_GoBack"/>
      <w:bookmarkEnd w:id="0"/>
      <w:r>
        <w:rPr>
          <w:rFonts w:hint="eastAsia" w:ascii="仿宋_GB2312" w:hAnsi="仿宋" w:eastAsia="仿宋_GB2312" w:cs="仿宋"/>
          <w:color w:val="auto"/>
          <w:sz w:val="32"/>
          <w:szCs w:val="32"/>
          <w:highlight w:val="none"/>
        </w:rPr>
        <w:t>以及不存在被有关部门禁止参与政府采购活动且在有效期内的情况;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lang w:eastAsia="zh-CN"/>
        </w:rPr>
        <w:t>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olor w:val="auto"/>
          <w:sz w:val="32"/>
          <w:highlight w:val="none"/>
          <w:lang w:val="en-US" w:eastAsia="zh-CN"/>
        </w:rPr>
      </w:pPr>
      <w:r>
        <w:rPr>
          <w:rFonts w:hint="eastAsia" w:ascii="仿宋_GB2312" w:hAnsi="仿宋" w:eastAsia="仿宋_GB2312"/>
          <w:color w:val="auto"/>
          <w:sz w:val="32"/>
          <w:highlight w:val="none"/>
          <w:lang w:val="en-US" w:eastAsia="zh-CN"/>
        </w:rPr>
        <w:t>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2"/>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（一）评分规则</w:t>
      </w:r>
    </w:p>
    <w:p>
      <w:pPr>
        <w:spacing w:line="560" w:lineRule="exact"/>
        <w:ind w:firstLine="640" w:firstLineChars="200"/>
        <w:jc w:val="both"/>
        <w:rPr>
          <w:rFonts w:hint="eastAsia" w:ascii="楷体_GB2312" w:hAnsi="楷体_GB2312" w:eastAsia="楷体_GB2312" w:cs="楷体_GB2312"/>
          <w:b w:val="0"/>
          <w:bCs/>
          <w:color w:val="000000"/>
          <w:sz w:val="32"/>
          <w:szCs w:val="32"/>
          <w:lang w:eastAsia="zh-CN"/>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（二）</w:t>
      </w:r>
      <w:r>
        <w:rPr>
          <w:rFonts w:hint="eastAsia" w:ascii="楷体_GB2312" w:hAnsi="楷体_GB2312" w:eastAsia="楷体_GB2312" w:cs="楷体_GB2312"/>
          <w:b w:val="0"/>
          <w:bCs/>
          <w:color w:val="000000"/>
          <w:sz w:val="32"/>
          <w:szCs w:val="32"/>
        </w:rPr>
        <w:t>评分权重</w:t>
      </w:r>
    </w:p>
    <w:tbl>
      <w:tblPr>
        <w:tblStyle w:val="8"/>
        <w:tblW w:w="8755"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146"/>
        <w:gridCol w:w="244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2146"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商务能力</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w:t>
            </w:r>
          </w:p>
        </w:tc>
        <w:tc>
          <w:tcPr>
            <w:tcW w:w="250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2146"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25</w:t>
            </w:r>
            <w:r>
              <w:rPr>
                <w:rFonts w:hint="eastAsia" w:ascii="仿宋_GB2312" w:hAnsi="仿宋_GB2312" w:eastAsia="仿宋_GB2312" w:cs="仿宋_GB2312"/>
                <w:b w:val="0"/>
                <w:bCs/>
                <w:color w:val="auto"/>
                <w:sz w:val="24"/>
                <w:szCs w:val="24"/>
                <w:highlight w:val="none"/>
              </w:rPr>
              <w:t>分</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45</w:t>
            </w:r>
            <w:r>
              <w:rPr>
                <w:rFonts w:hint="eastAsia" w:ascii="仿宋_GB2312" w:hAnsi="仿宋_GB2312" w:eastAsia="仿宋_GB2312" w:cs="仿宋_GB2312"/>
                <w:b w:val="0"/>
                <w:bCs/>
                <w:color w:val="auto"/>
                <w:sz w:val="24"/>
                <w:szCs w:val="24"/>
                <w:highlight w:val="none"/>
              </w:rPr>
              <w:t>分</w:t>
            </w:r>
          </w:p>
        </w:tc>
        <w:tc>
          <w:tcPr>
            <w:tcW w:w="250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30分</w:t>
            </w:r>
          </w:p>
        </w:tc>
      </w:tr>
    </w:tbl>
    <w:p>
      <w:pPr>
        <w:pStyle w:val="12"/>
        <w:spacing w:line="560" w:lineRule="exact"/>
        <w:ind w:firstLine="640" w:firstLineChars="200"/>
        <w:rPr>
          <w:rFonts w:hint="eastAsia" w:ascii="仿宋_GB2312" w:eastAsia="仿宋_GB2312"/>
          <w:color w:val="auto"/>
          <w:sz w:val="32"/>
          <w:szCs w:val="32"/>
          <w:highlight w:val="none"/>
          <w:lang w:val="en-US" w:eastAsia="zh-CN"/>
        </w:rPr>
      </w:pPr>
      <w:r>
        <w:rPr>
          <w:rFonts w:hint="eastAsia" w:ascii="楷体_GB2312" w:hAnsi="楷体_GB2312" w:eastAsia="楷体_GB2312" w:cs="楷体_GB2312"/>
          <w:b w:val="0"/>
          <w:bCs/>
          <w:color w:val="000000"/>
          <w:sz w:val="32"/>
          <w:szCs w:val="32"/>
          <w:highlight w:val="none"/>
          <w:lang w:eastAsia="zh-CN"/>
        </w:rPr>
        <w:t>（三）评分标准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1.商务能力</w:t>
      </w:r>
    </w:p>
    <w:tbl>
      <w:tblPr>
        <w:tblStyle w:val="8"/>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06"/>
        <w:gridCol w:w="3628"/>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69" w:type="dxa"/>
            <w:gridSpan w:val="3"/>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3482" w:type="dxa"/>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trPr>
        <w:tc>
          <w:tcPr>
            <w:tcW w:w="535" w:type="dxa"/>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商务</w:t>
            </w:r>
            <w:r>
              <w:rPr>
                <w:rFonts w:hint="eastAsia" w:ascii="仿宋_GB2312" w:hAnsi="仿宋_GB2312" w:eastAsia="仿宋_GB2312" w:cs="仿宋_GB2312"/>
                <w:b w:val="0"/>
                <w:bCs/>
                <w:color w:val="auto"/>
                <w:sz w:val="24"/>
                <w:szCs w:val="24"/>
                <w:highlight w:val="none"/>
                <w:lang w:eastAsia="zh-CN"/>
              </w:rPr>
              <w:t>能力</w:t>
            </w:r>
            <w:r>
              <w:rPr>
                <w:rFonts w:hint="eastAsia" w:ascii="仿宋_GB2312" w:hAnsi="仿宋_GB2312" w:eastAsia="仿宋_GB2312" w:cs="仿宋_GB2312"/>
                <w:b w:val="0"/>
                <w:bCs/>
                <w:color w:val="auto"/>
                <w:sz w:val="24"/>
                <w:szCs w:val="24"/>
                <w:highlight w:val="none"/>
              </w:rPr>
              <w:t>评分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25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p>
        </w:tc>
        <w:tc>
          <w:tcPr>
            <w:tcW w:w="11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同类项目经验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val="en-US" w:eastAsia="zh-CN"/>
              </w:rPr>
              <w:t>）</w:t>
            </w:r>
          </w:p>
        </w:tc>
        <w:tc>
          <w:tcPr>
            <w:tcW w:w="3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具有</w:t>
            </w:r>
            <w:r>
              <w:rPr>
                <w:rFonts w:hint="eastAsia" w:ascii="仿宋_GB2312" w:hAnsi="仿宋_GB2312" w:eastAsia="仿宋_GB2312" w:cs="仿宋_GB2312"/>
                <w:b w:val="0"/>
                <w:bCs/>
                <w:color w:val="auto"/>
                <w:sz w:val="24"/>
                <w:szCs w:val="24"/>
                <w:highlight w:val="none"/>
                <w:lang w:val="en-US" w:eastAsia="zh-CN"/>
              </w:rPr>
              <w:t>类似项目</w:t>
            </w:r>
            <w:r>
              <w:rPr>
                <w:rFonts w:hint="eastAsia" w:ascii="仿宋_GB2312" w:hAnsi="仿宋_GB2312" w:eastAsia="仿宋_GB2312" w:cs="仿宋_GB2312"/>
                <w:b w:val="0"/>
                <w:bCs/>
                <w:color w:val="auto"/>
                <w:sz w:val="24"/>
                <w:szCs w:val="24"/>
                <w:highlight w:val="none"/>
                <w:lang w:eastAsia="zh-CN"/>
              </w:rPr>
              <w:t>的经验</w:t>
            </w:r>
            <w:r>
              <w:rPr>
                <w:rFonts w:hint="eastAsia" w:ascii="仿宋_GB2312" w:hAnsi="仿宋_GB2312" w:eastAsia="仿宋_GB2312" w:cs="仿宋_GB2312"/>
                <w:b w:val="0"/>
                <w:bCs/>
                <w:color w:val="auto"/>
                <w:sz w:val="24"/>
                <w:szCs w:val="24"/>
                <w:highlight w:val="none"/>
                <w:lang w:val="en-US" w:eastAsia="zh-CN"/>
              </w:rPr>
              <w:t>，提供至少1个以上过往合同关键页；至少</w:t>
            </w:r>
            <w:r>
              <w:rPr>
                <w:rFonts w:hint="eastAsia" w:ascii="仿宋_GB2312" w:hAnsi="仿宋_GB2312" w:eastAsia="仿宋_GB2312" w:cs="仿宋_GB2312"/>
                <w:b w:val="0"/>
                <w:bCs/>
                <w:color w:val="auto"/>
                <w:sz w:val="24"/>
                <w:szCs w:val="24"/>
                <w:highlight w:val="none"/>
              </w:rPr>
              <w:t>提供一项以往</w:t>
            </w:r>
            <w:r>
              <w:rPr>
                <w:rFonts w:hint="eastAsia" w:ascii="仿宋_GB2312" w:hAnsi="仿宋_GB2312" w:eastAsia="仿宋_GB2312" w:cs="仿宋_GB2312"/>
                <w:b w:val="0"/>
                <w:bCs/>
                <w:color w:val="auto"/>
                <w:sz w:val="24"/>
                <w:szCs w:val="24"/>
                <w:highlight w:val="none"/>
                <w:lang w:eastAsia="zh-CN"/>
              </w:rPr>
              <w:t>物料设计制作相关</w:t>
            </w:r>
            <w:r>
              <w:rPr>
                <w:rFonts w:hint="eastAsia" w:ascii="仿宋_GB2312" w:hAnsi="仿宋_GB2312" w:eastAsia="仿宋_GB2312" w:cs="仿宋_GB2312"/>
                <w:b w:val="0"/>
                <w:bCs/>
                <w:color w:val="auto"/>
                <w:sz w:val="24"/>
                <w:szCs w:val="24"/>
                <w:highlight w:val="none"/>
              </w:rPr>
              <w:t>项目</w:t>
            </w:r>
            <w:r>
              <w:rPr>
                <w:rFonts w:hint="eastAsia" w:ascii="仿宋_GB2312" w:hAnsi="仿宋_GB2312" w:eastAsia="仿宋_GB2312" w:cs="仿宋_GB2312"/>
                <w:b w:val="0"/>
                <w:bCs/>
                <w:color w:val="auto"/>
                <w:sz w:val="24"/>
                <w:szCs w:val="24"/>
                <w:highlight w:val="none"/>
                <w:lang w:val="en-US" w:eastAsia="zh-CN"/>
              </w:rPr>
              <w:t>证明材料</w:t>
            </w:r>
            <w:r>
              <w:rPr>
                <w:rFonts w:hint="eastAsia" w:ascii="仿宋_GB2312" w:hAnsi="仿宋_GB2312" w:eastAsia="仿宋_GB2312" w:cs="仿宋_GB2312"/>
                <w:b w:val="0"/>
                <w:bCs/>
                <w:color w:val="auto"/>
                <w:sz w:val="24"/>
                <w:szCs w:val="24"/>
                <w:highlight w:val="none"/>
              </w:rPr>
              <w:t>得</w:t>
            </w:r>
            <w:r>
              <w:rPr>
                <w:rFonts w:hint="eastAsia" w:ascii="仿宋_GB2312" w:hAnsi="仿宋_GB2312" w:eastAsia="仿宋_GB2312" w:cs="仿宋_GB2312"/>
                <w:b w:val="0"/>
                <w:bCs/>
                <w:color w:val="auto"/>
                <w:sz w:val="24"/>
                <w:szCs w:val="24"/>
                <w:highlight w:val="none"/>
                <w:lang w:val="en-US" w:eastAsia="zh-CN"/>
              </w:rPr>
              <w:t>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本项最高得分为</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分。</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提供过往项目合同关键页</w:t>
            </w:r>
            <w:r>
              <w:rPr>
                <w:rFonts w:hint="eastAsia" w:ascii="仿宋_GB2312" w:hAnsi="仿宋_GB2312" w:eastAsia="仿宋_GB2312" w:cs="仿宋_GB2312"/>
                <w:b w:val="0"/>
                <w:bCs/>
                <w:color w:val="auto"/>
                <w:sz w:val="24"/>
                <w:szCs w:val="24"/>
                <w:highlight w:val="none"/>
                <w:lang w:eastAsia="zh-CN"/>
              </w:rPr>
              <w:t>佐证材料。（同个合作方、同个项目续签不累计加分）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535"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eastAsia="zh-CN"/>
              </w:rPr>
              <w:t>拟安排的项目团队成员情况（</w:t>
            </w:r>
            <w:r>
              <w:rPr>
                <w:rFonts w:hint="eastAsia" w:ascii="仿宋_GB2312" w:hAnsi="仿宋_GB2312" w:eastAsia="仿宋_GB2312" w:cs="仿宋_GB2312"/>
                <w:b w:val="0"/>
                <w:bCs/>
                <w:color w:val="auto"/>
                <w:sz w:val="24"/>
                <w:szCs w:val="24"/>
                <w:highlight w:val="none"/>
                <w:lang w:val="en-US" w:eastAsia="zh-CN"/>
              </w:rPr>
              <w:t>5分）</w:t>
            </w:r>
          </w:p>
        </w:tc>
        <w:tc>
          <w:tcPr>
            <w:tcW w:w="3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1.具备本科以上学历的，每提供一个得1分，最高得3分；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2.团队成员参与过类似项目经验的，每提供团队人员参与的项目经验的，得1分，最高得2分。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以上两项同一人可累计得分，两项累计总分最高得5分。</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1.提供项目团队成员学位证书、毕业证书（须体现专业类别）扫描件或复印件；提供类似经验合作证明或相关资料，扫描件或复印件。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2.未提供证明材料或者提供的证明材料不符合要求或提供的证明材料不清晰评审专家无法辨认的，不得分。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535"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06"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诚信评价</w:t>
            </w:r>
          </w:p>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5分</w:t>
            </w:r>
            <w:r>
              <w:rPr>
                <w:rFonts w:hint="eastAsia" w:ascii="仿宋_GB2312" w:hAnsi="仿宋_GB2312" w:eastAsia="仿宋_GB2312" w:cs="仿宋_GB2312"/>
                <w:b w:val="0"/>
                <w:bCs/>
                <w:color w:val="auto"/>
                <w:sz w:val="24"/>
                <w:szCs w:val="24"/>
                <w:highlight w:val="none"/>
                <w:lang w:eastAsia="zh-CN"/>
              </w:rPr>
              <w:t>）</w:t>
            </w:r>
          </w:p>
        </w:tc>
        <w:tc>
          <w:tcPr>
            <w:tcW w:w="3628" w:type="dxa"/>
            <w:noWrap w:val="0"/>
            <w:vAlign w:val="center"/>
          </w:tcPr>
          <w:p>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eastAsia="zh-CN"/>
              </w:rPr>
              <w:t>投标人在参与政府采购活动中不存在诚信相关问题且不在主管部门相关处理措施实施期限内的。</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提供《诚信承诺函》得5分，未提供不得分。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53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违约承诺书</w:t>
            </w:r>
          </w:p>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6"/>
                <w:szCs w:val="26"/>
                <w:u w:val="none"/>
                <w:lang w:val="en-US" w:eastAsia="zh-CN" w:bidi="ar-SA"/>
              </w:rPr>
            </w:pPr>
            <w:r>
              <w:rPr>
                <w:rFonts w:hint="eastAsia" w:ascii="仿宋_GB2312" w:hAnsi="仿宋_GB2312" w:eastAsia="仿宋_GB2312" w:cs="仿宋_GB2312"/>
                <w:b w:val="0"/>
                <w:bCs/>
                <w:color w:val="auto"/>
                <w:sz w:val="24"/>
                <w:szCs w:val="24"/>
                <w:highlight w:val="none"/>
                <w:lang w:val="en-US" w:eastAsia="zh-CN"/>
              </w:rPr>
              <w:t>（5分）</w:t>
            </w:r>
          </w:p>
        </w:tc>
        <w:tc>
          <w:tcPr>
            <w:tcW w:w="3628" w:type="dxa"/>
            <w:noWrap w:val="0"/>
            <w:vAlign w:val="center"/>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根据对项目的理解及自身管理经验，提出项目的违约承诺，</w:t>
            </w:r>
            <w:r>
              <w:rPr>
                <w:rFonts w:hint="eastAsia" w:ascii="仿宋_GB2312" w:hAnsi="仿宋_GB2312" w:eastAsia="仿宋_GB2312" w:cs="仿宋_GB2312"/>
                <w:b w:val="0"/>
                <w:bCs/>
                <w:color w:val="auto"/>
                <w:sz w:val="24"/>
                <w:szCs w:val="24"/>
                <w:highlight w:val="none"/>
                <w:lang w:val="en-US" w:eastAsia="zh-CN"/>
              </w:rPr>
              <w:t>并承诺对所有提供的文字及图片材料严格保密</w:t>
            </w:r>
            <w:r>
              <w:rPr>
                <w:rFonts w:hint="eastAsia" w:ascii="仿宋_GB2312" w:hAnsi="仿宋_GB2312" w:eastAsia="仿宋_GB2312" w:cs="仿宋_GB2312"/>
                <w:b w:val="0"/>
                <w:bCs/>
                <w:color w:val="auto"/>
                <w:sz w:val="24"/>
                <w:szCs w:val="24"/>
                <w:highlight w:val="none"/>
                <w:lang w:eastAsia="zh-CN"/>
              </w:rPr>
              <w:t>。</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提供《违约承诺函》得5分，未提供不得分。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2.技术能力</w:t>
      </w:r>
    </w:p>
    <w:tbl>
      <w:tblPr>
        <w:tblStyle w:val="8"/>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086"/>
        <w:gridCol w:w="3617"/>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53" w:type="dxa"/>
            <w:gridSpan w:val="3"/>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3498" w:type="dxa"/>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8" w:hRule="atLeast"/>
        </w:trPr>
        <w:tc>
          <w:tcPr>
            <w:tcW w:w="55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技术能力</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45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p>
        </w:tc>
        <w:tc>
          <w:tcPr>
            <w:tcW w:w="108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实施</w:t>
            </w:r>
          </w:p>
          <w:p>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方案</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（25分）</w:t>
            </w:r>
          </w:p>
        </w:tc>
        <w:tc>
          <w:tcPr>
            <w:tcW w:w="3617" w:type="dxa"/>
            <w:noWrap w:val="0"/>
            <w:vAlign w:val="center"/>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根据项目特点，针对项目需求、内容等要点进行整体设想和初步设计呈现, 提供项目实施方案、编印计划大纲、预想设计图或示意图等初稿。</w:t>
            </w:r>
          </w:p>
          <w:p>
            <w:pPr>
              <w:pStyle w:val="2"/>
              <w:ind w:left="0" w:leftChars="0" w:firstLine="0" w:firstLineChars="0"/>
              <w:rPr>
                <w:rFonts w:hint="default"/>
                <w:lang w:val="en-US" w:eastAsia="zh-CN"/>
              </w:rPr>
            </w:pPr>
          </w:p>
        </w:tc>
        <w:tc>
          <w:tcPr>
            <w:tcW w:w="3498" w:type="dxa"/>
            <w:noWrap w:val="0"/>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满足以上任意一项内容得</w:t>
            </w:r>
            <w:r>
              <w:rPr>
                <w:rFonts w:hint="eastAsia" w:ascii="仿宋_GB2312" w:hAnsi="仿宋_GB2312" w:eastAsia="仿宋_GB2312" w:cs="仿宋_GB2312"/>
                <w:b w:val="0"/>
                <w:bCs/>
                <w:color w:val="auto"/>
                <w:sz w:val="24"/>
                <w:szCs w:val="24"/>
                <w:highlight w:val="none"/>
                <w:lang w:val="en-US" w:eastAsia="zh-CN"/>
              </w:rPr>
              <w:t>5</w:t>
            </w:r>
            <w:r>
              <w:rPr>
                <w:rFonts w:hint="default" w:ascii="仿宋_GB2312" w:hAnsi="仿宋_GB2312" w:eastAsia="仿宋_GB2312" w:cs="仿宋_GB2312"/>
                <w:b w:val="0"/>
                <w:bCs/>
                <w:color w:val="auto"/>
                <w:sz w:val="24"/>
                <w:szCs w:val="24"/>
                <w:highlight w:val="none"/>
                <w:lang w:val="en-US" w:eastAsia="zh-CN"/>
              </w:rPr>
              <w:t>分，最高1</w:t>
            </w:r>
            <w:r>
              <w:rPr>
                <w:rFonts w:hint="eastAsia" w:ascii="仿宋_GB2312" w:hAnsi="仿宋_GB2312" w:eastAsia="仿宋_GB2312" w:cs="仿宋_GB2312"/>
                <w:b w:val="0"/>
                <w:bCs/>
                <w:color w:val="auto"/>
                <w:sz w:val="24"/>
                <w:szCs w:val="24"/>
                <w:highlight w:val="none"/>
                <w:lang w:val="en-US" w:eastAsia="zh-CN"/>
              </w:rPr>
              <w:t>5</w:t>
            </w:r>
            <w:r>
              <w:rPr>
                <w:rFonts w:hint="default" w:ascii="仿宋_GB2312" w:hAnsi="仿宋_GB2312" w:eastAsia="仿宋_GB2312" w:cs="仿宋_GB2312"/>
                <w:b w:val="0"/>
                <w:bCs/>
                <w:color w:val="auto"/>
                <w:sz w:val="24"/>
                <w:szCs w:val="24"/>
                <w:highlight w:val="none"/>
                <w:lang w:val="en-US" w:eastAsia="zh-CN"/>
              </w:rPr>
              <w:t>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评分标准：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在此基础上，由评标委员会对方案进一步评审：</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（1）方案内容全面。</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（2）方案内容具体。</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（3）方案内容科学合理。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（4）方案内容针对性强。</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（5）方案内容可操作性强。</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 xml:space="preserve">优评分标准：满足以上五项要求的评价为优，得 </w:t>
            </w:r>
            <w:r>
              <w:rPr>
                <w:rFonts w:hint="eastAsia" w:ascii="仿宋_GB2312" w:hAnsi="仿宋_GB2312" w:eastAsia="仿宋_GB2312" w:cs="仿宋_GB2312"/>
                <w:b w:val="0"/>
                <w:bCs/>
                <w:color w:val="auto"/>
                <w:sz w:val="24"/>
                <w:szCs w:val="24"/>
                <w:highlight w:val="none"/>
                <w:lang w:val="en-US" w:eastAsia="zh-CN"/>
              </w:rPr>
              <w:t>10</w:t>
            </w:r>
            <w:r>
              <w:rPr>
                <w:rFonts w:hint="default" w:ascii="仿宋_GB2312" w:hAnsi="仿宋_GB2312" w:eastAsia="仿宋_GB2312" w:cs="仿宋_GB2312"/>
                <w:b w:val="0"/>
                <w:bCs/>
                <w:color w:val="auto"/>
                <w:sz w:val="24"/>
                <w:szCs w:val="24"/>
                <w:highlight w:val="none"/>
                <w:lang w:val="en-US" w:eastAsia="zh-CN"/>
              </w:rPr>
              <w:t>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 xml:space="preserve">良评分标准：满足以上四项要求的评价为良，得 </w:t>
            </w:r>
            <w:r>
              <w:rPr>
                <w:rFonts w:hint="eastAsia" w:ascii="仿宋_GB2312" w:hAnsi="仿宋_GB2312" w:eastAsia="仿宋_GB2312" w:cs="仿宋_GB2312"/>
                <w:b w:val="0"/>
                <w:bCs/>
                <w:color w:val="auto"/>
                <w:sz w:val="24"/>
                <w:szCs w:val="24"/>
                <w:highlight w:val="none"/>
                <w:lang w:val="en-US" w:eastAsia="zh-CN"/>
              </w:rPr>
              <w:t>7</w:t>
            </w:r>
            <w:r>
              <w:rPr>
                <w:rFonts w:hint="default" w:ascii="仿宋_GB2312" w:hAnsi="仿宋_GB2312" w:eastAsia="仿宋_GB2312" w:cs="仿宋_GB2312"/>
                <w:b w:val="0"/>
                <w:bCs/>
                <w:color w:val="auto"/>
                <w:sz w:val="24"/>
                <w:szCs w:val="24"/>
                <w:highlight w:val="none"/>
                <w:lang w:val="en-US" w:eastAsia="zh-CN"/>
              </w:rPr>
              <w:t>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 xml:space="preserve">中评分标准：满足以上三项要求的评价为中，得 </w:t>
            </w:r>
            <w:r>
              <w:rPr>
                <w:rFonts w:hint="eastAsia" w:ascii="仿宋_GB2312" w:hAnsi="仿宋_GB2312" w:eastAsia="仿宋_GB2312" w:cs="仿宋_GB2312"/>
                <w:b w:val="0"/>
                <w:bCs/>
                <w:color w:val="auto"/>
                <w:sz w:val="24"/>
                <w:szCs w:val="24"/>
                <w:highlight w:val="none"/>
                <w:lang w:val="en-US" w:eastAsia="zh-CN"/>
              </w:rPr>
              <w:t>4</w:t>
            </w:r>
            <w:r>
              <w:rPr>
                <w:rFonts w:hint="default" w:ascii="仿宋_GB2312" w:hAnsi="仿宋_GB2312" w:eastAsia="仿宋_GB2312" w:cs="仿宋_GB2312"/>
                <w:b w:val="0"/>
                <w:bCs/>
                <w:color w:val="auto"/>
                <w:sz w:val="24"/>
                <w:szCs w:val="24"/>
                <w:highlight w:val="none"/>
                <w:lang w:val="en-US" w:eastAsia="zh-CN"/>
              </w:rPr>
              <w:t>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2" w:hRule="atLeast"/>
        </w:trPr>
        <w:tc>
          <w:tcPr>
            <w:tcW w:w="55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108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质量保障措施及方案（20分）</w:t>
            </w:r>
          </w:p>
        </w:tc>
        <w:tc>
          <w:tcPr>
            <w:tcW w:w="36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投标人需针对本项目提供质量（完成时间、安全）保障措施及方案，方案内容包括但不限于：</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（1）给出分阶段项目时间安排、工作进度；具备详细的完成时间保障措施；</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（2）详细阐述项目人员管理措施；</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（3）详细阐述项目质量管理措施；</w:t>
            </w:r>
          </w:p>
        </w:tc>
        <w:tc>
          <w:tcPr>
            <w:tcW w:w="3498"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满足以上任意一项内容得4分，最高12分。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在此基础上，由评标委员会对实施方案进一步评审：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（1）质量保障措施及方案内容全面。</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（2）质量保障措施及方案内容具体。</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（3）质量保障措施及方案内容科学合理。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（4）质量保障措施及方案内容针对性强。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（5）质量保障措施及方案内容可操作性强。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优评分标准：满足以上五项要求的评价为优，得 8分。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良评分标准：满足以上四项要求的评价为良，得 6分。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中评分标准：满足以上三项要求的评价为中，得 4分。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6"/>
                <w:szCs w:val="26"/>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差评分标准：上述情况之外的，评差不得分。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3.报价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000000"/>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30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pStyle w:val="12"/>
        <w:spacing w:line="560" w:lineRule="exact"/>
        <w:ind w:firstLine="640"/>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（四）供应商提供资料清单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1.营业执照、</w:t>
      </w:r>
      <w:r>
        <w:rPr>
          <w:rFonts w:hint="eastAsia" w:ascii="仿宋_GB2312" w:hAnsi="仿宋" w:eastAsia="仿宋_GB2312" w:cs="Times New Roman"/>
          <w:color w:val="auto"/>
          <w:sz w:val="32"/>
          <w:highlight w:val="none"/>
        </w:rPr>
        <w:t>事业法人证书、社会团体法人登记证书</w:t>
      </w:r>
      <w:r>
        <w:rPr>
          <w:rFonts w:hint="eastAsia" w:ascii="仿宋_GB2312" w:hAnsi="仿宋" w:eastAsia="仿宋_GB2312" w:cs="Times New Roman"/>
          <w:color w:val="auto"/>
          <w:sz w:val="32"/>
          <w:highlight w:val="none"/>
          <w:lang w:eastAsia="zh-CN"/>
        </w:rPr>
        <w:t>（加盖公章）；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color w:val="auto"/>
          <w:highlight w:val="none"/>
          <w:lang w:val="en-US" w:eastAsia="zh-CN"/>
        </w:rPr>
      </w:pPr>
      <w:r>
        <w:rPr>
          <w:rFonts w:hint="eastAsia" w:ascii="仿宋_GB2312" w:hAnsi="仿宋" w:eastAsia="仿宋_GB2312" w:cs="Times New Roman"/>
          <w:color w:val="auto"/>
          <w:sz w:val="32"/>
          <w:highlight w:val="none"/>
          <w:lang w:val="en-US" w:eastAsia="zh-CN"/>
        </w:rPr>
        <w:t>2.法定代表人身份证复印件（加盖公章）；</w:t>
      </w:r>
    </w:p>
    <w:p>
      <w:pPr>
        <w:pStyle w:val="2"/>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3.项目报价清单（加盖公章）；</w:t>
      </w:r>
    </w:p>
    <w:p>
      <w:pPr>
        <w:pStyle w:val="2"/>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4.评分规则所需资料（同类业绩证明、方案等）。</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0"/>
        <w:jc w:val="left"/>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注：供应商需邮寄</w:t>
      </w:r>
      <w:r>
        <w:rPr>
          <w:rFonts w:hint="eastAsia" w:ascii="仿宋_GB2312" w:hAnsi="仿宋" w:eastAsia="仿宋_GB2312" w:cs="Times New Roman"/>
          <w:b/>
          <w:bCs/>
          <w:color w:val="FF0000"/>
          <w:sz w:val="32"/>
          <w:highlight w:val="none"/>
          <w:lang w:val="en-US" w:eastAsia="zh-CN"/>
        </w:rPr>
        <w:t>7份密封</w:t>
      </w:r>
      <w:r>
        <w:rPr>
          <w:rFonts w:hint="eastAsia" w:ascii="仿宋_GB2312" w:hAnsi="仿宋" w:eastAsia="仿宋_GB2312" w:cs="Times New Roman"/>
          <w:color w:val="auto"/>
          <w:sz w:val="32"/>
          <w:highlight w:val="none"/>
          <w:lang w:val="en-US" w:eastAsia="zh-CN"/>
        </w:rPr>
        <w:t>纸质版投标资料至本单位</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地址：</w:t>
      </w:r>
      <w:r>
        <w:rPr>
          <w:rFonts w:hint="eastAsia" w:ascii="仿宋_GB2312" w:hAnsi="仿宋" w:eastAsia="仿宋_GB2312" w:cs="Times New Roman"/>
          <w:color w:val="auto"/>
          <w:kern w:val="2"/>
          <w:sz w:val="32"/>
          <w:szCs w:val="22"/>
          <w:highlight w:val="none"/>
          <w:lang w:val="en-US" w:eastAsia="zh-CN" w:bidi="ar-SA"/>
        </w:rPr>
        <w:t>深圳市龙华区维雅德大厦富康行政办公区</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电话:0755-23338140</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收件人：吴先生</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pPr>
      <w:r>
        <w:rPr>
          <w:rFonts w:hint="eastAsia" w:ascii="仿宋_GB2312" w:hAnsi="仿宋" w:eastAsia="仿宋_GB2312" w:cs="Times New Roman"/>
          <w:color w:val="auto"/>
          <w:sz w:val="32"/>
          <w:highlight w:val="none"/>
          <w:lang w:val="en-US" w:eastAsia="zh-CN"/>
        </w:rPr>
        <w:t>文件投递截止时间：2024年11月16日</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8F96FF"/>
    <w:multiLevelType w:val="singleLevel"/>
    <w:tmpl w:val="D78F96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MDIwNmYxMTZmM2ZmMWE3MmQ2OTEzY2Y2OTA3OTUifQ=="/>
  </w:docVars>
  <w:rsids>
    <w:rsidRoot w:val="00172A27"/>
    <w:rsid w:val="00675481"/>
    <w:rsid w:val="025365D0"/>
    <w:rsid w:val="041534A1"/>
    <w:rsid w:val="05DB2024"/>
    <w:rsid w:val="091F1C0E"/>
    <w:rsid w:val="0A022361"/>
    <w:rsid w:val="0D613984"/>
    <w:rsid w:val="11AD5BAB"/>
    <w:rsid w:val="128D3B74"/>
    <w:rsid w:val="147249AB"/>
    <w:rsid w:val="152E629B"/>
    <w:rsid w:val="15321C5A"/>
    <w:rsid w:val="16E400B8"/>
    <w:rsid w:val="174C70AF"/>
    <w:rsid w:val="17CD264C"/>
    <w:rsid w:val="18145C05"/>
    <w:rsid w:val="19C65FEC"/>
    <w:rsid w:val="1A1076EF"/>
    <w:rsid w:val="1D7801E9"/>
    <w:rsid w:val="1FC3400C"/>
    <w:rsid w:val="20A51EAE"/>
    <w:rsid w:val="20E114E3"/>
    <w:rsid w:val="22737F35"/>
    <w:rsid w:val="23000844"/>
    <w:rsid w:val="24041127"/>
    <w:rsid w:val="242157C3"/>
    <w:rsid w:val="24286ECC"/>
    <w:rsid w:val="251C73F2"/>
    <w:rsid w:val="252444DE"/>
    <w:rsid w:val="25FA0A39"/>
    <w:rsid w:val="27EB1DC8"/>
    <w:rsid w:val="27FFA40F"/>
    <w:rsid w:val="291160AF"/>
    <w:rsid w:val="29EF1567"/>
    <w:rsid w:val="29FD0A66"/>
    <w:rsid w:val="2F67789D"/>
    <w:rsid w:val="2FF7DA85"/>
    <w:rsid w:val="2FF91AEA"/>
    <w:rsid w:val="2FFE4165"/>
    <w:rsid w:val="30253044"/>
    <w:rsid w:val="31222946"/>
    <w:rsid w:val="341E1D1F"/>
    <w:rsid w:val="34820B56"/>
    <w:rsid w:val="34E64EC5"/>
    <w:rsid w:val="357B722D"/>
    <w:rsid w:val="36B03D67"/>
    <w:rsid w:val="36B75B3C"/>
    <w:rsid w:val="36FF41C7"/>
    <w:rsid w:val="3814688C"/>
    <w:rsid w:val="388D2FD0"/>
    <w:rsid w:val="39E22233"/>
    <w:rsid w:val="3BC548C8"/>
    <w:rsid w:val="3CB306F8"/>
    <w:rsid w:val="3CB32796"/>
    <w:rsid w:val="3E320799"/>
    <w:rsid w:val="3E76E6F1"/>
    <w:rsid w:val="3F7141CB"/>
    <w:rsid w:val="422C6665"/>
    <w:rsid w:val="424D331F"/>
    <w:rsid w:val="435F10A0"/>
    <w:rsid w:val="438A1650"/>
    <w:rsid w:val="463C1F4C"/>
    <w:rsid w:val="46BA7686"/>
    <w:rsid w:val="48157ACC"/>
    <w:rsid w:val="49CBA4BD"/>
    <w:rsid w:val="4A694FCE"/>
    <w:rsid w:val="4AC17619"/>
    <w:rsid w:val="4BDD2160"/>
    <w:rsid w:val="4CA30BBC"/>
    <w:rsid w:val="4EEF186B"/>
    <w:rsid w:val="4F4D689F"/>
    <w:rsid w:val="50EE61B9"/>
    <w:rsid w:val="526C7C62"/>
    <w:rsid w:val="52FB0B43"/>
    <w:rsid w:val="535B6094"/>
    <w:rsid w:val="53F2EC23"/>
    <w:rsid w:val="546D5EE1"/>
    <w:rsid w:val="54723E94"/>
    <w:rsid w:val="55ED7BB1"/>
    <w:rsid w:val="59746C51"/>
    <w:rsid w:val="5BD8190D"/>
    <w:rsid w:val="5BE45C13"/>
    <w:rsid w:val="5BFBC428"/>
    <w:rsid w:val="5CB01C28"/>
    <w:rsid w:val="5DEFB6EC"/>
    <w:rsid w:val="5F5FAC39"/>
    <w:rsid w:val="5F7EBD3B"/>
    <w:rsid w:val="5F9448BD"/>
    <w:rsid w:val="60F23670"/>
    <w:rsid w:val="61534507"/>
    <w:rsid w:val="61FD1D4F"/>
    <w:rsid w:val="68112812"/>
    <w:rsid w:val="6CFA6E95"/>
    <w:rsid w:val="6F9748A6"/>
    <w:rsid w:val="6FA42D3E"/>
    <w:rsid w:val="6FDEDBAA"/>
    <w:rsid w:val="6FE657F4"/>
    <w:rsid w:val="71EF273F"/>
    <w:rsid w:val="72991A9A"/>
    <w:rsid w:val="744C48FD"/>
    <w:rsid w:val="75B230F2"/>
    <w:rsid w:val="75EF0FF4"/>
    <w:rsid w:val="767B882F"/>
    <w:rsid w:val="7736682A"/>
    <w:rsid w:val="77EA626C"/>
    <w:rsid w:val="78AB3E04"/>
    <w:rsid w:val="790F2C2D"/>
    <w:rsid w:val="793F69B9"/>
    <w:rsid w:val="7B9D2AF7"/>
    <w:rsid w:val="7BFEFAB2"/>
    <w:rsid w:val="7D8DBA67"/>
    <w:rsid w:val="7DE034F5"/>
    <w:rsid w:val="7DE37B2D"/>
    <w:rsid w:val="7DFE79F2"/>
    <w:rsid w:val="7EA7FDD9"/>
    <w:rsid w:val="7F3BC2EA"/>
    <w:rsid w:val="7F3F718A"/>
    <w:rsid w:val="7FAC50B6"/>
    <w:rsid w:val="7FDD47FD"/>
    <w:rsid w:val="7FE76E30"/>
    <w:rsid w:val="7FFA3C27"/>
    <w:rsid w:val="9FED73CA"/>
    <w:rsid w:val="9FF71789"/>
    <w:rsid w:val="AFDFCACC"/>
    <w:rsid w:val="B52FD247"/>
    <w:rsid w:val="BBAC7028"/>
    <w:rsid w:val="BDDFC0AE"/>
    <w:rsid w:val="BF0D3451"/>
    <w:rsid w:val="BFFE0E6E"/>
    <w:rsid w:val="BFFF7B79"/>
    <w:rsid w:val="C76D2BFB"/>
    <w:rsid w:val="CBFF711D"/>
    <w:rsid w:val="CD7BB0D1"/>
    <w:rsid w:val="D1F7953C"/>
    <w:rsid w:val="D7FD747C"/>
    <w:rsid w:val="DEFD82D1"/>
    <w:rsid w:val="DFF7C894"/>
    <w:rsid w:val="E5A4A5A6"/>
    <w:rsid w:val="E5FF9B60"/>
    <w:rsid w:val="E6EC4E42"/>
    <w:rsid w:val="EEFED5C3"/>
    <w:rsid w:val="EF75ED2C"/>
    <w:rsid w:val="EFC2E939"/>
    <w:rsid w:val="EFF60BDD"/>
    <w:rsid w:val="EFFD141C"/>
    <w:rsid w:val="EFFEB532"/>
    <w:rsid w:val="F679C546"/>
    <w:rsid w:val="F7CFA815"/>
    <w:rsid w:val="F9F79C50"/>
    <w:rsid w:val="FAF9D570"/>
    <w:rsid w:val="FB3D6D7C"/>
    <w:rsid w:val="FD9DCCEF"/>
    <w:rsid w:val="FDFA10AF"/>
    <w:rsid w:val="FEF3ED19"/>
    <w:rsid w:val="FF5AD531"/>
    <w:rsid w:val="FFFB20EB"/>
    <w:rsid w:val="FFFF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6">
    <w:name w:val="Plain Text"/>
    <w:basedOn w:val="1"/>
    <w:unhideWhenUsed/>
    <w:qFormat/>
    <w:uiPriority w:val="99"/>
    <w:rPr>
      <w:rFonts w:ascii="宋体" w:hAnsi="Calibri"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paragraph" w:customStyle="1" w:styleId="12">
    <w:name w:val="USE 1"/>
    <w:basedOn w:val="1"/>
    <w:qFormat/>
    <w:uiPriority w:val="0"/>
    <w:pPr>
      <w:spacing w:line="200" w:lineRule="atLeast"/>
      <w:jc w:val="left"/>
    </w:pPr>
    <w:rPr>
      <w:rFonts w:ascii="宋体" w:hAnsi="宋体"/>
      <w:b/>
      <w:sz w:val="24"/>
      <w:szCs w:val="28"/>
    </w:rPr>
  </w:style>
  <w:style w:type="character" w:customStyle="1" w:styleId="13">
    <w:name w:val="font11"/>
    <w:basedOn w:val="10"/>
    <w:qFormat/>
    <w:uiPriority w:val="0"/>
    <w:rPr>
      <w:rFonts w:hint="default" w:ascii="仿宋_GB2312" w:eastAsia="仿宋_GB2312" w:cs="仿宋_GB2312"/>
      <w:color w:val="000000"/>
      <w:sz w:val="24"/>
      <w:szCs w:val="24"/>
      <w:u w:val="none"/>
    </w:rPr>
  </w:style>
  <w:style w:type="character" w:customStyle="1" w:styleId="14">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8</Pages>
  <Words>2842</Words>
  <Characters>3026</Characters>
  <Lines>0</Lines>
  <Paragraphs>0</Paragraphs>
  <TotalTime>2</TotalTime>
  <ScaleCrop>false</ScaleCrop>
  <LinksUpToDate>false</LinksUpToDate>
  <CharactersWithSpaces>3044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2014-11-13T04:08:00Z</dcterms:created>
  <dc:creator>李春朝</dc:creator>
  <cp:lastModifiedBy>lxy</cp:lastModifiedBy>
  <cp:lastPrinted>2024-10-29T17:47:00Z</cp:lastPrinted>
  <dcterms:modified xsi:type="dcterms:W3CDTF">2024-11-12T16:38:48Z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D0A9E261B59A4CE6B06F4916ECF3F3DA_13</vt:lpwstr>
  </property>
</Properties>
</file>