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2025年龙华区文艺惠民</w:t>
      </w:r>
      <w:r>
        <w:rPr>
          <w:rFonts w:hint="eastAsia" w:ascii="方正小标宋简体" w:hAnsi="方正小标宋简体" w:eastAsia="方正小标宋简体" w:cs="方正小标宋简体"/>
          <w:sz w:val="44"/>
          <w:szCs w:val="44"/>
          <w:lang w:val="en-US" w:eastAsia="zh-CN"/>
        </w:rPr>
        <w:t>音乐会</w:t>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r>
        <w:rPr>
          <w:rFonts w:hint="eastAsia" w:ascii="方正小标宋简体" w:hAnsi="方正小标宋简体" w:eastAsia="方正小标宋简体" w:cs="方正小标宋简体"/>
          <w:sz w:val="44"/>
          <w:szCs w:val="44"/>
          <w:lang w:val="en-US" w:eastAsia="zh-CN"/>
        </w:rPr>
        <w:t>项目需求书</w:t>
      </w:r>
    </w:p>
    <w:p>
      <w:pPr>
        <w:pStyle w:val="4"/>
        <w:keepNext w:val="0"/>
        <w:keepLines w:val="0"/>
        <w:pageBreakBefore w:val="0"/>
        <w:kinsoku/>
        <w:wordWrap/>
        <w:overflowPunct/>
        <w:topLinePunct w:val="0"/>
        <w:autoSpaceDE/>
        <w:autoSpaceDN/>
        <w:bidi w:val="0"/>
        <w:spacing w:line="560" w:lineRule="exact"/>
        <w:jc w:val="center"/>
        <w:rPr>
          <w:rFonts w:hint="eastAsia" w:ascii="微软雅黑" w:hAnsi="微软雅黑" w:eastAsia="微软雅黑" w:cs="微软雅黑"/>
          <w:spacing w:val="17"/>
          <w:kern w:val="2"/>
          <w:sz w:val="44"/>
          <w:szCs w:val="44"/>
          <w:lang w:val="en-US" w:eastAsia="zh-CN" w:bidi="ar-SA"/>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一、项目目标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区文化体育事业发展第十四个五年规划》中第三部分“十四五”时期龙华区文化体育事业发展主要任务（四）“建成高质量文化服务标杆城区”中第2条“塑造惠民文化活动品牌”提出，十四五时期龙华应建成高质量文化服务标杆城区，塑造惠民文化活动品牌，全力推进品质惠民活动，持续引进高端精品演出剧目，推进高雅艺术进龙华、进社区，将高品质文化活动送到居民家门口。为落实好以上要求，通过高质量的文化供给，进一步丰富市民精神生活，提升城市文化软实力，借助文旅融合的创新模式，推动区域经济持续发展，实现品质惠民，拟开展一场文艺惠民音乐会活动。</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eastAsia="zh-CN"/>
        </w:rPr>
        <w:t>时间安排</w:t>
      </w:r>
    </w:p>
    <w:p>
      <w:pPr>
        <w:pStyle w:val="2"/>
        <w:keepNext w:val="0"/>
        <w:keepLines w:val="0"/>
        <w:pageBreakBefore w:val="0"/>
        <w:numPr>
          <w:ilvl w:val="0"/>
          <w:numId w:val="0"/>
        </w:numPr>
        <w:kinsoku/>
        <w:wordWrap/>
        <w:overflowPunct/>
        <w:topLinePunct w:val="0"/>
        <w:autoSpaceDE/>
        <w:autoSpaceDN/>
        <w:bidi w:val="0"/>
        <w:spacing w:after="0" w:line="560" w:lineRule="exact"/>
        <w:ind w:left="0" w:right="0" w:rightChars="0" w:firstLine="640" w:firstLineChars="200"/>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2025年1月初（暂定）,时长约90分钟。</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eastAsia="zh-CN"/>
        </w:rPr>
        <w:t>项目内容</w:t>
      </w:r>
      <w:r>
        <w:rPr>
          <w:rFonts w:hint="eastAsia" w:ascii="黑体" w:hAnsi="黑体" w:eastAsia="黑体" w:cs="黑体"/>
          <w:bCs/>
          <w:color w:val="auto"/>
          <w:sz w:val="32"/>
          <w:szCs w:val="32"/>
          <w:highlight w:val="none"/>
          <w:lang w:val="en-US" w:eastAsia="zh-CN"/>
        </w:rPr>
        <w:t>及要求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音乐会以“文化赋能·乐动龙华”为主题，举办地点暂定在观澜湖新城，将邀请深圳知名音乐人及乐团进行现场演奏。通过传统、流行、国风的创新风格，展现民乐与西洋乐融合的独特韵味，呈现别开生面的“国潮”新风貌，并计划在“龙华文体云”等网络平台进行线上直播，扩大音乐会影响力，辐射更多居民在家门口欣赏高水平的音乐表演。</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（二）具体要求</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1.负责音乐会的现场物料，包含主题背景、工作证、桌椅宣传物料等；</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2.负责</w:t>
      </w:r>
      <w:r>
        <w:rPr>
          <w:rFonts w:hint="eastAsia" w:ascii="仿宋" w:hAnsi="仿宋" w:eastAsia="仿宋" w:cs="仿宋"/>
          <w:kern w:val="2"/>
          <w:sz w:val="32"/>
          <w:szCs w:val="32"/>
          <w:lang w:val="en-US" w:eastAsia="zh-CN" w:bidi="ar-SA"/>
        </w:rPr>
        <w:t>招募志愿者协助引导观众入场、提供咨询服务等，提高服务质量；</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负责演出摄像及</w:t>
      </w:r>
      <w:r>
        <w:rPr>
          <w:rFonts w:hint="eastAsia" w:ascii="仿宋" w:hAnsi="仿宋" w:eastAsia="仿宋" w:cs="仿宋"/>
          <w:kern w:val="2"/>
          <w:sz w:val="32"/>
          <w:szCs w:val="32"/>
          <w:lang w:val="en-US" w:eastAsia="zh-CN" w:bidi="ar-SA"/>
        </w:rPr>
        <w:t>“龙华文体云”等网络平台进行线上直播</w:t>
      </w:r>
      <w:r>
        <w:rPr>
          <w:rFonts w:hint="eastAsia" w:ascii="仿宋" w:hAnsi="仿宋" w:eastAsia="仿宋" w:cs="仿宋"/>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4.负责演出现场舞台布置，包含音响设备租赁、灯光租赁等；</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kern w:val="2"/>
          <w:sz w:val="32"/>
          <w:szCs w:val="32"/>
          <w:lang w:val="en-US" w:eastAsia="zh-CN" w:bidi="ar-SA"/>
        </w:rPr>
        <w:t>维护现场秩序，制定紧急疏散预案。</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20.36万元</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各报价项目需与预算表项目保持一致，</w:t>
      </w:r>
      <w:r>
        <w:rPr>
          <w:rFonts w:hint="default" w:ascii="仿宋_GB2312" w:hAnsi="仿宋_GB2312" w:eastAsia="仿宋_GB2312" w:cs="仿宋_GB2312"/>
          <w:color w:val="auto"/>
          <w:sz w:val="32"/>
          <w:szCs w:val="32"/>
          <w:highlight w:val="none"/>
          <w:lang w:val="en-US" w:eastAsia="zh-CN"/>
        </w:rPr>
        <w:t>项目报价不得超过限额。</w:t>
      </w:r>
    </w:p>
    <w:tbl>
      <w:tblPr>
        <w:tblStyle w:val="7"/>
        <w:tblpPr w:leftFromText="180" w:rightFromText="180" w:vertAnchor="text" w:horzAnchor="page" w:tblpX="1597" w:tblpY="23"/>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01"/>
        <w:gridCol w:w="3750"/>
        <w:gridCol w:w="863"/>
        <w:gridCol w:w="85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5"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序号</w:t>
            </w:r>
          </w:p>
        </w:tc>
        <w:tc>
          <w:tcPr>
            <w:tcW w:w="901"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名称项目</w:t>
            </w:r>
          </w:p>
        </w:tc>
        <w:tc>
          <w:tcPr>
            <w:tcW w:w="37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说明</w:t>
            </w:r>
          </w:p>
        </w:tc>
        <w:tc>
          <w:tcPr>
            <w:tcW w:w="863"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单位</w:t>
            </w:r>
          </w:p>
        </w:tc>
        <w:tc>
          <w:tcPr>
            <w:tcW w:w="8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数量</w:t>
            </w:r>
          </w:p>
        </w:tc>
        <w:tc>
          <w:tcPr>
            <w:tcW w:w="170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b/>
                <w:bCs/>
                <w:color w:val="auto"/>
                <w:sz w:val="28"/>
                <w:szCs w:val="28"/>
                <w:highlight w:val="none"/>
                <w:lang w:val="en-US" w:eastAsia="zh-CN"/>
              </w:rPr>
            </w:pPr>
            <w:r>
              <w:rPr>
                <w:rFonts w:hint="eastAsia" w:ascii="仿宋_GB2312" w:hAnsi="仿宋" w:eastAsia="仿宋_GB2312" w:cs="仿宋"/>
                <w:b/>
                <w:bCs/>
                <w:color w:val="auto"/>
                <w:sz w:val="28"/>
                <w:szCs w:val="28"/>
                <w:highlight w:val="none"/>
                <w:lang w:val="en-US" w:eastAsia="zh-CN"/>
              </w:rPr>
              <w:t>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5"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1</w:t>
            </w:r>
          </w:p>
        </w:tc>
        <w:tc>
          <w:tcPr>
            <w:tcW w:w="901"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default"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演出费</w:t>
            </w:r>
          </w:p>
        </w:tc>
        <w:tc>
          <w:tcPr>
            <w:tcW w:w="37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不少于20人的演职人员队伍，包含乐器、餐饮、工作人员大巴。</w:t>
            </w:r>
          </w:p>
        </w:tc>
        <w:tc>
          <w:tcPr>
            <w:tcW w:w="863"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队</w:t>
            </w:r>
          </w:p>
        </w:tc>
        <w:tc>
          <w:tcPr>
            <w:tcW w:w="8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1</w:t>
            </w:r>
          </w:p>
        </w:tc>
        <w:tc>
          <w:tcPr>
            <w:tcW w:w="1700" w:type="dxa"/>
            <w:vMerge w:val="restart"/>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203,600.00</w:t>
            </w: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15"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2</w:t>
            </w:r>
          </w:p>
        </w:tc>
        <w:tc>
          <w:tcPr>
            <w:tcW w:w="901"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舞台设备</w:t>
            </w:r>
          </w:p>
        </w:tc>
        <w:tc>
          <w:tcPr>
            <w:tcW w:w="3750" w:type="dxa"/>
            <w:vAlign w:val="center"/>
          </w:tcPr>
          <w:p>
            <w:pPr>
              <w:keepNext w:val="0"/>
              <w:keepLines w:val="0"/>
              <w:pageBreakBefore w:val="0"/>
              <w:widowControl w:val="0"/>
              <w:numPr>
                <w:ilvl w:val="0"/>
                <w:numId w:val="1"/>
              </w:numPr>
              <w:tabs>
                <w:tab w:val="left" w:pos="1820"/>
              </w:tabs>
              <w:kinsoku/>
              <w:wordWrap/>
              <w:overflowPunct/>
              <w:topLinePunct w:val="0"/>
              <w:autoSpaceDE/>
              <w:autoSpaceDN/>
              <w:bidi w:val="0"/>
              <w:adjustRightInd w:val="0"/>
              <w:snapToGrid w:val="0"/>
              <w:spacing w:line="500" w:lineRule="exact"/>
              <w:ind w:left="14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主扩音箱系统、乐队专用移动调音台，集线系统、专业耳返系统、专用乐器麦克风、头戴乐器麦克风、打击乐、部分乐器设备等，含音响调控团。 </w:t>
            </w:r>
          </w:p>
          <w:p>
            <w:pPr>
              <w:keepNext w:val="0"/>
              <w:keepLines w:val="0"/>
              <w:pageBreakBefore w:val="0"/>
              <w:widowControl w:val="0"/>
              <w:numPr>
                <w:ilvl w:val="0"/>
                <w:numId w:val="1"/>
              </w:numPr>
              <w:tabs>
                <w:tab w:val="left" w:pos="1820"/>
              </w:tabs>
              <w:kinsoku/>
              <w:wordWrap/>
              <w:overflowPunct/>
              <w:topLinePunct w:val="0"/>
              <w:autoSpaceDE/>
              <w:autoSpaceDN/>
              <w:bidi w:val="0"/>
              <w:adjustRightInd w:val="0"/>
              <w:snapToGrid w:val="0"/>
              <w:spacing w:line="500" w:lineRule="exact"/>
              <w:ind w:left="14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电脑灯20盏、灯光雷亚架1批、面光1批、调光台、烟机等，含灯光调控团队。</w:t>
            </w: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140" w:leftChars="0" w:right="0" w:rightChars="0"/>
              <w:jc w:val="both"/>
              <w:textAlignment w:val="auto"/>
              <w:outlineLvl w:val="9"/>
              <w:rPr>
                <w:rFonts w:hint="default" w:ascii="仿宋_GB2312" w:hAnsi="仿宋" w:eastAsia="仿宋_GB2312" w:cs="仿宋"/>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3、高清专业摄像机，直播系统、切换设备等。</w:t>
            </w:r>
          </w:p>
        </w:tc>
        <w:tc>
          <w:tcPr>
            <w:tcW w:w="863"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批</w:t>
            </w:r>
          </w:p>
        </w:tc>
        <w:tc>
          <w:tcPr>
            <w:tcW w:w="8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1</w:t>
            </w:r>
          </w:p>
        </w:tc>
        <w:tc>
          <w:tcPr>
            <w:tcW w:w="1700" w:type="dxa"/>
            <w:vMerge w:val="continue"/>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default" w:ascii="仿宋_GB2312" w:hAnsi="仿宋" w:eastAsia="仿宋_GB2312"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5"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default"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3</w:t>
            </w:r>
          </w:p>
        </w:tc>
        <w:tc>
          <w:tcPr>
            <w:tcW w:w="901"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舞美物料及保险</w:t>
            </w:r>
          </w:p>
        </w:tc>
        <w:tc>
          <w:tcPr>
            <w:tcW w:w="37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Chars="0" w:right="0" w:rightChars="0"/>
              <w:jc w:val="left"/>
              <w:textAlignment w:val="auto"/>
              <w:outlineLvl w:val="9"/>
              <w:rPr>
                <w:rFonts w:hint="default"/>
                <w:lang w:val="en-US" w:eastAsia="zh-CN"/>
              </w:rPr>
            </w:pPr>
            <w:r>
              <w:rPr>
                <w:rFonts w:hint="eastAsia" w:ascii="仿宋_GB2312" w:hAnsi="仿宋" w:eastAsia="仿宋_GB2312" w:cs="仿宋"/>
                <w:color w:val="auto"/>
                <w:sz w:val="28"/>
                <w:szCs w:val="28"/>
                <w:highlight w:val="none"/>
                <w:lang w:val="en-US" w:eastAsia="zh-CN"/>
              </w:rPr>
              <w:t>1、演奏平台搭建、舞美布置、观众座椅、背景主KV设计等。2、场地意外保险。</w:t>
            </w:r>
          </w:p>
        </w:tc>
        <w:tc>
          <w:tcPr>
            <w:tcW w:w="863"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批</w:t>
            </w:r>
          </w:p>
        </w:tc>
        <w:tc>
          <w:tcPr>
            <w:tcW w:w="850" w:type="dxa"/>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color w:val="auto"/>
                <w:sz w:val="28"/>
                <w:szCs w:val="28"/>
                <w:highlight w:val="none"/>
                <w:lang w:val="en-US" w:eastAsia="zh-CN"/>
              </w:rPr>
              <w:t>1</w:t>
            </w:r>
          </w:p>
        </w:tc>
        <w:tc>
          <w:tcPr>
            <w:tcW w:w="1700" w:type="dxa"/>
            <w:vMerge w:val="continue"/>
            <w:vAlign w:val="center"/>
          </w:tcPr>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 w:eastAsia="仿宋_GB2312" w:cs="仿宋"/>
                <w:color w:val="auto"/>
                <w:sz w:val="28"/>
                <w:szCs w:val="28"/>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lang w:val="en-US"/>
        </w:rPr>
        <w:t>在中国境内注册的独立法人或其他组织（提供营业执照、事业法人证书、社会团体法人登记证书等扫描件）；</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lang w:val="en-US"/>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val="en-US" w:eastAsia="zh-CN"/>
        </w:rPr>
        <w:t>；</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（三）单位负责人为同一人或者存在直接控股、管理关系的不同供应商，不得同时参加本项目的采购活动。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0"/>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0"/>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6"/>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4"/>
                <w:szCs w:val="24"/>
                <w:highlight w:val="none"/>
                <w:vertAlign w:val="baseline"/>
              </w:rPr>
            </w:pPr>
            <w:r>
              <w:rPr>
                <w:rFonts w:hint="eastAsia" w:ascii="仿宋_GB2312" w:hAnsi="仿宋_GB2312" w:eastAsia="仿宋_GB2312" w:cs="仿宋_GB2312"/>
                <w:b/>
                <w:bCs w:val="0"/>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4"/>
                <w:szCs w:val="24"/>
                <w:highlight w:val="none"/>
                <w:vertAlign w:val="baseline"/>
              </w:rPr>
            </w:pPr>
            <w:r>
              <w:rPr>
                <w:rFonts w:hint="eastAsia" w:ascii="仿宋_GB2312" w:hAnsi="仿宋_GB2312" w:eastAsia="仿宋_GB2312" w:cs="仿宋_GB2312"/>
                <w:b/>
                <w:bCs w:val="0"/>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bCs w:val="0"/>
                <w:color w:val="auto"/>
                <w:sz w:val="24"/>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4"/>
                <w:szCs w:val="24"/>
                <w:highlight w:val="none"/>
                <w:vertAlign w:val="baseline"/>
              </w:rPr>
            </w:pPr>
            <w:r>
              <w:rPr>
                <w:rFonts w:hint="eastAsia" w:ascii="仿宋_GB2312" w:hAnsi="仿宋_GB2312" w:eastAsia="仿宋_GB2312" w:cs="仿宋_GB2312"/>
                <w:b/>
                <w:bCs w:val="0"/>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0"/>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60"/>
        <w:gridCol w:w="3405"/>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6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项目</w:t>
            </w:r>
          </w:p>
        </w:tc>
        <w:tc>
          <w:tcPr>
            <w:tcW w:w="36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69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举办活动</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项目，</w:t>
            </w:r>
            <w:r>
              <w:rPr>
                <w:rFonts w:hint="eastAsia" w:ascii="仿宋_GB2312" w:hAnsi="仿宋_GB2312" w:eastAsia="仿宋_GB2312" w:cs="仿宋_GB2312"/>
                <w:b w:val="0"/>
                <w:bCs/>
                <w:color w:val="auto"/>
                <w:sz w:val="24"/>
                <w:szCs w:val="24"/>
                <w:highlight w:val="none"/>
              </w:rPr>
              <w:t>每提供一项</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6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提供往期活动合同关键页或合作证明</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r>
              <w:rPr>
                <w:rFonts w:hint="eastAsia" w:ascii="仿宋_GB2312" w:hAnsi="仿宋_GB2312" w:eastAsia="仿宋_GB2312" w:cs="仿宋_GB2312"/>
                <w:b w:val="0"/>
                <w:bCs/>
                <w:color w:val="auto"/>
                <w:sz w:val="24"/>
                <w:szCs w:val="24"/>
                <w:highlight w:val="none"/>
                <w:lang w:val="en-US" w:eastAsia="zh-CN"/>
              </w:rPr>
              <w:t>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trPr>
        <w:tc>
          <w:tcPr>
            <w:tcW w:w="69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拟安排的项目团队情况（</w:t>
            </w:r>
            <w:r>
              <w:rPr>
                <w:rFonts w:hint="eastAsia" w:ascii="仿宋_GB2312" w:hAnsi="仿宋_GB2312" w:eastAsia="仿宋_GB2312" w:cs="仿宋_GB2312"/>
                <w:b w:val="0"/>
                <w:bCs/>
                <w:color w:val="auto"/>
                <w:sz w:val="24"/>
                <w:szCs w:val="24"/>
                <w:highlight w:val="none"/>
                <w:lang w:val="en-US" w:eastAsia="zh-CN"/>
              </w:rPr>
              <w:t>10分）</w:t>
            </w:r>
          </w:p>
        </w:tc>
        <w:tc>
          <w:tcPr>
            <w:tcW w:w="34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1.团队成员具有群众文化类中级或艺术类三级专业资格证的，每提供一个得2分，最高得6分；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Cs/>
                <w:color w:val="auto"/>
                <w:sz w:val="24"/>
                <w:highlight w:val="none"/>
              </w:rPr>
              <w:t>团队成员有参与同类项目经验情况的</w:t>
            </w:r>
            <w:r>
              <w:rPr>
                <w:rFonts w:hint="eastAsia" w:ascii="仿宋_GB2312" w:hAnsi="仿宋_GB2312" w:eastAsia="仿宋_GB2312" w:cs="仿宋_GB2312"/>
                <w:b w:val="0"/>
                <w:bCs/>
                <w:color w:val="auto"/>
                <w:sz w:val="24"/>
                <w:szCs w:val="24"/>
                <w:highlight w:val="none"/>
                <w:lang w:val="en-US" w:eastAsia="zh-CN"/>
              </w:rPr>
              <w:t>，每提供一个得2分，最高得4分。</w:t>
            </w:r>
          </w:p>
        </w:tc>
        <w:tc>
          <w:tcPr>
            <w:tcW w:w="36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1.提供团队成员职业资格证书扫描件或复印件；提供类似经验合作证明或奖项证书等相关资料，扫描件或复印件。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69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9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诚信评价（</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405"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6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69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服务承诺书（5分）</w:t>
            </w:r>
          </w:p>
        </w:tc>
        <w:tc>
          <w:tcPr>
            <w:tcW w:w="3405"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根据对项目的理解及自身管理经验，提出项目完成的服务承诺。</w:t>
            </w:r>
          </w:p>
        </w:tc>
        <w:tc>
          <w:tcPr>
            <w:tcW w:w="36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提供《服务承诺函》得5分，未提供不得分。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6"/>
        <w:tblW w:w="875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83"/>
        <w:gridCol w:w="2182"/>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818"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项目</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65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实施方案（25分）</w:t>
            </w:r>
          </w:p>
        </w:tc>
        <w:tc>
          <w:tcPr>
            <w:tcW w:w="2182" w:type="dxa"/>
            <w:vAlign w:val="center"/>
          </w:tcPr>
          <w:p>
            <w:pP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投标人根据项目特点、活动定位、活动内容等要点提供相应方案：</w:t>
            </w:r>
          </w:p>
          <w:p>
            <w:pP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1.拟邀请的团队阵容；</w:t>
            </w:r>
          </w:p>
          <w:p>
            <w:pPr>
              <w:numPr>
                <w:ilvl w:val="-1"/>
                <w:numId w:val="0"/>
              </w:numP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2.团队或主要成员创作出版的原创作品情况；</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lang w:val="en-US" w:eastAsia="zh-CN"/>
              </w:rPr>
            </w:pPr>
            <w:r>
              <w:rPr>
                <w:rFonts w:hint="eastAsia" w:ascii="仿宋_GB2312" w:hAnsi="仿宋_GB2312" w:eastAsia="仿宋_GB2312" w:cs="仿宋_GB2312"/>
                <w:b w:val="0"/>
                <w:bCs/>
                <w:color w:val="auto"/>
                <w:sz w:val="24"/>
                <w:szCs w:val="24"/>
                <w:highlight w:val="none"/>
                <w:lang w:val="en-US" w:eastAsia="zh-CN"/>
              </w:rPr>
              <w:t>3.拟安排的节目明细情况。</w:t>
            </w:r>
          </w:p>
        </w:tc>
        <w:tc>
          <w:tcPr>
            <w:tcW w:w="493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w:t>
            </w:r>
            <w:r>
              <w:rPr>
                <w:rFonts w:hint="eastAsia" w:ascii="仿宋_GB2312" w:hAnsi="仿宋_GB2312" w:eastAsia="仿宋_GB2312" w:cs="仿宋_GB2312"/>
                <w:b w:val="0"/>
                <w:bCs/>
                <w:color w:val="auto"/>
                <w:sz w:val="24"/>
                <w:szCs w:val="24"/>
                <w:highlight w:val="none"/>
                <w:lang w:val="en-US" w:eastAsia="zh-CN"/>
              </w:rPr>
              <w:t>上</w:t>
            </w:r>
            <w:r>
              <w:rPr>
                <w:rFonts w:hint="default" w:ascii="仿宋_GB2312" w:hAnsi="仿宋_GB2312" w:eastAsia="仿宋_GB2312" w:cs="仿宋_GB2312"/>
                <w:b w:val="0"/>
                <w:bCs/>
                <w:color w:val="auto"/>
                <w:sz w:val="24"/>
                <w:szCs w:val="24"/>
                <w:highlight w:val="none"/>
                <w:lang w:val="en-US" w:eastAsia="zh-CN"/>
              </w:rPr>
              <w:t>任意一项内容得</w:t>
            </w:r>
            <w:r>
              <w:rPr>
                <w:rFonts w:hint="eastAsia" w:ascii="仿宋_GB2312" w:hAnsi="仿宋_GB2312" w:eastAsia="仿宋_GB2312" w:cs="仿宋_GB2312"/>
                <w:b w:val="0"/>
                <w:bCs/>
                <w:color w:val="auto"/>
                <w:sz w:val="24"/>
                <w:szCs w:val="24"/>
                <w:highlight w:val="none"/>
                <w:lang w:val="en-US" w:eastAsia="zh-CN"/>
              </w:rPr>
              <w:t>5</w:t>
            </w:r>
            <w:r>
              <w:rPr>
                <w:rFonts w:hint="default" w:ascii="仿宋_GB2312" w:hAnsi="仿宋_GB2312" w:eastAsia="仿宋_GB2312" w:cs="仿宋_GB2312"/>
                <w:b w:val="0"/>
                <w:bCs/>
                <w:color w:val="auto"/>
                <w:sz w:val="24"/>
                <w:szCs w:val="24"/>
                <w:highlight w:val="none"/>
                <w:lang w:val="en-US" w:eastAsia="zh-CN"/>
              </w:rPr>
              <w:t>分，最高</w:t>
            </w:r>
            <w:r>
              <w:rPr>
                <w:rFonts w:hint="eastAsia" w:ascii="仿宋_GB2312" w:hAnsi="仿宋_GB2312" w:eastAsia="仿宋_GB2312" w:cs="仿宋_GB2312"/>
                <w:b w:val="0"/>
                <w:bCs/>
                <w:color w:val="auto"/>
                <w:sz w:val="24"/>
                <w:szCs w:val="24"/>
                <w:highlight w:val="none"/>
                <w:lang w:val="en-US" w:eastAsia="zh-CN"/>
              </w:rPr>
              <w:t>15</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由评标委员会对实施方案</w:t>
            </w:r>
            <w:r>
              <w:rPr>
                <w:rFonts w:hint="eastAsia" w:ascii="仿宋_GB2312" w:hAnsi="仿宋_GB2312" w:eastAsia="仿宋_GB2312" w:cs="仿宋_GB2312"/>
                <w:b w:val="0"/>
                <w:bCs/>
                <w:color w:val="auto"/>
                <w:sz w:val="24"/>
                <w:szCs w:val="24"/>
                <w:highlight w:val="none"/>
                <w:lang w:val="en-US" w:eastAsia="zh-CN"/>
              </w:rPr>
              <w:t>进一步</w:t>
            </w:r>
            <w:r>
              <w:rPr>
                <w:rFonts w:hint="default" w:ascii="仿宋_GB2312" w:hAnsi="仿宋_GB2312" w:eastAsia="仿宋_GB2312" w:cs="仿宋_GB2312"/>
                <w:b w:val="0"/>
                <w:bCs/>
                <w:color w:val="auto"/>
                <w:sz w:val="24"/>
                <w:szCs w:val="24"/>
                <w:highlight w:val="none"/>
                <w:lang w:val="en-US" w:eastAsia="zh-CN"/>
              </w:rPr>
              <w:t>评审：</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（1）实施方案内容全面。</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（2）实施方案内容具体。</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（3）实施方案内容科学合理。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（4）实施方案内容针对性强。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（5）实施方案内容可操作性强。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优评分标准：满足以上五项要求的评价为优，得</w:t>
            </w:r>
            <w:r>
              <w:rPr>
                <w:rFonts w:hint="eastAsia" w:ascii="仿宋_GB2312" w:hAnsi="仿宋_GB2312" w:eastAsia="仿宋_GB2312" w:cs="仿宋_GB2312"/>
                <w:b w:val="0"/>
                <w:bCs/>
                <w:color w:val="auto"/>
                <w:sz w:val="24"/>
                <w:szCs w:val="24"/>
                <w:highlight w:val="none"/>
                <w:lang w:val="en-US" w:eastAsia="zh-CN"/>
              </w:rPr>
              <w:t>10</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w:t>
            </w:r>
            <w:r>
              <w:rPr>
                <w:rFonts w:hint="eastAsia" w:ascii="仿宋_GB2312" w:hAnsi="仿宋_GB2312" w:eastAsia="仿宋_GB2312" w:cs="仿宋_GB2312"/>
                <w:b w:val="0"/>
                <w:bCs/>
                <w:color w:val="auto"/>
                <w:sz w:val="24"/>
                <w:szCs w:val="24"/>
                <w:highlight w:val="none"/>
                <w:lang w:val="en-US" w:eastAsia="zh-CN"/>
              </w:rPr>
              <w:t>7</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中评分标准：满足以上三项要求的评价为中，得</w:t>
            </w:r>
            <w:r>
              <w:rPr>
                <w:rFonts w:hint="eastAsia" w:ascii="仿宋_GB2312" w:hAnsi="仿宋_GB2312" w:eastAsia="仿宋_GB2312" w:cs="仿宋_GB2312"/>
                <w:b w:val="0"/>
                <w:bCs/>
                <w:color w:val="auto"/>
                <w:sz w:val="24"/>
                <w:szCs w:val="24"/>
                <w:highlight w:val="none"/>
                <w:lang w:val="en-US" w:eastAsia="zh-CN"/>
              </w:rPr>
              <w:t>4</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65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质量保障措施（15分）</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tc>
        <w:tc>
          <w:tcPr>
            <w:tcW w:w="49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满足以上任意一项内容得3分，最高9分。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优评分标准：满足以上五项要求的评价为优，得6分。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良评分标准：满足以上四项要求的评价为良，得4分。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分</w:t>
      </w:r>
      <w:r>
        <w:rPr>
          <w:rFonts w:hint="eastAsia" w:ascii="仿宋_GB2312" w:eastAsia="仿宋_GB2312"/>
          <w:color w:val="000000"/>
          <w:sz w:val="32"/>
          <w:szCs w:val="32"/>
        </w:rPr>
        <w:t>。</w:t>
      </w:r>
    </w:p>
    <w:p>
      <w:pPr>
        <w:pStyle w:val="10"/>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2"/>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firstLine="641" w:firstLineChars="0"/>
        <w:jc w:val="both"/>
        <w:textAlignment w:val="auto"/>
        <w:outlineLvl w:val="9"/>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auto"/>
          <w:sz w:val="32"/>
          <w:highlight w:val="none"/>
          <w:lang w:val="en-US" w:eastAsia="zh-CN"/>
        </w:rPr>
        <w:t>7份</w:t>
      </w:r>
      <w:r>
        <w:rPr>
          <w:rFonts w:hint="eastAsia" w:ascii="仿宋_GB2312" w:hAnsi="仿宋" w:eastAsia="仿宋_GB2312" w:cs="Times New Roman"/>
          <w:color w:val="auto"/>
          <w:sz w:val="32"/>
          <w:highlight w:val="none"/>
          <w:lang w:val="en-US" w:eastAsia="zh-CN"/>
        </w:rPr>
        <w:t>密封纸质版投标资料至本单位</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地址：深圳市龙华区维雅德大厦富康行政办公区</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w:t>
      </w:r>
      <w:r>
        <w:rPr>
          <w:rFonts w:hint="eastAsia" w:ascii="仿宋_GB2312" w:hAnsi="仿宋" w:eastAsia="仿宋_GB2312" w:cs="仿宋"/>
          <w:kern w:val="2"/>
          <w:sz w:val="32"/>
          <w:szCs w:val="32"/>
          <w:lang w:val="en-US" w:eastAsia="zh-CN" w:bidi="ar-SA"/>
        </w:rPr>
        <w:t>0755-23338140</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5AB7C"/>
    <w:multiLevelType w:val="singleLevel"/>
    <w:tmpl w:val="AF35AB7C"/>
    <w:lvl w:ilvl="0" w:tentative="0">
      <w:start w:val="1"/>
      <w:numFmt w:val="decimal"/>
      <w:suff w:val="nothing"/>
      <w:lvlText w:val="%1、"/>
      <w:lvlJc w:val="left"/>
      <w:pPr>
        <w:ind w:left="1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MWFjMTVmZDk0MTNkNThlYjYyNTJjNDlhZWEzY2IifQ=="/>
    <w:docVar w:name="KSO_WPS_MARK_KEY" w:val="d28bc483-413f-41c0-992e-3806d3aeebb6"/>
  </w:docVars>
  <w:rsids>
    <w:rsidRoot w:val="06A51632"/>
    <w:rsid w:val="048C3099"/>
    <w:rsid w:val="058A5088"/>
    <w:rsid w:val="0648179F"/>
    <w:rsid w:val="06A51632"/>
    <w:rsid w:val="0A672C41"/>
    <w:rsid w:val="0B210701"/>
    <w:rsid w:val="0F1B08A4"/>
    <w:rsid w:val="100B0368"/>
    <w:rsid w:val="15B74CF3"/>
    <w:rsid w:val="17091D01"/>
    <w:rsid w:val="18454E55"/>
    <w:rsid w:val="1AF95904"/>
    <w:rsid w:val="1D655C40"/>
    <w:rsid w:val="1F4303AF"/>
    <w:rsid w:val="216F0F30"/>
    <w:rsid w:val="22A86937"/>
    <w:rsid w:val="2375629F"/>
    <w:rsid w:val="239A7AA2"/>
    <w:rsid w:val="25623E3D"/>
    <w:rsid w:val="25835B9D"/>
    <w:rsid w:val="28362486"/>
    <w:rsid w:val="2A08383B"/>
    <w:rsid w:val="2AE21D3C"/>
    <w:rsid w:val="2B7D6EDA"/>
    <w:rsid w:val="2BC7463A"/>
    <w:rsid w:val="2CB84ACC"/>
    <w:rsid w:val="2FB14853"/>
    <w:rsid w:val="316F741E"/>
    <w:rsid w:val="31F830D6"/>
    <w:rsid w:val="33B874BA"/>
    <w:rsid w:val="358C6714"/>
    <w:rsid w:val="38DA439C"/>
    <w:rsid w:val="3A6D21CF"/>
    <w:rsid w:val="3AFC3874"/>
    <w:rsid w:val="476959A5"/>
    <w:rsid w:val="47F210A1"/>
    <w:rsid w:val="482E6E11"/>
    <w:rsid w:val="4E804193"/>
    <w:rsid w:val="560F6AE2"/>
    <w:rsid w:val="56DA7C10"/>
    <w:rsid w:val="57A24CE3"/>
    <w:rsid w:val="596A6270"/>
    <w:rsid w:val="5C204A69"/>
    <w:rsid w:val="5E6D622F"/>
    <w:rsid w:val="5E7FC2B2"/>
    <w:rsid w:val="5EC16571"/>
    <w:rsid w:val="5F1F2324"/>
    <w:rsid w:val="6204437D"/>
    <w:rsid w:val="62127FE9"/>
    <w:rsid w:val="627F5974"/>
    <w:rsid w:val="664058AB"/>
    <w:rsid w:val="69265FFB"/>
    <w:rsid w:val="6A0171F6"/>
    <w:rsid w:val="6B231FA9"/>
    <w:rsid w:val="6B975196"/>
    <w:rsid w:val="6C621A04"/>
    <w:rsid w:val="712406CD"/>
    <w:rsid w:val="717E6918"/>
    <w:rsid w:val="71B66B18"/>
    <w:rsid w:val="720F001C"/>
    <w:rsid w:val="72254CAF"/>
    <w:rsid w:val="72D130E6"/>
    <w:rsid w:val="74C432FA"/>
    <w:rsid w:val="79073E6B"/>
    <w:rsid w:val="7A794B87"/>
    <w:rsid w:val="7BE86CC6"/>
    <w:rsid w:val="7DCD3481"/>
    <w:rsid w:val="7EB549BB"/>
    <w:rsid w:val="A3DF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Body Text"/>
    <w:basedOn w:val="1"/>
    <w:next w:val="1"/>
    <w:qFormat/>
    <w:uiPriority w:val="0"/>
    <w:pPr>
      <w:spacing w:after="120"/>
    </w:pPr>
  </w:style>
  <w:style w:type="paragraph" w:styleId="4">
    <w:name w:val="Plain Text"/>
    <w:basedOn w:val="1"/>
    <w:unhideWhenUsed/>
    <w:qFormat/>
    <w:uiPriority w:val="99"/>
    <w:rPr>
      <w:rFonts w:ascii="宋体" w:hAnsi="Calibri"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paragraph" w:customStyle="1" w:styleId="10">
    <w:name w:val="USE 1"/>
    <w:basedOn w:val="1"/>
    <w:qFormat/>
    <w:uiPriority w:val="0"/>
    <w:pPr>
      <w:spacing w:line="200" w:lineRule="atLeast"/>
      <w:jc w:val="left"/>
    </w:pPr>
    <w:rPr>
      <w:rFonts w:ascii="宋体" w:hAnsi="宋体"/>
      <w:b/>
      <w:sz w:val="24"/>
      <w:szCs w:val="28"/>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2414</Words>
  <Characters>2488</Characters>
  <Lines>0</Lines>
  <Paragraphs>0</Paragraphs>
  <TotalTime>3</TotalTime>
  <ScaleCrop>false</ScaleCrop>
  <LinksUpToDate>false</LinksUpToDate>
  <CharactersWithSpaces>2492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2024-04-15T18:50:00Z</dcterms:created>
  <dc:creator>JOCHUNG</dc:creator>
  <cp:lastModifiedBy>lxy</cp:lastModifiedBy>
  <cp:lastPrinted>2024-11-11T18:00:00Z</cp:lastPrinted>
  <dcterms:modified xsi:type="dcterms:W3CDTF">2024-11-13T17:27:06Z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FF0EFD1AC05144CEAEEA318CA0F4895E_13</vt:lpwstr>
  </property>
</Properties>
</file>