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700" w:lineRule="exact"/>
        <w:ind w:firstLine="0" w:firstLineChars="0"/>
        <w:jc w:val="both"/>
        <w:rPr>
          <w:rFonts w:hint="eastAsia" w:ascii="宋体" w:hAnsi="宋体" w:eastAsia="宋体" w:cs="Arial"/>
          <w:b/>
          <w:bCs/>
          <w:color w:val="0D0D0D" w:themeColor="text1" w:themeTint="F2"/>
          <w:sz w:val="44"/>
          <w:szCs w:val="44"/>
          <w:u w:val="none"/>
          <w14:textFill>
            <w14:solidFill>
              <w14:schemeClr w14:val="tx1">
                <w14:lumMod w14:val="95000"/>
                <w14:lumOff w14:val="5000"/>
              </w14:schemeClr>
            </w14:solidFill>
          </w14:textFill>
        </w:rPr>
      </w:pPr>
    </w:p>
    <w:p>
      <w:pPr>
        <w:adjustRightInd w:val="0"/>
        <w:snapToGrid w:val="0"/>
        <w:spacing w:line="700" w:lineRule="exact"/>
        <w:jc w:val="center"/>
        <w:rPr>
          <w:rFonts w:hint="eastAsia" w:ascii="宋体" w:hAnsi="宋体" w:eastAsia="宋体" w:cs="Arial"/>
          <w:b/>
          <w:bCs/>
          <w:color w:val="0D0D0D" w:themeColor="text1" w:themeTint="F2"/>
          <w:sz w:val="44"/>
          <w:szCs w:val="44"/>
          <w14:textFill>
            <w14:solidFill>
              <w14:schemeClr w14:val="tx1">
                <w14:lumMod w14:val="95000"/>
                <w14:lumOff w14:val="5000"/>
              </w14:schemeClr>
            </w14:solidFill>
          </w14:textFill>
        </w:rPr>
      </w:pPr>
      <w:r>
        <w:rPr>
          <w:rFonts w:hint="eastAsia" w:ascii="宋体" w:hAnsi="宋体" w:eastAsia="宋体" w:cs="Arial"/>
          <w:b/>
          <w:bCs/>
          <w:color w:val="0D0D0D" w:themeColor="text1" w:themeTint="F2"/>
          <w:sz w:val="44"/>
          <w:szCs w:val="44"/>
          <w14:textFill>
            <w14:solidFill>
              <w14:schemeClr w14:val="tx1">
                <w14:lumMod w14:val="95000"/>
                <w14:lumOff w14:val="5000"/>
              </w14:schemeClr>
            </w14:solidFill>
          </w14:textFill>
        </w:rPr>
        <w:t>龙华区经济社会发展全面绿色转型总体方案</w:t>
      </w:r>
    </w:p>
    <w:p>
      <w:pPr>
        <w:adjustRightInd w:val="0"/>
        <w:snapToGrid w:val="0"/>
        <w:spacing w:line="700" w:lineRule="exact"/>
        <w:jc w:val="center"/>
        <w:rPr>
          <w:rFonts w:ascii="宋体" w:hAnsi="宋体" w:eastAsia="宋体" w:cs="Arial"/>
          <w:b/>
          <w:bCs/>
          <w:color w:val="0D0D0D" w:themeColor="text1" w:themeTint="F2"/>
          <w:sz w:val="44"/>
          <w:szCs w:val="44"/>
          <w14:textFill>
            <w14:solidFill>
              <w14:schemeClr w14:val="tx1">
                <w14:lumMod w14:val="95000"/>
                <w14:lumOff w14:val="5000"/>
              </w14:schemeClr>
            </w14:solidFill>
          </w14:textFill>
        </w:rPr>
      </w:pPr>
      <w:r>
        <w:rPr>
          <w:rFonts w:hint="eastAsia" w:ascii="宋体" w:hAnsi="宋体" w:eastAsia="宋体" w:cs="Arial"/>
          <w:b/>
          <w:bCs/>
          <w:color w:val="0D0D0D" w:themeColor="text1" w:themeTint="F2"/>
          <w:sz w:val="44"/>
          <w:szCs w:val="44"/>
          <w14:textFill>
            <w14:solidFill>
              <w14:schemeClr w14:val="tx1">
                <w14:lumMod w14:val="95000"/>
                <w14:lumOff w14:val="5000"/>
              </w14:schemeClr>
            </w14:solidFill>
          </w14:textFill>
        </w:rPr>
        <w:t>研究项目</w:t>
      </w:r>
    </w:p>
    <w:p>
      <w:pPr>
        <w:spacing w:line="360" w:lineRule="auto"/>
        <w:ind w:left="420" w:leftChars="200"/>
        <w:jc w:val="center"/>
        <w:rPr>
          <w:rFonts w:ascii="宋体" w:hAnsi="宋体" w:eastAsia="宋体" w:cs="Arial"/>
          <w:b/>
          <w:bCs/>
          <w:color w:val="0D0D0D" w:themeColor="text1" w:themeTint="F2"/>
          <w:sz w:val="44"/>
          <w:szCs w:val="44"/>
          <w14:textFill>
            <w14:solidFill>
              <w14:schemeClr w14:val="tx1">
                <w14:lumMod w14:val="95000"/>
                <w14:lumOff w14:val="5000"/>
              </w14:schemeClr>
            </w14:solidFill>
          </w14:textFill>
        </w:rPr>
      </w:pPr>
    </w:p>
    <w:p>
      <w:pPr>
        <w:spacing w:line="360" w:lineRule="auto"/>
        <w:ind w:left="420" w:leftChars="200"/>
        <w:jc w:val="center"/>
        <w:rPr>
          <w:rFonts w:ascii="黑体" w:hAnsi="宋体" w:eastAsia="黑体" w:cs="Times New Roman"/>
          <w:b/>
          <w:bCs/>
          <w:color w:val="0D0D0D" w:themeColor="text1" w:themeTint="F2"/>
          <w:sz w:val="32"/>
          <w:szCs w:val="32"/>
          <w14:textFill>
            <w14:solidFill>
              <w14:schemeClr w14:val="tx1">
                <w14:lumMod w14:val="95000"/>
                <w14:lumOff w14:val="5000"/>
              </w14:schemeClr>
            </w14:solidFill>
          </w14:textFill>
        </w:rPr>
      </w:pPr>
    </w:p>
    <w:p>
      <w:pPr>
        <w:spacing w:line="360" w:lineRule="auto"/>
        <w:ind w:left="420" w:leftChars="200"/>
        <w:jc w:val="center"/>
        <w:rPr>
          <w:rFonts w:ascii="黑体" w:hAnsi="宋体" w:eastAsia="黑体" w:cs="Times New Roman"/>
          <w:b/>
          <w:bCs/>
          <w:color w:val="0D0D0D" w:themeColor="text1" w:themeTint="F2"/>
          <w:sz w:val="32"/>
          <w:szCs w:val="32"/>
          <w14:textFill>
            <w14:solidFill>
              <w14:schemeClr w14:val="tx1">
                <w14:lumMod w14:val="95000"/>
                <w14:lumOff w14:val="5000"/>
              </w14:schemeClr>
            </w14:solidFill>
          </w14:textFill>
        </w:rPr>
      </w:pPr>
    </w:p>
    <w:p>
      <w:pPr>
        <w:spacing w:line="360" w:lineRule="auto"/>
        <w:jc w:val="center"/>
        <w:rPr>
          <w:rFonts w:ascii="黑体" w:hAnsi="宋体" w:eastAsia="黑体" w:cs="Times New Roman"/>
          <w:b/>
          <w:bCs/>
          <w:color w:val="0D0D0D" w:themeColor="text1" w:themeTint="F2"/>
          <w:sz w:val="72"/>
          <w:szCs w:val="72"/>
          <w14:textFill>
            <w14:solidFill>
              <w14:schemeClr w14:val="tx1">
                <w14:lumMod w14:val="95000"/>
                <w14:lumOff w14:val="5000"/>
              </w14:schemeClr>
            </w14:solidFill>
          </w14:textFill>
        </w:rPr>
      </w:pPr>
      <w:r>
        <w:rPr>
          <w:rFonts w:hint="eastAsia" w:ascii="黑体" w:hAnsi="黑体" w:eastAsia="黑体" w:cs="Times New Roman"/>
          <w:b/>
          <w:bCs/>
          <w:color w:val="0D0D0D" w:themeColor="text1" w:themeTint="F2"/>
          <w:sz w:val="72"/>
          <w:szCs w:val="72"/>
          <w14:textFill>
            <w14:solidFill>
              <w14:schemeClr w14:val="tx1">
                <w14:lumMod w14:val="95000"/>
                <w14:lumOff w14:val="5000"/>
              </w14:schemeClr>
            </w14:solidFill>
          </w14:textFill>
        </w:rPr>
        <w:t>招</w:t>
      </w:r>
    </w:p>
    <w:p>
      <w:pPr>
        <w:spacing w:line="360" w:lineRule="auto"/>
        <w:jc w:val="center"/>
        <w:rPr>
          <w:rFonts w:ascii="黑体" w:hAnsi="宋体" w:eastAsia="黑体" w:cs="Times New Roman"/>
          <w:b/>
          <w:bCs/>
          <w:color w:val="0D0D0D" w:themeColor="text1" w:themeTint="F2"/>
          <w:sz w:val="72"/>
          <w:szCs w:val="72"/>
          <w14:textFill>
            <w14:solidFill>
              <w14:schemeClr w14:val="tx1">
                <w14:lumMod w14:val="95000"/>
                <w14:lumOff w14:val="5000"/>
              </w14:schemeClr>
            </w14:solidFill>
          </w14:textFill>
        </w:rPr>
      </w:pPr>
    </w:p>
    <w:p>
      <w:pPr>
        <w:spacing w:line="360" w:lineRule="auto"/>
        <w:jc w:val="center"/>
        <w:rPr>
          <w:rFonts w:ascii="黑体" w:hAnsi="宋体" w:eastAsia="黑体" w:cs="Times New Roman"/>
          <w:b/>
          <w:bCs/>
          <w:color w:val="0D0D0D" w:themeColor="text1" w:themeTint="F2"/>
          <w:sz w:val="72"/>
          <w:szCs w:val="72"/>
          <w14:textFill>
            <w14:solidFill>
              <w14:schemeClr w14:val="tx1">
                <w14:lumMod w14:val="95000"/>
                <w14:lumOff w14:val="5000"/>
              </w14:schemeClr>
            </w14:solidFill>
          </w14:textFill>
        </w:rPr>
      </w:pPr>
      <w:r>
        <w:rPr>
          <w:rFonts w:hint="eastAsia" w:ascii="黑体" w:hAnsi="黑体" w:eastAsia="黑体" w:cs="Times New Roman"/>
          <w:b/>
          <w:bCs/>
          <w:color w:val="0D0D0D" w:themeColor="text1" w:themeTint="F2"/>
          <w:sz w:val="72"/>
          <w:szCs w:val="72"/>
          <w14:textFill>
            <w14:solidFill>
              <w14:schemeClr w14:val="tx1">
                <w14:lumMod w14:val="95000"/>
                <w14:lumOff w14:val="5000"/>
              </w14:schemeClr>
            </w14:solidFill>
          </w14:textFill>
        </w:rPr>
        <w:t>标</w:t>
      </w:r>
    </w:p>
    <w:p>
      <w:pPr>
        <w:spacing w:line="360" w:lineRule="auto"/>
        <w:jc w:val="center"/>
        <w:rPr>
          <w:rFonts w:ascii="黑体" w:hAnsi="宋体" w:eastAsia="黑体" w:cs="Times New Roman"/>
          <w:b/>
          <w:bCs/>
          <w:color w:val="0D0D0D" w:themeColor="text1" w:themeTint="F2"/>
          <w:sz w:val="48"/>
          <w:szCs w:val="48"/>
          <w14:textFill>
            <w14:solidFill>
              <w14:schemeClr w14:val="tx1">
                <w14:lumMod w14:val="95000"/>
                <w14:lumOff w14:val="5000"/>
              </w14:schemeClr>
            </w14:solidFill>
          </w14:textFill>
        </w:rPr>
      </w:pPr>
    </w:p>
    <w:p>
      <w:pPr>
        <w:spacing w:line="360" w:lineRule="auto"/>
        <w:jc w:val="center"/>
        <w:rPr>
          <w:rFonts w:ascii="黑体" w:hAnsi="宋体" w:eastAsia="黑体" w:cs="Times New Roman"/>
          <w:b/>
          <w:bCs/>
          <w:color w:val="0D0D0D" w:themeColor="text1" w:themeTint="F2"/>
          <w:sz w:val="72"/>
          <w:szCs w:val="72"/>
          <w14:textFill>
            <w14:solidFill>
              <w14:schemeClr w14:val="tx1">
                <w14:lumMod w14:val="95000"/>
                <w14:lumOff w14:val="5000"/>
              </w14:schemeClr>
            </w14:solidFill>
          </w14:textFill>
        </w:rPr>
      </w:pPr>
      <w:r>
        <w:rPr>
          <w:rFonts w:hint="eastAsia" w:ascii="黑体" w:hAnsi="黑体" w:eastAsia="黑体" w:cs="Times New Roman"/>
          <w:b/>
          <w:bCs/>
          <w:color w:val="0D0D0D" w:themeColor="text1" w:themeTint="F2"/>
          <w:sz w:val="72"/>
          <w:szCs w:val="72"/>
          <w14:textFill>
            <w14:solidFill>
              <w14:schemeClr w14:val="tx1">
                <w14:lumMod w14:val="95000"/>
                <w14:lumOff w14:val="5000"/>
              </w14:schemeClr>
            </w14:solidFill>
          </w14:textFill>
        </w:rPr>
        <w:t>书</w:t>
      </w:r>
    </w:p>
    <w:p>
      <w:pPr>
        <w:spacing w:line="360" w:lineRule="auto"/>
        <w:ind w:left="420" w:leftChars="200"/>
        <w:jc w:val="center"/>
        <w:rPr>
          <w:rFonts w:ascii="宋体" w:hAnsi="宋体" w:eastAsia="宋体" w:cs="Times New Roman"/>
          <w:color w:val="0D0D0D" w:themeColor="text1" w:themeTint="F2"/>
          <w:sz w:val="44"/>
          <w:szCs w:val="44"/>
          <w14:textFill>
            <w14:solidFill>
              <w14:schemeClr w14:val="tx1">
                <w14:lumMod w14:val="95000"/>
                <w14:lumOff w14:val="5000"/>
              </w14:schemeClr>
            </w14:solidFill>
          </w14:textFill>
        </w:rPr>
      </w:pPr>
    </w:p>
    <w:p>
      <w:pPr>
        <w:spacing w:line="360" w:lineRule="auto"/>
        <w:ind w:left="420" w:leftChars="200"/>
        <w:jc w:val="center"/>
        <w:rPr>
          <w:rFonts w:ascii="方正小标宋简体" w:hAnsi="宋体" w:eastAsia="宋体" w:cs="Arial"/>
          <w:color w:val="0D0D0D" w:themeColor="text1" w:themeTint="F2"/>
          <w:sz w:val="48"/>
          <w:szCs w:val="48"/>
          <w14:textFill>
            <w14:solidFill>
              <w14:schemeClr w14:val="tx1">
                <w14:lumMod w14:val="95000"/>
                <w14:lumOff w14:val="5000"/>
              </w14:schemeClr>
            </w14:solidFill>
          </w14:textFill>
        </w:rPr>
      </w:pPr>
    </w:p>
    <w:p>
      <w:pPr>
        <w:spacing w:line="360" w:lineRule="auto"/>
        <w:rPr>
          <w:rFonts w:ascii="方正小标宋简体" w:hAnsi="宋体" w:eastAsia="宋体" w:cs="Arial"/>
          <w:color w:val="0D0D0D" w:themeColor="text1" w:themeTint="F2"/>
          <w:sz w:val="48"/>
          <w:szCs w:val="48"/>
          <w14:textFill>
            <w14:solidFill>
              <w14:schemeClr w14:val="tx1">
                <w14:lumMod w14:val="95000"/>
                <w14:lumOff w14:val="5000"/>
              </w14:schemeClr>
            </w14:solidFill>
          </w14:textFill>
        </w:rPr>
      </w:pPr>
    </w:p>
    <w:p>
      <w:pPr>
        <w:spacing w:line="600" w:lineRule="exact"/>
        <w:jc w:val="center"/>
        <w:rPr>
          <w:rFonts w:ascii="宋体" w:hAnsi="宋体" w:eastAsia="宋体" w:cs="Times New Roman"/>
          <w:b/>
          <w:bCs/>
          <w:color w:val="0D0D0D" w:themeColor="text1" w:themeTint="F2"/>
          <w:sz w:val="32"/>
          <w:szCs w:val="32"/>
          <w14:textFill>
            <w14:solidFill>
              <w14:schemeClr w14:val="tx1">
                <w14:lumMod w14:val="95000"/>
                <w14:lumOff w14:val="5000"/>
              </w14:schemeClr>
            </w14:solidFill>
          </w14:textFill>
        </w:rPr>
      </w:pPr>
      <w:r>
        <w:rPr>
          <w:rFonts w:hint="eastAsia" w:ascii="宋体" w:hAnsi="宋体" w:eastAsia="宋体" w:cs="Times New Roman"/>
          <w:b/>
          <w:bCs/>
          <w:color w:val="0D0D0D" w:themeColor="text1" w:themeTint="F2"/>
          <w:sz w:val="32"/>
          <w:szCs w:val="32"/>
          <w14:textFill>
            <w14:solidFill>
              <w14:schemeClr w14:val="tx1">
                <w14:lumMod w14:val="95000"/>
                <w14:lumOff w14:val="5000"/>
              </w14:schemeClr>
            </w14:solidFill>
          </w14:textFill>
        </w:rPr>
        <w:t>　深圳市龙华区发展和改革局</w:t>
      </w:r>
    </w:p>
    <w:p>
      <w:pPr>
        <w:spacing w:line="600" w:lineRule="exact"/>
        <w:jc w:val="center"/>
        <w:rPr>
          <w:rFonts w:ascii="宋体" w:hAnsi="宋体" w:eastAsia="宋体" w:cs="Times New Roman"/>
          <w:b/>
          <w:bCs/>
          <w:color w:val="0D0D0D" w:themeColor="text1" w:themeTint="F2"/>
          <w:sz w:val="32"/>
          <w:szCs w:val="32"/>
          <w14:textFill>
            <w14:solidFill>
              <w14:schemeClr w14:val="tx1">
                <w14:lumMod w14:val="95000"/>
                <w14:lumOff w14:val="5000"/>
              </w14:schemeClr>
            </w14:solidFill>
          </w14:textFill>
        </w:rPr>
      </w:pPr>
      <w:r>
        <w:rPr>
          <w:rFonts w:hint="eastAsia" w:ascii="宋体" w:hAnsi="宋体" w:eastAsia="宋体" w:cs="Times New Roman"/>
          <w:b/>
          <w:bCs/>
          <w:color w:val="0D0D0D" w:themeColor="text1" w:themeTint="F2"/>
          <w:sz w:val="32"/>
          <w:szCs w:val="32"/>
          <w14:textFill>
            <w14:solidFill>
              <w14:schemeClr w14:val="tx1">
                <w14:lumMod w14:val="95000"/>
                <w14:lumOff w14:val="5000"/>
              </w14:schemeClr>
            </w14:solidFill>
          </w14:textFill>
        </w:rPr>
        <w:t>20</w:t>
      </w:r>
      <w:r>
        <w:rPr>
          <w:rFonts w:ascii="宋体" w:hAnsi="宋体" w:eastAsia="宋体" w:cs="Times New Roman"/>
          <w:b/>
          <w:bCs/>
          <w:color w:val="0D0D0D" w:themeColor="text1" w:themeTint="F2"/>
          <w:sz w:val="32"/>
          <w:szCs w:val="32"/>
          <w14:textFill>
            <w14:solidFill>
              <w14:schemeClr w14:val="tx1">
                <w14:lumMod w14:val="95000"/>
                <w14:lumOff w14:val="5000"/>
              </w14:schemeClr>
            </w14:solidFill>
          </w14:textFill>
        </w:rPr>
        <w:t>2</w:t>
      </w:r>
      <w:r>
        <w:rPr>
          <w:rFonts w:hint="eastAsia" w:ascii="宋体" w:hAnsi="宋体" w:eastAsia="宋体" w:cs="Times New Roman"/>
          <w:b/>
          <w:bCs/>
          <w:color w:val="0D0D0D" w:themeColor="text1" w:themeTint="F2"/>
          <w:sz w:val="32"/>
          <w:szCs w:val="32"/>
          <w14:textFill>
            <w14:solidFill>
              <w14:schemeClr w14:val="tx1">
                <w14:lumMod w14:val="95000"/>
                <w14:lumOff w14:val="5000"/>
              </w14:schemeClr>
            </w14:solidFill>
          </w14:textFill>
        </w:rPr>
        <w:t>4年</w:t>
      </w:r>
      <w:r>
        <w:rPr>
          <w:rFonts w:hint="eastAsia" w:ascii="宋体" w:hAnsi="宋体" w:eastAsia="宋体" w:cs="Times New Roman"/>
          <w:b/>
          <w:bCs/>
          <w:color w:val="0D0D0D" w:themeColor="text1" w:themeTint="F2"/>
          <w:sz w:val="32"/>
          <w:szCs w:val="32"/>
          <w:lang w:val="en-US" w:eastAsia="zh-CN"/>
          <w14:textFill>
            <w14:solidFill>
              <w14:schemeClr w14:val="tx1">
                <w14:lumMod w14:val="95000"/>
                <w14:lumOff w14:val="5000"/>
              </w14:schemeClr>
            </w14:solidFill>
          </w14:textFill>
        </w:rPr>
        <w:t>11</w:t>
      </w:r>
      <w:r>
        <w:rPr>
          <w:rFonts w:hint="eastAsia" w:ascii="宋体" w:hAnsi="宋体" w:eastAsia="宋体" w:cs="Times New Roman"/>
          <w:b/>
          <w:bCs/>
          <w:color w:val="0D0D0D" w:themeColor="text1" w:themeTint="F2"/>
          <w:sz w:val="32"/>
          <w:szCs w:val="32"/>
          <w14:textFill>
            <w14:solidFill>
              <w14:schemeClr w14:val="tx1">
                <w14:lumMod w14:val="95000"/>
                <w14:lumOff w14:val="5000"/>
              </w14:schemeClr>
            </w14:solidFill>
          </w14:textFill>
        </w:rPr>
        <w:t>月</w:t>
      </w:r>
    </w:p>
    <w:p>
      <w:pPr>
        <w:jc w:val="left"/>
        <w:rPr>
          <w:rFonts w:ascii="宋体" w:hAnsi="宋体" w:cs="宋体"/>
          <w:b/>
          <w:bCs/>
          <w:color w:val="0D0D0D" w:themeColor="text1" w:themeTint="F2"/>
          <w:sz w:val="44"/>
          <w:szCs w:val="44"/>
          <w14:textFill>
            <w14:solidFill>
              <w14:schemeClr w14:val="tx1">
                <w14:lumMod w14:val="95000"/>
                <w14:lumOff w14:val="5000"/>
              </w14:schemeClr>
            </w14:solidFill>
          </w14:textFill>
        </w:rPr>
        <w:sectPr>
          <w:footerReference r:id="rId3" w:type="default"/>
          <w:pgSz w:w="11906" w:h="16838"/>
          <w:pgMar w:top="2098" w:right="1474" w:bottom="1984" w:left="1587" w:header="720" w:footer="720" w:gutter="0"/>
          <w:cols w:space="720" w:num="1"/>
          <w:docGrid w:type="lines" w:linePitch="312" w:charSpace="0"/>
        </w:sectPr>
      </w:pPr>
    </w:p>
    <w:p>
      <w:pPr>
        <w:adjustRightInd w:val="0"/>
        <w:snapToGrid w:val="0"/>
        <w:jc w:val="center"/>
        <w:rPr>
          <w:rFonts w:ascii="宋体" w:hAnsi="宋体" w:eastAsia="宋体" w:cs="Arial"/>
          <w:b/>
          <w:bCs/>
          <w:color w:val="0D0D0D" w:themeColor="text1" w:themeTint="F2"/>
          <w:sz w:val="44"/>
          <w:szCs w:val="44"/>
          <w14:textFill>
            <w14:solidFill>
              <w14:schemeClr w14:val="tx1">
                <w14:lumMod w14:val="95000"/>
                <w14:lumOff w14:val="5000"/>
              </w14:schemeClr>
            </w14:solidFill>
          </w14:textFill>
        </w:rPr>
      </w:pPr>
    </w:p>
    <w:p>
      <w:pPr>
        <w:adjustRightInd w:val="0"/>
        <w:snapToGrid w:val="0"/>
        <w:spacing w:line="560" w:lineRule="exact"/>
        <w:jc w:val="center"/>
        <w:rPr>
          <w:rFonts w:hint="eastAsia" w:ascii="方正小标宋简体" w:hAnsi="方正小标宋简体" w:eastAsia="方正小标宋简体" w:cs="方正小标宋简体"/>
          <w:color w:val="0D0D0D" w:themeColor="text1" w:themeTint="F2"/>
          <w:sz w:val="44"/>
          <w:szCs w:val="44"/>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color w:val="0D0D0D" w:themeColor="text1" w:themeTint="F2"/>
          <w:sz w:val="44"/>
          <w:szCs w:val="44"/>
          <w14:textFill>
            <w14:solidFill>
              <w14:schemeClr w14:val="tx1">
                <w14:lumMod w14:val="95000"/>
                <w14:lumOff w14:val="5000"/>
              </w14:schemeClr>
            </w14:solidFill>
          </w14:textFill>
        </w:rPr>
        <w:t>龙华区经济社会发展全面绿色转型总体方案</w:t>
      </w:r>
    </w:p>
    <w:p>
      <w:pPr>
        <w:adjustRightInd w:val="0"/>
        <w:snapToGrid w:val="0"/>
        <w:spacing w:line="560" w:lineRule="exact"/>
        <w:jc w:val="center"/>
        <w:rPr>
          <w:rFonts w:ascii="方正小标宋简体" w:hAnsi="方正小标宋简体" w:eastAsia="方正小标宋简体" w:cs="方正小标宋简体"/>
          <w:color w:val="0D0D0D" w:themeColor="text1" w:themeTint="F2"/>
          <w:sz w:val="44"/>
          <w:szCs w:val="44"/>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color w:val="0D0D0D" w:themeColor="text1" w:themeTint="F2"/>
          <w:sz w:val="44"/>
          <w:szCs w:val="44"/>
          <w14:textFill>
            <w14:solidFill>
              <w14:schemeClr w14:val="tx1">
                <w14:lumMod w14:val="95000"/>
                <w14:lumOff w14:val="5000"/>
              </w14:schemeClr>
            </w14:solidFill>
          </w14:textFill>
        </w:rPr>
        <w:t>研究项目招标书</w:t>
      </w:r>
    </w:p>
    <w:p>
      <w:pPr>
        <w:spacing w:line="560" w:lineRule="exact"/>
        <w:ind w:firstLine="642" w:firstLineChars="200"/>
        <w:rPr>
          <w:rFonts w:ascii="黑体" w:hAnsi="黑体" w:eastAsia="黑体" w:cs="Times New Roman"/>
          <w:b/>
          <w:bCs/>
          <w:color w:val="0D0D0D" w:themeColor="text1" w:themeTint="F2"/>
          <w:sz w:val="32"/>
          <w:szCs w:val="32"/>
          <w14:textFill>
            <w14:solidFill>
              <w14:schemeClr w14:val="tx1">
                <w14:lumMod w14:val="95000"/>
                <w14:lumOff w14:val="5000"/>
              </w14:schemeClr>
            </w14:solidFill>
          </w14:textFill>
        </w:rPr>
      </w:pPr>
    </w:p>
    <w:p>
      <w:pPr>
        <w:adjustRightInd w:val="0"/>
        <w:snapToGrid w:val="0"/>
        <w:spacing w:line="560" w:lineRule="exact"/>
        <w:ind w:firstLine="640" w:firstLineChars="200"/>
        <w:rPr>
          <w:rFonts w:ascii="黑体" w:hAnsi="黑体" w:eastAsia="黑体" w:cs="Times New Roman"/>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Times New Roman"/>
          <w:color w:val="0D0D0D" w:themeColor="text1" w:themeTint="F2"/>
          <w:sz w:val="32"/>
          <w:szCs w:val="32"/>
          <w14:textFill>
            <w14:solidFill>
              <w14:schemeClr w14:val="tx1">
                <w14:lumMod w14:val="95000"/>
                <w14:lumOff w14:val="5000"/>
              </w14:schemeClr>
            </w14:solidFill>
          </w14:textFill>
        </w:rPr>
        <w:t>一、项目概况</w:t>
      </w:r>
    </w:p>
    <w:p>
      <w:pPr>
        <w:adjustRightInd w:val="0"/>
        <w:snapToGrid w:val="0"/>
        <w:spacing w:line="560" w:lineRule="exact"/>
        <w:ind w:left="3198" w:leftChars="304" w:hanging="2560" w:hangingChars="800"/>
        <w:rPr>
          <w:rFonts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t>（一）项目名称：龙华区经济社会发展全面绿色转型总体方案研究。</w:t>
      </w:r>
    </w:p>
    <w:p>
      <w:pPr>
        <w:adjustRightInd w:val="0"/>
        <w:snapToGrid w:val="0"/>
        <w:spacing w:line="560" w:lineRule="exact"/>
        <w:ind w:firstLine="640" w:firstLineChars="200"/>
        <w:rPr>
          <w:rFonts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t>（二）服务期限：自合同签订之日起</w:t>
      </w:r>
      <w:r>
        <w:rPr>
          <w:rFonts w:hint="eastAsia" w:ascii="仿宋_GB2312" w:hAnsi="仿宋" w:eastAsia="仿宋_GB2312" w:cs="仿宋_GB2312"/>
          <w:color w:val="0D0D0D" w:themeColor="text1" w:themeTint="F2"/>
          <w:sz w:val="32"/>
          <w:szCs w:val="32"/>
          <w:lang w:val="en-US" w:eastAsia="zh-CN"/>
          <w14:textFill>
            <w14:solidFill>
              <w14:schemeClr w14:val="tx1">
                <w14:lumMod w14:val="95000"/>
                <w14:lumOff w14:val="5000"/>
              </w14:schemeClr>
            </w14:solidFill>
          </w14:textFill>
        </w:rPr>
        <w:t>6</w:t>
      </w:r>
      <w:r>
        <w:rPr>
          <w:rFonts w:hint="eastAsia"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t>个月。</w:t>
      </w:r>
    </w:p>
    <w:p>
      <w:pPr>
        <w:adjustRightInd w:val="0"/>
        <w:snapToGrid w:val="0"/>
        <w:spacing w:line="560" w:lineRule="exact"/>
        <w:ind w:firstLine="640" w:firstLineChars="200"/>
        <w:rPr>
          <w:rFonts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t>（三）项目预算：预算金额不超过</w:t>
      </w:r>
      <w:r>
        <w:rPr>
          <w:rFonts w:hint="eastAsia" w:ascii="仿宋_GB2312" w:hAnsi="仿宋" w:eastAsia="仿宋_GB2312" w:cs="仿宋_GB2312"/>
          <w:color w:val="0D0D0D" w:themeColor="text1" w:themeTint="F2"/>
          <w:sz w:val="32"/>
          <w:szCs w:val="32"/>
          <w:lang w:val="en-US" w:eastAsia="zh-CN"/>
          <w14:textFill>
            <w14:solidFill>
              <w14:schemeClr w14:val="tx1">
                <w14:lumMod w14:val="95000"/>
                <w14:lumOff w14:val="5000"/>
              </w14:schemeClr>
            </w14:solidFill>
          </w14:textFill>
        </w:rPr>
        <w:t>90</w:t>
      </w:r>
      <w:r>
        <w:rPr>
          <w:rFonts w:hint="eastAsia"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t>万元。</w:t>
      </w:r>
    </w:p>
    <w:p>
      <w:pPr>
        <w:adjustRightInd w:val="0"/>
        <w:snapToGrid w:val="0"/>
        <w:spacing w:line="560" w:lineRule="exact"/>
        <w:ind w:firstLine="640" w:firstLineChars="200"/>
        <w:rPr>
          <w:rFonts w:ascii="黑体" w:hAnsi="黑体" w:eastAsia="黑体" w:cs="Times New Roman"/>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Times New Roman"/>
          <w:color w:val="0D0D0D" w:themeColor="text1" w:themeTint="F2"/>
          <w:sz w:val="32"/>
          <w:szCs w:val="32"/>
          <w14:textFill>
            <w14:solidFill>
              <w14:schemeClr w14:val="tx1">
                <w14:lumMod w14:val="95000"/>
                <w14:lumOff w14:val="5000"/>
              </w14:schemeClr>
            </w14:solidFill>
          </w14:textFill>
        </w:rPr>
        <w:t>二、项目内容</w:t>
      </w:r>
    </w:p>
    <w:p>
      <w:pPr>
        <w:spacing w:line="560" w:lineRule="exact"/>
        <w:ind w:firstLine="640" w:firstLineChars="200"/>
        <w:rPr>
          <w:rFonts w:hint="eastAsia" w:ascii="仿宋_GB2312" w:hAnsi="Times" w:eastAsia="仿宋_GB2312" w:cs="仿宋_GB2312"/>
          <w:sz w:val="32"/>
          <w:szCs w:val="32"/>
        </w:rPr>
      </w:pPr>
      <w:r>
        <w:rPr>
          <w:rFonts w:hint="eastAsia" w:ascii="仿宋_GB2312" w:hAnsi="Times" w:eastAsia="仿宋_GB2312" w:cs="仿宋_GB2312"/>
          <w:sz w:val="32"/>
          <w:szCs w:val="32"/>
        </w:rPr>
        <w:t>本课题以推动龙华区加快经济社会发展全面绿色转型、打造绿色发展新高地为目标，对推动龙华区加快形成绿色低碳高质量发展的空间格局、产业结构、生产方式、生活方式的实施路径和保障措施进行全面分析研究。具体研究内容如下：</w:t>
      </w:r>
    </w:p>
    <w:p>
      <w:pPr>
        <w:spacing w:line="560" w:lineRule="exact"/>
        <w:ind w:firstLine="640" w:firstLineChars="200"/>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（一）龙华区现状研究</w:t>
      </w:r>
    </w:p>
    <w:p>
      <w:pPr>
        <w:spacing w:line="560" w:lineRule="exact"/>
        <w:ind w:firstLine="640" w:firstLineChars="200"/>
        <w:rPr>
          <w:rFonts w:hint="eastAsia" w:ascii="仿宋_GB2312" w:hAnsi="Times" w:eastAsia="仿宋_GB2312" w:cs="仿宋_GB2312"/>
          <w:sz w:val="32"/>
          <w:szCs w:val="32"/>
        </w:rPr>
      </w:pPr>
      <w:r>
        <w:rPr>
          <w:rFonts w:hint="eastAsia" w:ascii="仿宋_GB2312" w:hAnsi="Times" w:eastAsia="仿宋_GB2312" w:cs="仿宋_GB2312"/>
          <w:sz w:val="32"/>
          <w:szCs w:val="32"/>
        </w:rPr>
        <w:t>对龙华区经济社会发展基础进行全面调查分析，包括空间布局、产业发展、能源资源利用、交通运输、城乡建设、消费方式等方面；剖析制约龙华区经济社会全面绿色转型的堵点卡点问题，并结合新形势、新机遇，协同推进降碳、减污、扩绿、增长的空间和潜力。</w:t>
      </w:r>
    </w:p>
    <w:p>
      <w:pPr>
        <w:spacing w:line="560" w:lineRule="exact"/>
        <w:ind w:firstLine="640" w:firstLineChars="200"/>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（二）国内外先进经验总结借鉴</w:t>
      </w:r>
    </w:p>
    <w:p>
      <w:pPr>
        <w:spacing w:line="560" w:lineRule="exact"/>
        <w:ind w:firstLine="640" w:firstLineChars="200"/>
        <w:rPr>
          <w:rFonts w:hint="eastAsia" w:ascii="仿宋_GB2312" w:hAnsi="Times" w:eastAsia="仿宋_GB2312" w:cs="仿宋_GB2312"/>
          <w:sz w:val="32"/>
          <w:szCs w:val="32"/>
        </w:rPr>
      </w:pPr>
      <w:r>
        <w:rPr>
          <w:rFonts w:hint="eastAsia" w:ascii="仿宋_GB2312" w:hAnsi="Times" w:eastAsia="仿宋_GB2312" w:cs="仿宋_GB2312"/>
          <w:sz w:val="32"/>
          <w:szCs w:val="32"/>
        </w:rPr>
        <w:t>梳理总结国际、国内全面推进经济社会绿色转型的先进案例，深入分析其转型路径和具体措施，结合经济社会发展基础和措施适用条件，分析总结值得龙华区借鉴的转型经验。</w:t>
      </w:r>
    </w:p>
    <w:p>
      <w:pPr>
        <w:spacing w:line="560" w:lineRule="exact"/>
        <w:ind w:firstLine="640" w:firstLineChars="200"/>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（三）龙华区全面绿色转型的路线图研究</w:t>
      </w:r>
    </w:p>
    <w:p>
      <w:pPr>
        <w:spacing w:line="560" w:lineRule="exact"/>
        <w:ind w:firstLine="640" w:firstLineChars="200"/>
        <w:rPr>
          <w:rFonts w:hint="eastAsia" w:ascii="仿宋_GB2312" w:hAnsi="Times" w:eastAsia="仿宋_GB2312" w:cs="仿宋_GB2312"/>
          <w:sz w:val="32"/>
          <w:szCs w:val="32"/>
        </w:rPr>
      </w:pPr>
      <w:r>
        <w:rPr>
          <w:rFonts w:hint="eastAsia" w:ascii="仿宋_GB2312" w:hAnsi="Times" w:eastAsia="仿宋_GB2312" w:cs="仿宋_GB2312"/>
          <w:sz w:val="32"/>
          <w:szCs w:val="32"/>
        </w:rPr>
        <w:t>结合龙华区经济社会发展基础和未来规划，研究制定加快推进龙华区经济社会发展全面绿色转型的总体要求和阶段目标，提出空间格局优化和产业结构、能源、交通运输、城乡建设、消费方式等领域绿色转型的时间表、路线图、施工图。</w:t>
      </w:r>
    </w:p>
    <w:p>
      <w:pPr>
        <w:spacing w:line="560" w:lineRule="exact"/>
        <w:ind w:firstLine="640" w:firstLineChars="200"/>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（四）龙华区全面绿色转型的保障措施研究</w:t>
      </w:r>
    </w:p>
    <w:p>
      <w:pPr>
        <w:spacing w:line="560" w:lineRule="exact"/>
        <w:ind w:firstLine="640" w:firstLineChars="200"/>
        <w:rPr>
          <w:rFonts w:hint="eastAsia" w:ascii="仿宋_GB2312" w:hAnsi="Times" w:eastAsia="仿宋_GB2312" w:cs="仿宋_GB2312"/>
          <w:sz w:val="32"/>
          <w:szCs w:val="32"/>
        </w:rPr>
      </w:pPr>
      <w:r>
        <w:rPr>
          <w:rFonts w:hint="eastAsia" w:ascii="仿宋_GB2312" w:hAnsi="Times" w:eastAsia="仿宋_GB2312" w:cs="仿宋_GB2312"/>
          <w:sz w:val="32"/>
          <w:szCs w:val="32"/>
        </w:rPr>
        <w:t>结合国家健全绿色低碳发展机制等重点改革任务和龙华区的实际情况，提出支撑龙华区经济社会发展全面绿色转型的保障措施，包括完善财税、金融、投资、价格政策，健全市场化机制、标准体系，加强技术服务等方面。</w:t>
      </w:r>
    </w:p>
    <w:p>
      <w:pPr>
        <w:keepNext/>
        <w:keepLines/>
        <w:adjustRightInd/>
        <w:snapToGrid/>
        <w:spacing w:line="560" w:lineRule="exact"/>
        <w:ind w:firstLine="640" w:firstLineChars="200"/>
        <w:outlineLvl w:val="0"/>
        <w:rPr>
          <w:rFonts w:ascii="黑体" w:hAnsi="黑体" w:eastAsia="黑体" w:cs="Times New Roman"/>
          <w:color w:val="0D0D0D" w:themeColor="text1" w:themeTint="F2"/>
          <w:sz w:val="32"/>
          <w:szCs w:val="32"/>
          <w:highlight w:val="none"/>
          <w14:textFill>
            <w14:solidFill>
              <w14:schemeClr w14:val="tx1">
                <w14:lumMod w14:val="95000"/>
                <w14:lumOff w14:val="5000"/>
              </w14:schemeClr>
            </w14:solidFill>
          </w14:textFill>
        </w:rPr>
      </w:pPr>
      <w:r>
        <w:rPr>
          <w:rFonts w:hint="eastAsia" w:ascii="黑体" w:hAnsi="黑体" w:eastAsia="黑体" w:cs="Times New Roman"/>
          <w:color w:val="0D0D0D" w:themeColor="text1" w:themeTint="F2"/>
          <w:sz w:val="32"/>
          <w:szCs w:val="32"/>
          <w:highlight w:val="none"/>
          <w14:textFill>
            <w14:solidFill>
              <w14:schemeClr w14:val="tx1">
                <w14:lumMod w14:val="95000"/>
                <w14:lumOff w14:val="5000"/>
              </w14:schemeClr>
            </w14:solidFill>
          </w14:textFill>
        </w:rPr>
        <w:t>三、项目技术要求</w:t>
      </w:r>
    </w:p>
    <w:p>
      <w:pPr>
        <w:spacing w:line="560" w:lineRule="exact"/>
        <w:ind w:firstLine="640" w:firstLineChars="200"/>
        <w:rPr>
          <w:rFonts w:ascii="仿宋_GB2312" w:hAnsi="Times New Roman" w:eastAsia="仿宋_GB2312" w:cs="Times New Roman"/>
          <w:b/>
          <w:bCs/>
          <w:color w:val="0D0D0D" w:themeColor="text1" w:themeTint="F2"/>
          <w:sz w:val="32"/>
          <w:szCs w:val="32"/>
          <w14:textFill>
            <w14:solidFill>
              <w14:schemeClr w14:val="tx1">
                <w14:lumMod w14:val="95000"/>
                <w14:lumOff w14:val="5000"/>
              </w14:schemeClr>
            </w14:solidFill>
          </w14:textFill>
        </w:rPr>
      </w:pPr>
      <w:r>
        <w:rPr>
          <w:rFonts w:hint="eastAsia" w:ascii="仿宋_GB2312" w:hAnsi="Times New Roman" w:eastAsia="仿宋_GB2312" w:cs="Times New Roman"/>
          <w:bCs/>
          <w:color w:val="0D0D0D" w:themeColor="text1" w:themeTint="F2"/>
          <w:sz w:val="32"/>
          <w:szCs w:val="32"/>
          <w14:textFill>
            <w14:solidFill>
              <w14:schemeClr w14:val="tx1">
                <w14:lumMod w14:val="95000"/>
                <w14:lumOff w14:val="5000"/>
              </w14:schemeClr>
            </w14:solidFill>
          </w14:textFill>
        </w:rPr>
        <w:t>（一）项目成果应遵循国家颁布的有关法律、法规及政策要求，符合相关的技术规范和标准。</w:t>
      </w:r>
    </w:p>
    <w:p>
      <w:pPr>
        <w:spacing w:line="560" w:lineRule="exact"/>
        <w:ind w:firstLine="640" w:firstLineChars="200"/>
        <w:rPr>
          <w:rFonts w:ascii="仿宋_GB2312" w:hAnsi="Times New Roman" w:eastAsia="仿宋_GB2312" w:cs="Times New Roman"/>
          <w:b/>
          <w:bCs/>
          <w:color w:val="0D0D0D" w:themeColor="text1" w:themeTint="F2"/>
          <w:sz w:val="32"/>
          <w:szCs w:val="32"/>
          <w14:textFill>
            <w14:solidFill>
              <w14:schemeClr w14:val="tx1">
                <w14:lumMod w14:val="95000"/>
                <w14:lumOff w14:val="5000"/>
              </w14:schemeClr>
            </w14:solidFill>
          </w14:textFill>
        </w:rPr>
      </w:pPr>
      <w:r>
        <w:rPr>
          <w:rFonts w:hint="eastAsia" w:ascii="仿宋_GB2312" w:hAnsi="Times New Roman" w:eastAsia="仿宋_GB2312" w:cs="Times New Roman"/>
          <w:bCs/>
          <w:color w:val="0D0D0D" w:themeColor="text1" w:themeTint="F2"/>
          <w:sz w:val="32"/>
          <w:szCs w:val="32"/>
          <w14:textFill>
            <w14:solidFill>
              <w14:schemeClr w14:val="tx1">
                <w14:lumMod w14:val="95000"/>
                <w14:lumOff w14:val="5000"/>
              </w14:schemeClr>
            </w14:solidFill>
          </w14:textFill>
        </w:rPr>
        <w:t>（二）研究过程中应当进行调查研究，充分把握龙华区</w:t>
      </w:r>
      <w:r>
        <w:rPr>
          <w:rFonts w:hint="eastAsia" w:ascii="仿宋_GB2312" w:hAnsi="Times New Roman" w:eastAsia="仿宋_GB2312" w:cs="Times New Roman"/>
          <w:bCs/>
          <w:color w:val="0D0D0D" w:themeColor="text1" w:themeTint="F2"/>
          <w:sz w:val="32"/>
          <w:szCs w:val="32"/>
          <w:lang w:val="en-US" w:eastAsia="zh-CN"/>
          <w14:textFill>
            <w14:solidFill>
              <w14:schemeClr w14:val="tx1">
                <w14:lumMod w14:val="95000"/>
                <w14:lumOff w14:val="5000"/>
              </w14:schemeClr>
            </w14:solidFill>
          </w14:textFill>
        </w:rPr>
        <w:t>经济社会绿色转型</w:t>
      </w:r>
      <w:r>
        <w:rPr>
          <w:rFonts w:hint="eastAsia" w:ascii="仿宋_GB2312" w:hAnsi="Times New Roman" w:eastAsia="仿宋_GB2312" w:cs="Times New Roman"/>
          <w:bCs/>
          <w:color w:val="0D0D0D" w:themeColor="text1" w:themeTint="F2"/>
          <w:sz w:val="32"/>
          <w:szCs w:val="32"/>
          <w14:textFill>
            <w14:solidFill>
              <w14:schemeClr w14:val="tx1">
                <w14:lumMod w14:val="95000"/>
                <w14:lumOff w14:val="5000"/>
              </w14:schemeClr>
            </w14:solidFill>
          </w14:textFill>
        </w:rPr>
        <w:t>发展基础、存在问题等相关信息和基础资料。</w:t>
      </w:r>
    </w:p>
    <w:p>
      <w:pPr>
        <w:spacing w:line="560" w:lineRule="exact"/>
        <w:ind w:firstLine="640" w:firstLineChars="200"/>
        <w:rPr>
          <w:rFonts w:ascii="仿宋_GB2312" w:hAnsi="Times New Roman" w:eastAsia="仿宋_GB2312" w:cs="Times New Roman"/>
          <w:b/>
          <w:bCs/>
          <w:color w:val="0D0D0D" w:themeColor="text1" w:themeTint="F2"/>
          <w:sz w:val="32"/>
          <w:szCs w:val="32"/>
          <w14:textFill>
            <w14:solidFill>
              <w14:schemeClr w14:val="tx1">
                <w14:lumMod w14:val="95000"/>
                <w14:lumOff w14:val="5000"/>
              </w14:schemeClr>
            </w14:solidFill>
          </w14:textFill>
        </w:rPr>
      </w:pPr>
      <w:r>
        <w:rPr>
          <w:rFonts w:hint="eastAsia" w:ascii="仿宋_GB2312" w:hAnsi="Times New Roman" w:eastAsia="仿宋_GB2312" w:cs="Times New Roman"/>
          <w:bCs/>
          <w:color w:val="0D0D0D" w:themeColor="text1" w:themeTint="F2"/>
          <w:sz w:val="32"/>
          <w:szCs w:val="32"/>
          <w14:textFill>
            <w14:solidFill>
              <w14:schemeClr w14:val="tx1">
                <w14:lumMod w14:val="95000"/>
                <w14:lumOff w14:val="5000"/>
              </w14:schemeClr>
            </w14:solidFill>
          </w14:textFill>
        </w:rPr>
        <w:t>（三）研究成果要具有前瞻性，结合</w:t>
      </w:r>
      <w:r>
        <w:rPr>
          <w:rFonts w:hint="eastAsia" w:ascii="仿宋_GB2312" w:hAnsi="Times New Roman" w:eastAsia="仿宋_GB2312" w:cs="Times New Roman"/>
          <w:bCs/>
          <w:color w:val="0D0D0D" w:themeColor="text1" w:themeTint="F2"/>
          <w:sz w:val="32"/>
          <w:szCs w:val="32"/>
          <w:lang w:val="en-US" w:eastAsia="zh-CN"/>
          <w14:textFill>
            <w14:solidFill>
              <w14:schemeClr w14:val="tx1">
                <w14:lumMod w14:val="95000"/>
                <w14:lumOff w14:val="5000"/>
              </w14:schemeClr>
            </w14:solidFill>
          </w14:textFill>
        </w:rPr>
        <w:t>经济社会全面绿色转型</w:t>
      </w:r>
      <w:r>
        <w:rPr>
          <w:rFonts w:hint="eastAsia" w:ascii="仿宋_GB2312" w:hAnsi="Times New Roman" w:eastAsia="仿宋_GB2312" w:cs="Times New Roman"/>
          <w:bCs/>
          <w:color w:val="0D0D0D" w:themeColor="text1" w:themeTint="F2"/>
          <w:sz w:val="32"/>
          <w:szCs w:val="32"/>
          <w14:textFill>
            <w14:solidFill>
              <w14:schemeClr w14:val="tx1">
                <w14:lumMod w14:val="95000"/>
                <w14:lumOff w14:val="5000"/>
              </w14:schemeClr>
            </w14:solidFill>
          </w14:textFill>
        </w:rPr>
        <w:t>发展趋势，体</w:t>
      </w:r>
      <w:r>
        <w:rPr>
          <w:rFonts w:hint="eastAsia" w:ascii="仿宋_GB2312" w:hAnsi="Times New Roman" w:eastAsia="仿宋_GB2312" w:cs="Times New Roman"/>
          <w:bCs/>
          <w:color w:val="0D0D0D" w:themeColor="text1" w:themeTint="F2"/>
          <w:sz w:val="32"/>
          <w:szCs w:val="32"/>
          <w:lang w:val="en-US" w:eastAsia="zh-CN"/>
          <w14:textFill>
            <w14:solidFill>
              <w14:schemeClr w14:val="tx1">
                <w14:lumMod w14:val="95000"/>
                <w14:lumOff w14:val="5000"/>
              </w14:schemeClr>
            </w14:solidFill>
          </w14:textFill>
        </w:rPr>
        <w:t>现经济社会全面绿色转型对</w:t>
      </w:r>
      <w:r>
        <w:rPr>
          <w:rFonts w:hint="eastAsia" w:ascii="仿宋_GB2312" w:hAnsi="Times" w:eastAsia="仿宋_GB2312" w:cs="Times New Roman"/>
          <w:kern w:val="2"/>
          <w:sz w:val="32"/>
          <w:szCs w:val="32"/>
          <w:lang w:val="en-US" w:eastAsia="zh-CN" w:bidi="ar"/>
        </w:rPr>
        <w:t>高标准高质量推进绿美龙华建设</w:t>
      </w:r>
      <w:r>
        <w:rPr>
          <w:rFonts w:hint="eastAsia" w:ascii="仿宋_GB2312" w:hAnsi="Times New Roman" w:eastAsia="仿宋_GB2312" w:cs="Times New Roman"/>
          <w:bCs/>
          <w:color w:val="0D0D0D" w:themeColor="text1" w:themeTint="F2"/>
          <w:sz w:val="32"/>
          <w:szCs w:val="32"/>
          <w14:textFill>
            <w14:solidFill>
              <w14:schemeClr w14:val="tx1">
                <w14:lumMod w14:val="95000"/>
                <w14:lumOff w14:val="5000"/>
              </w14:schemeClr>
            </w14:solidFill>
          </w14:textFill>
        </w:rPr>
        <w:t>的重要意义；具有系统性，研究成果要体系完整、内容全面、材料丰富；具有实用性，研究成果符合深圳市、龙华区实际，针对性和可操作性强。</w:t>
      </w:r>
    </w:p>
    <w:p>
      <w:pPr>
        <w:adjustRightInd w:val="0"/>
        <w:snapToGrid w:val="0"/>
        <w:spacing w:line="560" w:lineRule="exact"/>
        <w:ind w:firstLine="640" w:firstLineChars="200"/>
        <w:rPr>
          <w:rFonts w:ascii="黑体" w:hAnsi="黑体" w:eastAsia="黑体" w:cs="Times New Roman"/>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Times New Roman"/>
          <w:color w:val="0D0D0D" w:themeColor="text1" w:themeTint="F2"/>
          <w:sz w:val="32"/>
          <w:szCs w:val="32"/>
          <w14:textFill>
            <w14:solidFill>
              <w14:schemeClr w14:val="tx1">
                <w14:lumMod w14:val="95000"/>
                <w14:lumOff w14:val="5000"/>
              </w14:schemeClr>
            </w14:solidFill>
          </w14:textFill>
        </w:rPr>
        <w:t>四、项目成果交付要求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（一）《深圳市龙华区经济社会发展全面绿色转型总体方案》研究总报告1份；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（二）研究报告摘要简本1份；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（三）《国际国内绿色转型典型案例经验总结》专题报告1份；</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val="en-US" w:eastAsia="zh-CN"/>
        </w:rPr>
        <w:t>市级</w:t>
      </w:r>
      <w:r>
        <w:rPr>
          <w:rFonts w:hint="default" w:ascii="仿宋_GB2312" w:hAnsi="仿宋_GB2312" w:eastAsia="仿宋_GB2312" w:cs="仿宋_GB2312"/>
          <w:sz w:val="32"/>
          <w:szCs w:val="32"/>
          <w:lang w:val="en-US" w:eastAsia="zh-CN"/>
        </w:rPr>
        <w:t>信息稿件2篇</w:t>
      </w:r>
      <w:r>
        <w:rPr>
          <w:rFonts w:hint="eastAsia" w:ascii="仿宋_GB2312" w:hAnsi="仿宋_GB2312" w:eastAsia="仿宋_GB2312" w:cs="仿宋_GB2312"/>
          <w:sz w:val="32"/>
          <w:szCs w:val="32"/>
          <w:lang w:val="en-US" w:eastAsia="zh-CN"/>
        </w:rPr>
        <w:t>。</w:t>
      </w:r>
    </w:p>
    <w:p>
      <w:pPr>
        <w:adjustRightInd w:val="0"/>
        <w:snapToGrid w:val="0"/>
        <w:spacing w:line="560" w:lineRule="exact"/>
        <w:ind w:firstLine="640" w:firstLineChars="200"/>
        <w:rPr>
          <w:rFonts w:ascii="黑体" w:hAnsi="黑体" w:eastAsia="黑体" w:cs="Times New Roman"/>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Times New Roman"/>
          <w:color w:val="0D0D0D" w:themeColor="text1" w:themeTint="F2"/>
          <w:sz w:val="32"/>
          <w:szCs w:val="32"/>
          <w14:textFill>
            <w14:solidFill>
              <w14:schemeClr w14:val="tx1">
                <w14:lumMod w14:val="95000"/>
                <w14:lumOff w14:val="5000"/>
              </w14:schemeClr>
            </w14:solidFill>
          </w14:textFill>
        </w:rPr>
        <w:t>五、项目保密要求</w:t>
      </w:r>
    </w:p>
    <w:p>
      <w:pPr>
        <w:spacing w:line="560" w:lineRule="exact"/>
        <w:ind w:firstLine="640" w:firstLineChars="200"/>
        <w:rPr>
          <w:rFonts w:ascii="仿宋_GB2312" w:hAnsi="仿宋_GB2312" w:eastAsia="仿宋_GB2312" w:cs="仿宋_GB2312"/>
          <w:bCs/>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bCs/>
          <w:color w:val="0D0D0D" w:themeColor="text1" w:themeTint="F2"/>
          <w:sz w:val="32"/>
          <w:szCs w:val="32"/>
          <w14:textFill>
            <w14:solidFill>
              <w14:schemeClr w14:val="tx1">
                <w14:lumMod w14:val="95000"/>
                <w14:lumOff w14:val="5000"/>
              </w14:schemeClr>
            </w14:solidFill>
          </w14:textFill>
        </w:rPr>
        <w:t>中标人应当对其在项目开展过程中所知悉的国家秘密、商业秘密和技术秘密负有保密责任，建立并实施相应的保密措施，具体保密要求如下：</w:t>
      </w:r>
    </w:p>
    <w:p>
      <w:pPr>
        <w:spacing w:line="560" w:lineRule="exact"/>
        <w:ind w:firstLine="640" w:firstLineChars="200"/>
        <w:rPr>
          <w:rFonts w:ascii="仿宋_GB2312" w:hAnsi="Times New Roman" w:eastAsia="仿宋_GB2312" w:cs="Times New Roman"/>
          <w:bCs/>
          <w:color w:val="0D0D0D" w:themeColor="text1" w:themeTint="F2"/>
          <w:sz w:val="32"/>
          <w:szCs w:val="32"/>
          <w14:textFill>
            <w14:solidFill>
              <w14:schemeClr w14:val="tx1">
                <w14:lumMod w14:val="95000"/>
                <w14:lumOff w14:val="5000"/>
              </w14:schemeClr>
            </w14:solidFill>
          </w14:textFill>
        </w:rPr>
      </w:pPr>
      <w:r>
        <w:rPr>
          <w:rFonts w:hint="eastAsia" w:ascii="仿宋_GB2312" w:hAnsi="Times New Roman" w:eastAsia="仿宋_GB2312" w:cs="Times New Roman"/>
          <w:bCs/>
          <w:color w:val="0D0D0D" w:themeColor="text1" w:themeTint="F2"/>
          <w:sz w:val="32"/>
          <w:szCs w:val="32"/>
          <w14:textFill>
            <w14:solidFill>
              <w14:schemeClr w14:val="tx1">
                <w14:lumMod w14:val="95000"/>
                <w14:lumOff w14:val="5000"/>
              </w14:schemeClr>
            </w14:solidFill>
          </w14:textFill>
        </w:rPr>
        <w:t>（一）中标人不得利用所获取、掌握的采购人及其他政府部门的任何保密内容从事采购人及其他政府部门授权工作以外的任何事情，不得披露、允许第三方使用。</w:t>
      </w:r>
    </w:p>
    <w:p>
      <w:pPr>
        <w:spacing w:line="560" w:lineRule="exact"/>
        <w:ind w:firstLine="640" w:firstLineChars="200"/>
        <w:rPr>
          <w:rFonts w:ascii="仿宋_GB2312" w:hAnsi="Times New Roman" w:eastAsia="仿宋_GB2312" w:cs="Times New Roman"/>
          <w:b/>
          <w:bCs/>
          <w:color w:val="0D0D0D" w:themeColor="text1" w:themeTint="F2"/>
          <w:sz w:val="32"/>
          <w:szCs w:val="32"/>
          <w14:textFill>
            <w14:solidFill>
              <w14:schemeClr w14:val="tx1">
                <w14:lumMod w14:val="95000"/>
                <w14:lumOff w14:val="5000"/>
              </w14:schemeClr>
            </w14:solidFill>
          </w14:textFill>
        </w:rPr>
      </w:pPr>
      <w:r>
        <w:rPr>
          <w:rFonts w:hint="eastAsia" w:ascii="仿宋_GB2312" w:hAnsi="Times New Roman" w:eastAsia="仿宋_GB2312" w:cs="Times New Roman"/>
          <w:bCs/>
          <w:color w:val="0D0D0D" w:themeColor="text1" w:themeTint="F2"/>
          <w:sz w:val="32"/>
          <w:szCs w:val="32"/>
          <w14:textFill>
            <w14:solidFill>
              <w14:schemeClr w14:val="tx1">
                <w14:lumMod w14:val="95000"/>
                <w14:lumOff w14:val="5000"/>
              </w14:schemeClr>
            </w14:solidFill>
          </w14:textFill>
        </w:rPr>
        <w:t>（二）中标人按照采购人要求完成项目后，须立即将项目成果提交采购人存档，未经采购人许可，不得向第三方披露。</w:t>
      </w:r>
    </w:p>
    <w:p>
      <w:pPr>
        <w:spacing w:line="560" w:lineRule="exact"/>
        <w:ind w:firstLine="640" w:firstLineChars="200"/>
        <w:rPr>
          <w:rFonts w:ascii="仿宋_GB2312" w:hAnsi="Times New Roman" w:eastAsia="仿宋_GB2312" w:cs="Times New Roman"/>
          <w:b/>
          <w:bCs/>
          <w:color w:val="0D0D0D" w:themeColor="text1" w:themeTint="F2"/>
          <w:sz w:val="32"/>
          <w:szCs w:val="32"/>
          <w14:textFill>
            <w14:solidFill>
              <w14:schemeClr w14:val="tx1">
                <w14:lumMod w14:val="95000"/>
                <w14:lumOff w14:val="5000"/>
              </w14:schemeClr>
            </w14:solidFill>
          </w14:textFill>
        </w:rPr>
      </w:pPr>
      <w:r>
        <w:rPr>
          <w:rFonts w:hint="eastAsia" w:ascii="仿宋_GB2312" w:hAnsi="Times New Roman" w:eastAsia="仿宋_GB2312" w:cs="Times New Roman"/>
          <w:bCs/>
          <w:color w:val="0D0D0D" w:themeColor="text1" w:themeTint="F2"/>
          <w:sz w:val="32"/>
          <w:szCs w:val="32"/>
          <w14:textFill>
            <w14:solidFill>
              <w14:schemeClr w14:val="tx1">
                <w14:lumMod w14:val="95000"/>
                <w14:lumOff w14:val="5000"/>
              </w14:schemeClr>
            </w14:solidFill>
          </w14:textFill>
        </w:rPr>
        <w:t>（三）中标人应建立相应的保密制度，明确项目开展过程中各环节的保密性要求，确保相关资料和信息的保密性。</w:t>
      </w:r>
    </w:p>
    <w:p>
      <w:pPr>
        <w:adjustRightInd w:val="0"/>
        <w:snapToGrid w:val="0"/>
        <w:spacing w:line="560" w:lineRule="exact"/>
        <w:ind w:firstLine="640" w:firstLineChars="200"/>
        <w:rPr>
          <w:rFonts w:ascii="黑体" w:hAnsi="黑体" w:eastAsia="黑体" w:cs="Times New Roman"/>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Times New Roman"/>
          <w:color w:val="0D0D0D" w:themeColor="text1" w:themeTint="F2"/>
          <w:sz w:val="32"/>
          <w:szCs w:val="32"/>
          <w14:textFill>
            <w14:solidFill>
              <w14:schemeClr w14:val="tx1">
                <w14:lumMod w14:val="95000"/>
                <w14:lumOff w14:val="5000"/>
              </w14:schemeClr>
            </w14:solidFill>
          </w14:textFill>
        </w:rPr>
        <w:t>六、投标资格要求</w:t>
      </w:r>
    </w:p>
    <w:p>
      <w:pPr>
        <w:spacing w:line="560" w:lineRule="exact"/>
        <w:ind w:firstLine="640" w:firstLineChars="200"/>
        <w:rPr>
          <w:rFonts w:ascii="仿宋_GB2312" w:hAnsi="Times New Roman" w:eastAsia="仿宋_GB2312" w:cs="Times New Roman"/>
          <w:b/>
          <w:bCs/>
          <w:sz w:val="32"/>
          <w:szCs w:val="32"/>
        </w:rPr>
      </w:pPr>
      <w:r>
        <w:rPr>
          <w:rFonts w:hint="eastAsia" w:ascii="仿宋_GB2312" w:hAnsi="Times New Roman" w:eastAsia="仿宋_GB2312" w:cs="Times New Roman"/>
          <w:bCs/>
          <w:sz w:val="32"/>
          <w:szCs w:val="32"/>
        </w:rPr>
        <w:t>（一）具有独立承担民事责任能力的在中华人民共和国境内注册的法人。</w:t>
      </w:r>
    </w:p>
    <w:p>
      <w:pPr>
        <w:spacing w:line="560" w:lineRule="exact"/>
        <w:ind w:firstLine="640" w:firstLineChars="200"/>
        <w:rPr>
          <w:rFonts w:ascii="仿宋_GB2312" w:hAnsi="Times New Roman" w:eastAsia="仿宋_GB2312" w:cs="Times New Roman"/>
          <w:b/>
          <w:bCs/>
          <w:sz w:val="32"/>
          <w:szCs w:val="32"/>
        </w:rPr>
      </w:pPr>
      <w:r>
        <w:rPr>
          <w:rFonts w:hint="eastAsia" w:ascii="仿宋_GB2312" w:hAnsi="Times New Roman" w:eastAsia="仿宋_GB2312" w:cs="Times New Roman"/>
          <w:bCs/>
          <w:sz w:val="32"/>
          <w:szCs w:val="32"/>
        </w:rPr>
        <w:t>（二）投标人必须具备相关经营范围（咨询服务等），具备开展本项目研究的基本条件和研究能力。</w:t>
      </w:r>
    </w:p>
    <w:p>
      <w:pPr>
        <w:spacing w:line="560" w:lineRule="exact"/>
        <w:ind w:firstLine="640" w:firstLineChars="200"/>
        <w:rPr>
          <w:rFonts w:ascii="仿宋_GB2312" w:hAnsi="Times New Roman" w:eastAsia="仿宋_GB2312" w:cs="Times New Roman"/>
          <w:bCs/>
          <w:color w:val="0D0D0D" w:themeColor="text1" w:themeTint="F2"/>
          <w:sz w:val="32"/>
          <w:szCs w:val="32"/>
          <w14:textFill>
            <w14:solidFill>
              <w14:schemeClr w14:val="tx1">
                <w14:lumMod w14:val="95000"/>
                <w14:lumOff w14:val="5000"/>
              </w14:schemeClr>
            </w14:solidFill>
          </w14:textFill>
        </w:rPr>
      </w:pPr>
      <w:r>
        <w:rPr>
          <w:rFonts w:hint="eastAsia" w:ascii="仿宋_GB2312" w:hAnsi="Times New Roman" w:eastAsia="仿宋_GB2312" w:cs="Times New Roman"/>
          <w:bCs/>
          <w:sz w:val="32"/>
          <w:szCs w:val="32"/>
        </w:rPr>
        <w:t>（三）参加本次政府采购活动前</w:t>
      </w:r>
      <w:r>
        <w:rPr>
          <w:rFonts w:ascii="仿宋_GB2312" w:hAnsi="Times New Roman" w:eastAsia="仿宋_GB2312" w:cs="Times New Roman"/>
          <w:bCs/>
          <w:sz w:val="32"/>
          <w:szCs w:val="32"/>
        </w:rPr>
        <w:t>3年内在经营活动中没有重大违法记录（提供声明函，格式自拟）</w:t>
      </w:r>
      <w:r>
        <w:rPr>
          <w:rFonts w:ascii="仿宋_GB2312" w:hAnsi="Times New Roman" w:eastAsia="仿宋_GB2312" w:cs="Times New Roman"/>
          <w:bCs/>
          <w:color w:val="0D0D0D" w:themeColor="text1" w:themeTint="F2"/>
          <w:sz w:val="32"/>
          <w:szCs w:val="32"/>
          <w14:textFill>
            <w14:solidFill>
              <w14:schemeClr w14:val="tx1">
                <w14:lumMod w14:val="95000"/>
                <w14:lumOff w14:val="5000"/>
              </w14:schemeClr>
            </w14:solidFill>
          </w14:textFill>
        </w:rPr>
        <w:t>。</w:t>
      </w:r>
    </w:p>
    <w:p>
      <w:pPr>
        <w:pStyle w:val="2"/>
        <w:keepNext w:val="0"/>
        <w:keepLines w:val="0"/>
        <w:pageBreakBefore w:val="0"/>
        <w:kinsoku/>
        <w:wordWrap/>
        <w:topLinePunct w:val="0"/>
        <w:autoSpaceDE/>
        <w:autoSpaceDN/>
        <w:bidi w:val="0"/>
        <w:adjustRightInd/>
        <w:spacing w:line="560" w:lineRule="exact"/>
        <w:ind w:firstLine="640" w:firstLineChars="200"/>
        <w:jc w:val="both"/>
        <w:textAlignment w:val="auto"/>
      </w:pPr>
      <w:r>
        <w:rPr>
          <w:rFonts w:hint="eastAsia" w:ascii="仿宋_GB2312" w:hAnsi="Times New Roman" w:eastAsia="仿宋_GB2312" w:cs="Times New Roman"/>
          <w:b w:val="0"/>
          <w:bCs/>
          <w:color w:val="0C0C0C"/>
          <w:kern w:val="2"/>
          <w:sz w:val="32"/>
          <w:szCs w:val="32"/>
          <w:highlight w:val="none"/>
          <w:u w:val="none"/>
          <w:lang w:val="en-US" w:eastAsia="zh-CN" w:bidi="ar-SA"/>
        </w:rPr>
        <w:t>（四）本项目接受联合体投标（组成联合体单位数量不超过两家）。</w:t>
      </w:r>
    </w:p>
    <w:p>
      <w:pPr>
        <w:adjustRightInd w:val="0"/>
        <w:snapToGrid w:val="0"/>
        <w:spacing w:line="560" w:lineRule="exact"/>
        <w:ind w:firstLine="640" w:firstLineChars="200"/>
        <w:rPr>
          <w:rFonts w:ascii="黑体" w:hAnsi="黑体" w:eastAsia="黑体" w:cs="Times New Roman"/>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Times New Roman"/>
          <w:color w:val="0D0D0D" w:themeColor="text1" w:themeTint="F2"/>
          <w:sz w:val="32"/>
          <w:szCs w:val="32"/>
          <w14:textFill>
            <w14:solidFill>
              <w14:schemeClr w14:val="tx1">
                <w14:lumMod w14:val="95000"/>
                <w14:lumOff w14:val="5000"/>
              </w14:schemeClr>
            </w14:solidFill>
          </w14:textFill>
        </w:rPr>
        <w:t>七、投标时间、地点及联系人</w:t>
      </w:r>
    </w:p>
    <w:p>
      <w:pPr>
        <w:spacing w:line="560" w:lineRule="exact"/>
        <w:ind w:firstLine="640" w:firstLineChars="200"/>
        <w:rPr>
          <w:rFonts w:ascii="仿宋_GB2312" w:hAnsi="Times New Roman" w:eastAsia="仿宋_GB2312" w:cs="Times New Roman"/>
          <w:b/>
          <w:bCs/>
          <w:color w:val="0D0D0D" w:themeColor="text1" w:themeTint="F2"/>
          <w:sz w:val="32"/>
          <w:szCs w:val="32"/>
          <w14:textFill>
            <w14:solidFill>
              <w14:schemeClr w14:val="tx1">
                <w14:lumMod w14:val="95000"/>
                <w14:lumOff w14:val="5000"/>
              </w14:schemeClr>
            </w14:solidFill>
          </w14:textFill>
        </w:rPr>
      </w:pPr>
      <w:r>
        <w:rPr>
          <w:rFonts w:hint="eastAsia" w:ascii="仿宋_GB2312" w:hAnsi="Times New Roman" w:eastAsia="仿宋_GB2312" w:cs="Times New Roman"/>
          <w:bCs/>
          <w:color w:val="0D0D0D" w:themeColor="text1" w:themeTint="F2"/>
          <w:sz w:val="32"/>
          <w:szCs w:val="32"/>
          <w14:textFill>
            <w14:solidFill>
              <w14:schemeClr w14:val="tx1">
                <w14:lumMod w14:val="95000"/>
                <w14:lumOff w14:val="5000"/>
              </w14:schemeClr>
            </w14:solidFill>
          </w14:textFill>
        </w:rPr>
        <w:t>（一）</w:t>
      </w:r>
      <w:r>
        <w:rPr>
          <w:rFonts w:hint="eastAsia" w:ascii="仿宋_GB2312" w:hAnsi="Times New Roman" w:eastAsia="仿宋_GB2312" w:cs="Times New Roman"/>
          <w:bCs/>
          <w:color w:val="0D0D0D" w:themeColor="text1" w:themeTint="F2"/>
          <w:sz w:val="32"/>
          <w:szCs w:val="32"/>
          <w:highlight w:val="none"/>
          <w14:textFill>
            <w14:solidFill>
              <w14:schemeClr w14:val="tx1">
                <w14:lumMod w14:val="95000"/>
                <w14:lumOff w14:val="5000"/>
              </w14:schemeClr>
            </w14:solidFill>
          </w14:textFill>
        </w:rPr>
        <w:t>投标时间：</w:t>
      </w:r>
      <w:r>
        <w:rPr>
          <w:rFonts w:ascii="仿宋_GB2312" w:hAnsi="Times New Roman" w:eastAsia="仿宋_GB2312" w:cs="Times New Roman"/>
          <w:bCs/>
          <w:color w:val="0D0D0D" w:themeColor="text1" w:themeTint="F2"/>
          <w:sz w:val="32"/>
          <w:szCs w:val="32"/>
          <w:highlight w:val="none"/>
          <w14:textFill>
            <w14:solidFill>
              <w14:schemeClr w14:val="tx1">
                <w14:lumMod w14:val="95000"/>
                <w14:lumOff w14:val="5000"/>
              </w14:schemeClr>
            </w14:solidFill>
          </w14:textFill>
        </w:rPr>
        <w:t>202</w:t>
      </w:r>
      <w:r>
        <w:rPr>
          <w:rFonts w:hint="eastAsia" w:ascii="仿宋_GB2312" w:hAnsi="Times New Roman" w:eastAsia="仿宋_GB2312" w:cs="Times New Roman"/>
          <w:bCs/>
          <w:color w:val="0D0D0D" w:themeColor="text1" w:themeTint="F2"/>
          <w:sz w:val="32"/>
          <w:szCs w:val="32"/>
          <w:highlight w:val="none"/>
          <w14:textFill>
            <w14:solidFill>
              <w14:schemeClr w14:val="tx1">
                <w14:lumMod w14:val="95000"/>
                <w14:lumOff w14:val="5000"/>
              </w14:schemeClr>
            </w14:solidFill>
          </w14:textFill>
        </w:rPr>
        <w:t>4年</w:t>
      </w:r>
      <w:r>
        <w:rPr>
          <w:rFonts w:hint="eastAsia" w:ascii="仿宋_GB2312" w:hAnsi="Times New Roman" w:eastAsia="仿宋_GB2312" w:cs="Times New Roman"/>
          <w:bCs/>
          <w:color w:val="0D0D0D" w:themeColor="text1" w:themeTint="F2"/>
          <w:sz w:val="32"/>
          <w:szCs w:val="32"/>
          <w:highlight w:val="none"/>
          <w:lang w:val="en-US" w:eastAsia="zh-CN"/>
          <w14:textFill>
            <w14:solidFill>
              <w14:schemeClr w14:val="tx1">
                <w14:lumMod w14:val="95000"/>
                <w14:lumOff w14:val="5000"/>
              </w14:schemeClr>
            </w14:solidFill>
          </w14:textFill>
        </w:rPr>
        <w:t>12</w:t>
      </w:r>
      <w:r>
        <w:rPr>
          <w:rFonts w:hint="eastAsia" w:ascii="仿宋_GB2312" w:hAnsi="Times New Roman" w:eastAsia="仿宋_GB2312" w:cs="Times New Roman"/>
          <w:bCs/>
          <w:color w:val="0D0D0D" w:themeColor="text1" w:themeTint="F2"/>
          <w:sz w:val="32"/>
          <w:szCs w:val="32"/>
          <w:highlight w:val="none"/>
          <w14:textFill>
            <w14:solidFill>
              <w14:schemeClr w14:val="tx1">
                <w14:lumMod w14:val="95000"/>
                <w14:lumOff w14:val="5000"/>
              </w14:schemeClr>
            </w14:solidFill>
          </w14:textFill>
        </w:rPr>
        <w:t>月</w:t>
      </w:r>
      <w:r>
        <w:rPr>
          <w:rFonts w:hint="eastAsia" w:ascii="仿宋_GB2312" w:hAnsi="Times New Roman" w:eastAsia="仿宋_GB2312" w:cs="Times New Roman"/>
          <w:bCs/>
          <w:color w:val="0D0D0D" w:themeColor="text1" w:themeTint="F2"/>
          <w:sz w:val="32"/>
          <w:szCs w:val="32"/>
          <w:highlight w:val="none"/>
          <w:lang w:val="en-US" w:eastAsia="zh-CN"/>
          <w14:textFill>
            <w14:solidFill>
              <w14:schemeClr w14:val="tx1">
                <w14:lumMod w14:val="95000"/>
                <w14:lumOff w14:val="5000"/>
              </w14:schemeClr>
            </w14:solidFill>
          </w14:textFill>
        </w:rPr>
        <w:t>2</w:t>
      </w:r>
      <w:r>
        <w:rPr>
          <w:rFonts w:hint="eastAsia" w:ascii="仿宋_GB2312" w:hAnsi="Times New Roman" w:eastAsia="仿宋_GB2312" w:cs="Times New Roman"/>
          <w:bCs/>
          <w:color w:val="0D0D0D" w:themeColor="text1" w:themeTint="F2"/>
          <w:sz w:val="32"/>
          <w:szCs w:val="32"/>
          <w:highlight w:val="none"/>
          <w14:textFill>
            <w14:solidFill>
              <w14:schemeClr w14:val="tx1">
                <w14:lumMod w14:val="95000"/>
                <w14:lumOff w14:val="5000"/>
              </w14:schemeClr>
            </w14:solidFill>
          </w14:textFill>
        </w:rPr>
        <w:t>日至</w:t>
      </w:r>
      <w:r>
        <w:rPr>
          <w:rFonts w:ascii="仿宋_GB2312" w:hAnsi="Times New Roman" w:eastAsia="仿宋_GB2312" w:cs="Times New Roman"/>
          <w:bCs/>
          <w:color w:val="0D0D0D" w:themeColor="text1" w:themeTint="F2"/>
          <w:sz w:val="32"/>
          <w:szCs w:val="32"/>
          <w:highlight w:val="none"/>
          <w14:textFill>
            <w14:solidFill>
              <w14:schemeClr w14:val="tx1">
                <w14:lumMod w14:val="95000"/>
                <w14:lumOff w14:val="5000"/>
              </w14:schemeClr>
            </w14:solidFill>
          </w14:textFill>
        </w:rPr>
        <w:t>202</w:t>
      </w:r>
      <w:r>
        <w:rPr>
          <w:rFonts w:hint="eastAsia" w:ascii="仿宋_GB2312" w:hAnsi="Times New Roman" w:eastAsia="仿宋_GB2312" w:cs="Times New Roman"/>
          <w:bCs/>
          <w:color w:val="0D0D0D" w:themeColor="text1" w:themeTint="F2"/>
          <w:sz w:val="32"/>
          <w:szCs w:val="32"/>
          <w:highlight w:val="none"/>
          <w14:textFill>
            <w14:solidFill>
              <w14:schemeClr w14:val="tx1">
                <w14:lumMod w14:val="95000"/>
                <w14:lumOff w14:val="5000"/>
              </w14:schemeClr>
            </w14:solidFill>
          </w14:textFill>
        </w:rPr>
        <w:t>4年</w:t>
      </w:r>
      <w:r>
        <w:rPr>
          <w:rFonts w:hint="eastAsia" w:ascii="仿宋_GB2312" w:hAnsi="Times New Roman" w:eastAsia="仿宋_GB2312" w:cs="Times New Roman"/>
          <w:bCs/>
          <w:color w:val="0D0D0D" w:themeColor="text1" w:themeTint="F2"/>
          <w:sz w:val="32"/>
          <w:szCs w:val="32"/>
          <w:highlight w:val="none"/>
          <w:lang w:val="en-US" w:eastAsia="zh-CN"/>
          <w14:textFill>
            <w14:solidFill>
              <w14:schemeClr w14:val="tx1">
                <w14:lumMod w14:val="95000"/>
                <w14:lumOff w14:val="5000"/>
              </w14:schemeClr>
            </w14:solidFill>
          </w14:textFill>
        </w:rPr>
        <w:t>12</w:t>
      </w:r>
      <w:r>
        <w:rPr>
          <w:rFonts w:hint="eastAsia" w:ascii="仿宋_GB2312" w:hAnsi="Times New Roman" w:eastAsia="仿宋_GB2312" w:cs="Times New Roman"/>
          <w:bCs/>
          <w:color w:val="0D0D0D" w:themeColor="text1" w:themeTint="F2"/>
          <w:sz w:val="32"/>
          <w:szCs w:val="32"/>
          <w:highlight w:val="none"/>
          <w14:textFill>
            <w14:solidFill>
              <w14:schemeClr w14:val="tx1">
                <w14:lumMod w14:val="95000"/>
                <w14:lumOff w14:val="5000"/>
              </w14:schemeClr>
            </w14:solidFill>
          </w14:textFill>
        </w:rPr>
        <w:t>月</w:t>
      </w:r>
      <w:r>
        <w:rPr>
          <w:rFonts w:hint="eastAsia" w:ascii="仿宋_GB2312" w:hAnsi="Times New Roman" w:eastAsia="仿宋_GB2312" w:cs="Times New Roman"/>
          <w:bCs/>
          <w:color w:val="0D0D0D" w:themeColor="text1" w:themeTint="F2"/>
          <w:sz w:val="32"/>
          <w:szCs w:val="32"/>
          <w:highlight w:val="none"/>
          <w:lang w:val="en-US" w:eastAsia="zh-CN"/>
          <w14:textFill>
            <w14:solidFill>
              <w14:schemeClr w14:val="tx1">
                <w14:lumMod w14:val="95000"/>
                <w14:lumOff w14:val="5000"/>
              </w14:schemeClr>
            </w14:solidFill>
          </w14:textFill>
        </w:rPr>
        <w:t>4</w:t>
      </w:r>
      <w:r>
        <w:rPr>
          <w:rFonts w:hint="eastAsia" w:ascii="仿宋_GB2312" w:hAnsi="Times New Roman" w:eastAsia="仿宋_GB2312" w:cs="Times New Roman"/>
          <w:bCs/>
          <w:color w:val="0D0D0D" w:themeColor="text1" w:themeTint="F2"/>
          <w:sz w:val="32"/>
          <w:szCs w:val="32"/>
          <w:highlight w:val="none"/>
          <w14:textFill>
            <w14:solidFill>
              <w14:schemeClr w14:val="tx1">
                <w14:lumMod w14:val="95000"/>
                <w14:lumOff w14:val="5000"/>
              </w14:schemeClr>
            </w14:solidFill>
          </w14:textFill>
        </w:rPr>
        <w:t>日（以正式发布为准），每</w:t>
      </w:r>
      <w:r>
        <w:rPr>
          <w:rFonts w:hint="eastAsia" w:ascii="仿宋_GB2312" w:hAnsi="Times New Roman" w:eastAsia="仿宋_GB2312" w:cs="Times New Roman"/>
          <w:bCs/>
          <w:color w:val="0D0D0D" w:themeColor="text1" w:themeTint="F2"/>
          <w:sz w:val="32"/>
          <w:szCs w:val="32"/>
          <w14:textFill>
            <w14:solidFill>
              <w14:schemeClr w14:val="tx1">
                <w14:lumMod w14:val="95000"/>
                <w14:lumOff w14:val="5000"/>
              </w14:schemeClr>
            </w14:solidFill>
          </w14:textFill>
        </w:rPr>
        <w:t>日上午</w:t>
      </w:r>
      <w:r>
        <w:rPr>
          <w:rFonts w:ascii="仿宋_GB2312" w:hAnsi="Times New Roman" w:eastAsia="仿宋_GB2312" w:cs="Times New Roman"/>
          <w:bCs/>
          <w:color w:val="0D0D0D" w:themeColor="text1" w:themeTint="F2"/>
          <w:sz w:val="32"/>
          <w:szCs w:val="32"/>
          <w14:textFill>
            <w14:solidFill>
              <w14:schemeClr w14:val="tx1">
                <w14:lumMod w14:val="95000"/>
                <w14:lumOff w14:val="5000"/>
              </w14:schemeClr>
            </w14:solidFill>
          </w14:textFill>
        </w:rPr>
        <w:t>9:00-12:00，下午2:00-</w:t>
      </w:r>
      <w:r>
        <w:rPr>
          <w:rFonts w:hint="eastAsia" w:ascii="仿宋_GB2312" w:hAnsi="Times New Roman" w:eastAsia="仿宋_GB2312" w:cs="Times New Roman"/>
          <w:bCs/>
          <w:color w:val="0D0D0D" w:themeColor="text1" w:themeTint="F2"/>
          <w:sz w:val="32"/>
          <w:szCs w:val="32"/>
          <w14:textFill>
            <w14:solidFill>
              <w14:schemeClr w14:val="tx1">
                <w14:lumMod w14:val="95000"/>
                <w14:lumOff w14:val="5000"/>
              </w14:schemeClr>
            </w14:solidFill>
          </w14:textFill>
        </w:rPr>
        <w:t>6：00</w:t>
      </w:r>
      <w:r>
        <w:rPr>
          <w:rFonts w:ascii="仿宋_GB2312" w:hAnsi="Times New Roman" w:eastAsia="仿宋_GB2312" w:cs="Times New Roman"/>
          <w:bCs/>
          <w:color w:val="0D0D0D" w:themeColor="text1" w:themeTint="F2"/>
          <w:sz w:val="32"/>
          <w:szCs w:val="32"/>
          <w14:textFill>
            <w14:solidFill>
              <w14:schemeClr w14:val="tx1">
                <w14:lumMod w14:val="95000"/>
                <w14:lumOff w14:val="5000"/>
              </w14:schemeClr>
            </w14:solidFill>
          </w14:textFill>
        </w:rPr>
        <w:t>（</w:t>
      </w:r>
      <w:bookmarkStart w:id="0" w:name="_GoBack"/>
      <w:bookmarkEnd w:id="0"/>
      <w:r>
        <w:rPr>
          <w:rFonts w:ascii="仿宋_GB2312" w:hAnsi="Times New Roman" w:eastAsia="仿宋_GB2312" w:cs="Times New Roman"/>
          <w:bCs/>
          <w:color w:val="0D0D0D" w:themeColor="text1" w:themeTint="F2"/>
          <w:sz w:val="32"/>
          <w:szCs w:val="32"/>
          <w14:textFill>
            <w14:solidFill>
              <w14:schemeClr w14:val="tx1">
                <w14:lumMod w14:val="95000"/>
                <w14:lumOff w14:val="5000"/>
              </w14:schemeClr>
            </w14:solidFill>
          </w14:textFill>
        </w:rPr>
        <w:t>节假日除外）。逾期未投标将不再受理。</w:t>
      </w:r>
    </w:p>
    <w:p>
      <w:pPr>
        <w:spacing w:line="560" w:lineRule="exact"/>
        <w:ind w:firstLine="640" w:firstLineChars="200"/>
        <w:rPr>
          <w:rFonts w:ascii="仿宋_GB2312" w:hAnsi="Times New Roman" w:eastAsia="仿宋_GB2312" w:cs="Times New Roman"/>
          <w:b/>
          <w:bCs/>
          <w:color w:val="0D0D0D" w:themeColor="text1" w:themeTint="F2"/>
          <w:sz w:val="32"/>
          <w:szCs w:val="32"/>
          <w14:textFill>
            <w14:solidFill>
              <w14:schemeClr w14:val="tx1">
                <w14:lumMod w14:val="95000"/>
                <w14:lumOff w14:val="5000"/>
              </w14:schemeClr>
            </w14:solidFill>
          </w14:textFill>
        </w:rPr>
      </w:pPr>
      <w:r>
        <w:rPr>
          <w:rFonts w:hint="eastAsia" w:ascii="仿宋_GB2312" w:hAnsi="Times New Roman" w:eastAsia="仿宋_GB2312" w:cs="Times New Roman"/>
          <w:bCs/>
          <w:color w:val="0D0D0D" w:themeColor="text1" w:themeTint="F2"/>
          <w:sz w:val="32"/>
          <w:szCs w:val="32"/>
          <w14:textFill>
            <w14:solidFill>
              <w14:schemeClr w14:val="tx1">
                <w14:lumMod w14:val="95000"/>
                <w14:lumOff w14:val="5000"/>
              </w14:schemeClr>
            </w14:solidFill>
          </w14:textFill>
        </w:rPr>
        <w:t>（二）投标地点：深圳市龙华区龙华街道清泉路7号富康行政服务办公区19楼A1902，深圳市龙华区发展和改革局办公室</w:t>
      </w:r>
      <w:r>
        <w:rPr>
          <w:rFonts w:ascii="仿宋_GB2312" w:hAnsi="Times New Roman" w:eastAsia="仿宋_GB2312" w:cs="Times New Roman"/>
          <w:bCs/>
          <w:color w:val="0D0D0D" w:themeColor="text1" w:themeTint="F2"/>
          <w:sz w:val="32"/>
          <w:szCs w:val="32"/>
          <w14:textFill>
            <w14:solidFill>
              <w14:schemeClr w14:val="tx1">
                <w14:lumMod w14:val="95000"/>
                <w14:lumOff w14:val="5000"/>
              </w14:schemeClr>
            </w14:solidFill>
          </w14:textFill>
        </w:rPr>
        <w:t>（可邮寄，以送达日期为投标日期）。</w:t>
      </w:r>
    </w:p>
    <w:p>
      <w:pPr>
        <w:spacing w:line="560" w:lineRule="exact"/>
        <w:ind w:firstLine="640" w:firstLineChars="200"/>
        <w:rPr>
          <w:rFonts w:ascii="仿宋_GB2312" w:hAnsi="Times New Roman" w:eastAsia="仿宋_GB2312" w:cs="Times New Roman"/>
          <w:b/>
          <w:bCs/>
          <w:color w:val="0D0D0D" w:themeColor="text1" w:themeTint="F2"/>
          <w:sz w:val="32"/>
          <w:szCs w:val="32"/>
          <w14:textFill>
            <w14:solidFill>
              <w14:schemeClr w14:val="tx1">
                <w14:lumMod w14:val="95000"/>
                <w14:lumOff w14:val="5000"/>
              </w14:schemeClr>
            </w14:solidFill>
          </w14:textFill>
        </w:rPr>
      </w:pPr>
      <w:r>
        <w:rPr>
          <w:rFonts w:hint="eastAsia" w:ascii="仿宋_GB2312" w:hAnsi="Times New Roman" w:eastAsia="仿宋_GB2312" w:cs="Times New Roman"/>
          <w:bCs/>
          <w:color w:val="0D0D0D" w:themeColor="text1" w:themeTint="F2"/>
          <w:sz w:val="32"/>
          <w:szCs w:val="32"/>
          <w14:textFill>
            <w14:solidFill>
              <w14:schemeClr w14:val="tx1">
                <w14:lumMod w14:val="95000"/>
                <w14:lumOff w14:val="5000"/>
              </w14:schemeClr>
            </w14:solidFill>
          </w14:textFill>
        </w:rPr>
        <w:t>（三）联系人及电话</w:t>
      </w:r>
      <w:r>
        <w:rPr>
          <w:rFonts w:hint="eastAsia" w:ascii="仿宋_GB2312" w:hAnsi="Times New Roman" w:eastAsia="仿宋_GB2312" w:cs="Times New Roman"/>
          <w:bCs/>
          <w:color w:val="0D0D0D" w:themeColor="text1" w:themeTint="F2"/>
          <w:sz w:val="32"/>
          <w:szCs w:val="32"/>
          <w:highlight w:val="none"/>
          <w14:textFill>
            <w14:solidFill>
              <w14:schemeClr w14:val="tx1">
                <w14:lumMod w14:val="95000"/>
                <w14:lumOff w14:val="5000"/>
              </w14:schemeClr>
            </w14:solidFill>
          </w14:textFill>
        </w:rPr>
        <w:t>：焦沁冰，0755-23338510</w:t>
      </w:r>
    </w:p>
    <w:p>
      <w:pPr>
        <w:spacing w:line="560" w:lineRule="exact"/>
        <w:ind w:firstLine="640" w:firstLineChars="200"/>
        <w:rPr>
          <w:rFonts w:ascii="黑体" w:hAnsi="黑体" w:eastAsia="黑体" w:cs="Times New Roman"/>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Times New Roman"/>
          <w:color w:val="0D0D0D" w:themeColor="text1" w:themeTint="F2"/>
          <w:sz w:val="32"/>
          <w:szCs w:val="32"/>
          <w14:textFill>
            <w14:solidFill>
              <w14:schemeClr w14:val="tx1">
                <w14:lumMod w14:val="95000"/>
                <w14:lumOff w14:val="5000"/>
              </w14:schemeClr>
            </w14:solidFill>
          </w14:textFill>
        </w:rPr>
        <w:t>八、投标文件递交内容</w:t>
      </w:r>
    </w:p>
    <w:p>
      <w:pPr>
        <w:adjustRightInd w:val="0"/>
        <w:snapToGrid w:val="0"/>
        <w:spacing w:line="560" w:lineRule="exact"/>
        <w:ind w:firstLine="640" w:firstLineChars="200"/>
        <w:rPr>
          <w:rFonts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t>（一）投标单位简介、投标人营业执照及相关证照（提供加盖公章的复印件，原件备查）。</w:t>
      </w:r>
    </w:p>
    <w:p>
      <w:pPr>
        <w:adjustRightInd w:val="0"/>
        <w:snapToGrid w:val="0"/>
        <w:spacing w:line="560" w:lineRule="exact"/>
        <w:ind w:firstLine="640" w:firstLineChars="200"/>
        <w:rPr>
          <w:rFonts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t>（二）法定代表人证明书及授权委托书（原件加盖公章）。</w:t>
      </w:r>
    </w:p>
    <w:p>
      <w:pPr>
        <w:adjustRightInd w:val="0"/>
        <w:snapToGrid w:val="0"/>
        <w:spacing w:line="560" w:lineRule="exact"/>
        <w:ind w:firstLine="640" w:firstLineChars="200"/>
        <w:rPr>
          <w:rFonts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t>（三）法定代表人及受委托人身份证复印件（复印件加盖公章）。</w:t>
      </w:r>
    </w:p>
    <w:p>
      <w:pPr>
        <w:adjustRightInd w:val="0"/>
        <w:snapToGrid w:val="0"/>
        <w:spacing w:line="560" w:lineRule="exact"/>
        <w:ind w:firstLine="640" w:firstLineChars="200"/>
        <w:rPr>
          <w:rFonts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t>（四）项目方案及报价单（原件加盖公章）。</w:t>
      </w:r>
    </w:p>
    <w:p>
      <w:pPr>
        <w:adjustRightInd w:val="0"/>
        <w:snapToGrid w:val="0"/>
        <w:spacing w:line="560" w:lineRule="exact"/>
        <w:ind w:firstLine="640" w:firstLineChars="200"/>
        <w:rPr>
          <w:rFonts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t>（五）投标人相关领域/项目经验证明材料（复印件加盖公章）。</w:t>
      </w:r>
    </w:p>
    <w:p>
      <w:pPr>
        <w:adjustRightInd w:val="0"/>
        <w:snapToGrid w:val="0"/>
        <w:spacing w:line="560" w:lineRule="exact"/>
        <w:ind w:firstLine="640" w:firstLineChars="200"/>
        <w:rPr>
          <w:rFonts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t>（六）投标人无重大违法记录声明函（原件加盖公章，格式自拟）。</w:t>
      </w:r>
    </w:p>
    <w:p>
      <w:pPr>
        <w:adjustRightInd w:val="0"/>
        <w:snapToGrid w:val="0"/>
        <w:spacing w:line="560" w:lineRule="exact"/>
        <w:ind w:firstLine="640" w:firstLineChars="200"/>
        <w:rPr>
          <w:rFonts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t>（七）投标及履约承诺函原件（格式见附件）。</w:t>
      </w:r>
    </w:p>
    <w:p>
      <w:pPr>
        <w:adjustRightInd w:val="0"/>
        <w:snapToGrid w:val="0"/>
        <w:spacing w:line="560" w:lineRule="exact"/>
        <w:ind w:firstLine="640" w:firstLineChars="200"/>
        <w:rPr>
          <w:rFonts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t>（八）投标人认为有必要提供的其它材料。</w:t>
      </w:r>
    </w:p>
    <w:p>
      <w:pPr>
        <w:adjustRightInd w:val="0"/>
        <w:snapToGrid w:val="0"/>
        <w:spacing w:line="560" w:lineRule="exact"/>
        <w:ind w:firstLine="640" w:firstLineChars="200"/>
        <w:rPr>
          <w:rFonts w:ascii="仿宋" w:hAnsi="仿宋" w:eastAsia="仿宋"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t>投标文件一式五份，整套纸质材料密封并加盖骑缝章，封面注明招标项目名称；投标人的名称、地址、联系人及手机号码。</w:t>
      </w:r>
    </w:p>
    <w:p>
      <w:pPr>
        <w:adjustRightInd w:val="0"/>
        <w:snapToGrid w:val="0"/>
        <w:spacing w:line="560" w:lineRule="exact"/>
        <w:ind w:firstLine="640" w:firstLineChars="200"/>
        <w:rPr>
          <w:rFonts w:ascii="黑体" w:hAnsi="黑体" w:eastAsia="黑体" w:cs="Times New Roman"/>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Times New Roman"/>
          <w:color w:val="0D0D0D" w:themeColor="text1" w:themeTint="F2"/>
          <w:sz w:val="32"/>
          <w:szCs w:val="32"/>
          <w14:textFill>
            <w14:solidFill>
              <w14:schemeClr w14:val="tx1">
                <w14:lumMod w14:val="95000"/>
                <w14:lumOff w14:val="5000"/>
              </w14:schemeClr>
            </w14:solidFill>
          </w14:textFill>
        </w:rPr>
        <w:t>九、重要提示</w:t>
      </w:r>
    </w:p>
    <w:p>
      <w:pPr>
        <w:adjustRightInd w:val="0"/>
        <w:snapToGrid w:val="0"/>
        <w:spacing w:line="560" w:lineRule="exact"/>
        <w:ind w:firstLine="640" w:firstLineChars="200"/>
        <w:rPr>
          <w:rFonts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t>投标单位有下列情况之一的，其投标将被拒绝或作无效投标处理：</w:t>
      </w:r>
    </w:p>
    <w:p>
      <w:pPr>
        <w:adjustRightInd w:val="0"/>
        <w:snapToGrid w:val="0"/>
        <w:spacing w:line="560" w:lineRule="exact"/>
        <w:ind w:firstLine="640" w:firstLineChars="200"/>
        <w:rPr>
          <w:rFonts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t>（一）未在规定时间内将投标文件送达规定地点的。</w:t>
      </w:r>
    </w:p>
    <w:p>
      <w:pPr>
        <w:adjustRightInd w:val="0"/>
        <w:snapToGrid w:val="0"/>
        <w:spacing w:line="560" w:lineRule="exact"/>
        <w:ind w:firstLine="640" w:firstLineChars="200"/>
        <w:rPr>
          <w:rFonts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t>（二）投标人不具备投标资格要求，或未提交相应资格证明材料。</w:t>
      </w:r>
    </w:p>
    <w:p>
      <w:pPr>
        <w:adjustRightInd w:val="0"/>
        <w:snapToGrid w:val="0"/>
        <w:spacing w:line="560" w:lineRule="exact"/>
        <w:ind w:firstLine="640" w:firstLineChars="200"/>
        <w:rPr>
          <w:rFonts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t>（三）投标文件未按规定密封、签字、盖章。</w:t>
      </w:r>
    </w:p>
    <w:p>
      <w:pPr>
        <w:adjustRightInd w:val="0"/>
        <w:snapToGrid w:val="0"/>
        <w:spacing w:line="560" w:lineRule="exact"/>
        <w:ind w:firstLine="640" w:firstLineChars="200"/>
        <w:rPr>
          <w:rFonts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t>（四）投标文件无法定代表人签字或无法定代表人有效授权委托的。</w:t>
      </w:r>
    </w:p>
    <w:p>
      <w:pPr>
        <w:adjustRightInd w:val="0"/>
        <w:snapToGrid w:val="0"/>
        <w:spacing w:line="560" w:lineRule="exact"/>
        <w:ind w:firstLine="640" w:firstLineChars="200"/>
        <w:rPr>
          <w:rFonts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t>（五）分项报价或投标总价高于预算金额（最高投标限价）的。</w:t>
      </w:r>
    </w:p>
    <w:p>
      <w:pPr>
        <w:adjustRightInd w:val="0"/>
        <w:snapToGrid w:val="0"/>
        <w:spacing w:line="560" w:lineRule="exact"/>
        <w:ind w:firstLine="640" w:firstLineChars="200"/>
        <w:rPr>
          <w:rFonts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t>（六）同一项目出现两个及以上报价，且按规定无法确定哪个是有效报价。</w:t>
      </w:r>
    </w:p>
    <w:p>
      <w:pPr>
        <w:adjustRightInd w:val="0"/>
        <w:snapToGrid w:val="0"/>
        <w:spacing w:line="560" w:lineRule="exact"/>
        <w:ind w:firstLine="640" w:firstLineChars="200"/>
        <w:rPr>
          <w:rFonts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t>（七）评标委员会认为投标单位的报价明显低于其他通过符合性审查投标单位的报价，有可能影响产品质量或者不能诚信履约的，投标单位不能在合理的时间内提供书面说明，或无法提交相关证明材料，投标单位不能证明其报价合理性的。</w:t>
      </w:r>
    </w:p>
    <w:p>
      <w:pPr>
        <w:adjustRightInd w:val="0"/>
        <w:snapToGrid w:val="0"/>
        <w:spacing w:line="560" w:lineRule="exact"/>
        <w:ind w:firstLine="640" w:firstLineChars="200"/>
        <w:rPr>
          <w:rFonts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t>（八）所投服务在质量、技术、方案等方面没有实质性满足招标文件要求。</w:t>
      </w:r>
    </w:p>
    <w:p>
      <w:pPr>
        <w:adjustRightInd w:val="0"/>
        <w:snapToGrid w:val="0"/>
        <w:spacing w:line="560" w:lineRule="exact"/>
        <w:ind w:firstLine="640" w:firstLineChars="200"/>
        <w:rPr>
          <w:rFonts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 w:eastAsia="仿宋_GB2312" w:cs="仿宋_GB2312"/>
          <w:color w:val="0D0D0D" w:themeColor="text1" w:themeTint="F2"/>
          <w:sz w:val="32"/>
          <w:szCs w:val="32"/>
          <w14:textFill>
            <w14:solidFill>
              <w14:schemeClr w14:val="tx1">
                <w14:lumMod w14:val="95000"/>
                <w14:lumOff w14:val="5000"/>
              </w14:schemeClr>
            </w14:solidFill>
          </w14:textFill>
        </w:rPr>
        <w:t>（九）法律、法规规定的其他情形。</w:t>
      </w:r>
    </w:p>
    <w:p>
      <w:pPr>
        <w:pStyle w:val="5"/>
        <w:spacing w:line="560" w:lineRule="exact"/>
        <w:ind w:firstLine="640"/>
        <w:rPr>
          <w:rFonts w:ascii="黑体" w:hAnsi="黑体" w:eastAsia="黑体"/>
          <w:bCs w:val="0"/>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bCs w:val="0"/>
          <w:color w:val="0D0D0D" w:themeColor="text1" w:themeTint="F2"/>
          <w:sz w:val="32"/>
          <w:szCs w:val="32"/>
          <w14:textFill>
            <w14:solidFill>
              <w14:schemeClr w14:val="tx1">
                <w14:lumMod w14:val="95000"/>
                <w14:lumOff w14:val="5000"/>
              </w14:schemeClr>
            </w14:solidFill>
          </w14:textFill>
        </w:rPr>
        <w:t>十、评标方法</w:t>
      </w:r>
    </w:p>
    <w:p>
      <w:pPr>
        <w:pStyle w:val="5"/>
        <w:spacing w:line="560" w:lineRule="exact"/>
        <w:ind w:firstLine="640"/>
        <w:rPr>
          <w:rFonts w:ascii="楷体_GB2312" w:hAnsi="楷体_GB2312" w:eastAsia="楷体_GB2312" w:cs="楷体_GB2312"/>
          <w:b/>
          <w:sz w:val="32"/>
          <w:szCs w:val="32"/>
        </w:rPr>
      </w:pPr>
      <w:r>
        <w:rPr>
          <w:rFonts w:hint="eastAsia" w:ascii="楷体_GB2312" w:hAnsi="楷体_GB2312" w:eastAsia="楷体_GB2312" w:cs="楷体_GB2312"/>
          <w:sz w:val="32"/>
          <w:szCs w:val="32"/>
        </w:rPr>
        <w:t xml:space="preserve">（一）评分规则 </w:t>
      </w:r>
    </w:p>
    <w:p>
      <w:pPr>
        <w:spacing w:line="560" w:lineRule="exact"/>
        <w:ind w:firstLine="640" w:firstLineChars="200"/>
        <w:rPr>
          <w:rFonts w:ascii="仿宋_GB2312" w:hAnsi="Times New Roman" w:eastAsia="仿宋_GB2312" w:cs="Times New Roman"/>
          <w:bCs/>
          <w:color w:val="0D0D0D" w:themeColor="text1" w:themeTint="F2"/>
          <w:sz w:val="32"/>
          <w:szCs w:val="32"/>
          <w14:textFill>
            <w14:solidFill>
              <w14:schemeClr w14:val="tx1">
                <w14:lumMod w14:val="95000"/>
                <w14:lumOff w14:val="5000"/>
              </w14:schemeClr>
            </w14:solidFill>
          </w14:textFill>
        </w:rPr>
      </w:pPr>
      <w:r>
        <w:rPr>
          <w:rFonts w:hint="eastAsia" w:ascii="仿宋_GB2312" w:hAnsi="Times New Roman" w:eastAsia="仿宋_GB2312" w:cs="Times New Roman"/>
          <w:bCs/>
          <w:color w:val="0D0D0D" w:themeColor="text1" w:themeTint="F2"/>
          <w:sz w:val="32"/>
          <w:szCs w:val="32"/>
          <w14:textFill>
            <w14:solidFill>
              <w14:schemeClr w14:val="tx1">
                <w14:lumMod w14:val="95000"/>
                <w14:lumOff w14:val="5000"/>
              </w14:schemeClr>
            </w14:solidFill>
          </w14:textFill>
        </w:rPr>
        <w:t>评标采用综合评分法。确定中标供应商按评审后得分由高到低顺序排列。得分相同的，按投标报价由低到高顺序排列。得分且投标报价相同的，按技术或服务方案优劣顺序排列。</w:t>
      </w:r>
    </w:p>
    <w:p>
      <w:pPr>
        <w:pStyle w:val="5"/>
        <w:spacing w:line="56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（二）评分权重</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6"/>
        <w:gridCol w:w="1948"/>
        <w:gridCol w:w="1738"/>
        <w:gridCol w:w="1784"/>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pct"/>
            <w:vAlign w:val="center"/>
          </w:tcPr>
          <w:p>
            <w:pPr>
              <w:pStyle w:val="24"/>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color w:val="000000"/>
                <w:szCs w:val="24"/>
              </w:rPr>
            </w:pPr>
            <w:r>
              <w:rPr>
                <w:rFonts w:hint="eastAsia" w:ascii="仿宋_GB2312" w:hAnsi="仿宋_GB2312" w:eastAsia="仿宋_GB2312" w:cs="仿宋_GB2312"/>
                <w:bCs/>
                <w:color w:val="000000"/>
                <w:szCs w:val="24"/>
              </w:rPr>
              <w:t>评分内容</w:t>
            </w:r>
          </w:p>
        </w:tc>
        <w:tc>
          <w:tcPr>
            <w:tcW w:w="1075" w:type="pct"/>
            <w:vAlign w:val="center"/>
          </w:tcPr>
          <w:p>
            <w:pPr>
              <w:pStyle w:val="24"/>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color w:val="000000"/>
                <w:szCs w:val="24"/>
              </w:rPr>
            </w:pPr>
            <w:r>
              <w:rPr>
                <w:rFonts w:hint="eastAsia" w:ascii="仿宋_GB2312" w:hAnsi="仿宋_GB2312" w:eastAsia="仿宋_GB2312" w:cs="仿宋_GB2312"/>
                <w:bCs/>
                <w:color w:val="000000"/>
                <w:szCs w:val="24"/>
              </w:rPr>
              <w:t>商务能力</w:t>
            </w:r>
          </w:p>
        </w:tc>
        <w:tc>
          <w:tcPr>
            <w:tcW w:w="959" w:type="pct"/>
            <w:vAlign w:val="center"/>
          </w:tcPr>
          <w:p>
            <w:pPr>
              <w:pStyle w:val="24"/>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color w:val="000000"/>
                <w:szCs w:val="24"/>
              </w:rPr>
            </w:pPr>
            <w:r>
              <w:rPr>
                <w:rFonts w:hint="eastAsia" w:ascii="仿宋_GB2312" w:hAnsi="仿宋_GB2312" w:eastAsia="仿宋_GB2312" w:cs="仿宋_GB2312"/>
                <w:bCs/>
                <w:color w:val="000000"/>
                <w:szCs w:val="24"/>
              </w:rPr>
              <w:t>技术能力</w:t>
            </w:r>
          </w:p>
        </w:tc>
        <w:tc>
          <w:tcPr>
            <w:tcW w:w="984" w:type="pct"/>
            <w:vAlign w:val="center"/>
          </w:tcPr>
          <w:p>
            <w:pPr>
              <w:pStyle w:val="24"/>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color w:val="000000"/>
                <w:szCs w:val="24"/>
              </w:rPr>
            </w:pPr>
            <w:r>
              <w:rPr>
                <w:rFonts w:hint="eastAsia" w:ascii="仿宋_GB2312" w:hAnsi="仿宋_GB2312" w:eastAsia="仿宋_GB2312" w:cs="仿宋_GB2312"/>
                <w:bCs/>
                <w:color w:val="000000"/>
                <w:szCs w:val="24"/>
              </w:rPr>
              <w:t>人员配备</w:t>
            </w:r>
          </w:p>
        </w:tc>
        <w:tc>
          <w:tcPr>
            <w:tcW w:w="1032" w:type="pct"/>
            <w:vAlign w:val="center"/>
          </w:tcPr>
          <w:p>
            <w:pPr>
              <w:pStyle w:val="24"/>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Cs/>
                <w:color w:val="000000"/>
                <w:szCs w:val="24"/>
              </w:rPr>
            </w:pPr>
            <w:r>
              <w:rPr>
                <w:rFonts w:hint="eastAsia" w:ascii="仿宋_GB2312" w:hAnsi="仿宋_GB2312" w:eastAsia="仿宋_GB2312" w:cs="仿宋_GB2312"/>
                <w:bCs/>
                <w:color w:val="000000"/>
                <w:szCs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pct"/>
            <w:vAlign w:val="center"/>
          </w:tcPr>
          <w:p>
            <w:pPr>
              <w:pStyle w:val="24"/>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 w:val="0"/>
                <w:bCs/>
                <w:color w:val="000000"/>
                <w:szCs w:val="24"/>
              </w:rPr>
            </w:pPr>
            <w:r>
              <w:rPr>
                <w:rFonts w:hint="eastAsia" w:ascii="仿宋_GB2312" w:hAnsi="仿宋_GB2312" w:eastAsia="仿宋_GB2312" w:cs="仿宋_GB2312"/>
                <w:b w:val="0"/>
                <w:bCs/>
                <w:color w:val="000000"/>
                <w:szCs w:val="24"/>
              </w:rPr>
              <w:t>分值</w:t>
            </w:r>
          </w:p>
        </w:tc>
        <w:tc>
          <w:tcPr>
            <w:tcW w:w="1075" w:type="pct"/>
            <w:vAlign w:val="center"/>
          </w:tcPr>
          <w:p>
            <w:pPr>
              <w:pStyle w:val="24"/>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 w:val="0"/>
                <w:bCs/>
                <w:color w:val="000000"/>
                <w:szCs w:val="24"/>
              </w:rPr>
            </w:pPr>
            <w:r>
              <w:rPr>
                <w:rFonts w:hint="eastAsia" w:ascii="仿宋_GB2312" w:hAnsi="仿宋_GB2312" w:eastAsia="仿宋_GB2312" w:cs="仿宋_GB2312"/>
                <w:b w:val="0"/>
                <w:bCs/>
                <w:color w:val="000000"/>
                <w:szCs w:val="24"/>
              </w:rPr>
              <w:t>25分</w:t>
            </w:r>
          </w:p>
        </w:tc>
        <w:tc>
          <w:tcPr>
            <w:tcW w:w="959" w:type="pct"/>
            <w:vAlign w:val="center"/>
          </w:tcPr>
          <w:p>
            <w:pPr>
              <w:pStyle w:val="24"/>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 w:val="0"/>
                <w:bCs/>
                <w:color w:val="000000"/>
                <w:szCs w:val="24"/>
              </w:rPr>
            </w:pPr>
            <w:r>
              <w:rPr>
                <w:rFonts w:hint="eastAsia" w:ascii="仿宋_GB2312" w:hAnsi="仿宋_GB2312" w:eastAsia="仿宋_GB2312" w:cs="仿宋_GB2312"/>
                <w:b w:val="0"/>
                <w:bCs/>
                <w:color w:val="000000"/>
                <w:szCs w:val="24"/>
              </w:rPr>
              <w:t>35分</w:t>
            </w:r>
          </w:p>
        </w:tc>
        <w:tc>
          <w:tcPr>
            <w:tcW w:w="984" w:type="pct"/>
            <w:vAlign w:val="center"/>
          </w:tcPr>
          <w:p>
            <w:pPr>
              <w:pStyle w:val="24"/>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 w:val="0"/>
                <w:bCs/>
                <w:color w:val="000000"/>
                <w:szCs w:val="24"/>
              </w:rPr>
            </w:pPr>
            <w:r>
              <w:rPr>
                <w:rFonts w:hint="eastAsia" w:ascii="仿宋_GB2312" w:hAnsi="仿宋_GB2312" w:eastAsia="仿宋_GB2312" w:cs="仿宋_GB2312"/>
                <w:b w:val="0"/>
                <w:bCs/>
                <w:color w:val="000000"/>
                <w:szCs w:val="24"/>
              </w:rPr>
              <w:t>20分</w:t>
            </w:r>
          </w:p>
        </w:tc>
        <w:tc>
          <w:tcPr>
            <w:tcW w:w="1032" w:type="pct"/>
            <w:vAlign w:val="center"/>
          </w:tcPr>
          <w:p>
            <w:pPr>
              <w:pStyle w:val="24"/>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 w:val="0"/>
                <w:bCs/>
                <w:color w:val="000000"/>
                <w:szCs w:val="24"/>
              </w:rPr>
            </w:pPr>
            <w:r>
              <w:rPr>
                <w:rFonts w:hint="eastAsia" w:ascii="仿宋_GB2312" w:hAnsi="仿宋_GB2312" w:eastAsia="仿宋_GB2312" w:cs="仿宋_GB2312"/>
                <w:b w:val="0"/>
                <w:bCs/>
                <w:color w:val="000000"/>
                <w:szCs w:val="24"/>
              </w:rPr>
              <w:t>20分</w:t>
            </w:r>
          </w:p>
        </w:tc>
      </w:tr>
    </w:tbl>
    <w:p>
      <w:pPr>
        <w:pStyle w:val="5"/>
        <w:spacing w:line="56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（三）评分标准</w:t>
      </w:r>
    </w:p>
    <w:p>
      <w:pPr>
        <w:spacing w:line="560" w:lineRule="exact"/>
        <w:ind w:firstLine="640" w:firstLineChars="200"/>
        <w:rPr>
          <w:rFonts w:ascii="仿宋_GB2312" w:hAnsi="Times New Roman" w:eastAsia="仿宋_GB2312" w:cs="Times New Roman"/>
          <w:bCs/>
          <w:color w:val="0D0D0D" w:themeColor="text1" w:themeTint="F2"/>
          <w:sz w:val="32"/>
          <w:szCs w:val="32"/>
          <w14:textFill>
            <w14:solidFill>
              <w14:schemeClr w14:val="tx1">
                <w14:lumMod w14:val="95000"/>
                <w14:lumOff w14:val="5000"/>
              </w14:schemeClr>
            </w14:solidFill>
          </w14:textFill>
        </w:rPr>
      </w:pPr>
      <w:r>
        <w:rPr>
          <w:rFonts w:hint="eastAsia" w:ascii="仿宋_GB2312" w:hAnsi="Times New Roman" w:eastAsia="仿宋_GB2312" w:cs="Times New Roman"/>
          <w:bCs/>
          <w:color w:val="0D0D0D" w:themeColor="text1" w:themeTint="F2"/>
          <w:sz w:val="32"/>
          <w:szCs w:val="32"/>
          <w14:textFill>
            <w14:solidFill>
              <w14:schemeClr w14:val="tx1">
                <w14:lumMod w14:val="95000"/>
                <w14:lumOff w14:val="5000"/>
              </w14:schemeClr>
            </w14:solidFill>
          </w14:textFill>
        </w:rPr>
        <w:t>1.商务能力</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026"/>
        <w:gridCol w:w="4473"/>
        <w:gridCol w:w="2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19" w:type="pct"/>
            <w:gridSpan w:val="3"/>
            <w:vAlign w:val="center"/>
          </w:tcPr>
          <w:p>
            <w:pPr>
              <w:pStyle w:val="24"/>
              <w:keepNext w:val="0"/>
              <w:keepLines w:val="0"/>
              <w:suppressLineNumbers w:val="0"/>
              <w:spacing w:before="0" w:beforeAutospacing="0" w:after="0" w:afterAutospacing="0" w:line="312" w:lineRule="auto"/>
              <w:ind w:left="0" w:right="0"/>
              <w:jc w:val="center"/>
              <w:rPr>
                <w:rFonts w:hint="default" w:ascii="仿宋_GB2312" w:hAnsi="仿宋_GB2312" w:eastAsia="仿宋_GB2312" w:cs="仿宋_GB2312"/>
                <w:color w:val="000000"/>
                <w:szCs w:val="24"/>
              </w:rPr>
            </w:pPr>
            <w:r>
              <w:rPr>
                <w:rFonts w:hint="eastAsia" w:ascii="仿宋_GB2312" w:hAnsi="仿宋_GB2312" w:eastAsia="仿宋_GB2312" w:cs="仿宋_GB2312"/>
                <w:color w:val="000000"/>
                <w:szCs w:val="24"/>
              </w:rPr>
              <w:t>项目</w:t>
            </w:r>
          </w:p>
        </w:tc>
        <w:tc>
          <w:tcPr>
            <w:tcW w:w="1580" w:type="pct"/>
            <w:vAlign w:val="center"/>
          </w:tcPr>
          <w:p>
            <w:pPr>
              <w:pStyle w:val="24"/>
              <w:keepNext w:val="0"/>
              <w:keepLines w:val="0"/>
              <w:suppressLineNumbers w:val="0"/>
              <w:spacing w:before="0" w:beforeAutospacing="0" w:after="0" w:afterAutospacing="0" w:line="312" w:lineRule="auto"/>
              <w:ind w:left="0" w:right="0"/>
              <w:jc w:val="center"/>
              <w:rPr>
                <w:rFonts w:hint="default" w:ascii="仿宋_GB2312" w:hAnsi="仿宋_GB2312" w:eastAsia="仿宋_GB2312" w:cs="仿宋_GB2312"/>
                <w:color w:val="000000"/>
                <w:szCs w:val="24"/>
              </w:rPr>
            </w:pPr>
            <w:r>
              <w:rPr>
                <w:rFonts w:hint="eastAsia" w:ascii="仿宋_GB2312" w:hAnsi="仿宋_GB2312" w:eastAsia="仿宋_GB2312" w:cs="仿宋_GB2312"/>
                <w:color w:val="000000"/>
                <w:szCs w:val="24"/>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restart"/>
            <w:vAlign w:val="center"/>
          </w:tcPr>
          <w:p>
            <w:pPr>
              <w:pStyle w:val="24"/>
              <w:keepNext w:val="0"/>
              <w:keepLines w:val="0"/>
              <w:suppressLineNumbers w:val="0"/>
              <w:spacing w:before="0" w:beforeAutospacing="0" w:after="0" w:afterAutospacing="0" w:line="312" w:lineRule="auto"/>
              <w:ind w:left="0" w:right="0"/>
              <w:jc w:val="center"/>
              <w:rPr>
                <w:rFonts w:hint="default" w:ascii="仿宋_GB2312" w:hAnsi="仿宋_GB2312" w:eastAsia="仿宋_GB2312" w:cs="仿宋_GB2312"/>
                <w:b w:val="0"/>
                <w:bCs/>
                <w:color w:val="000000"/>
                <w:szCs w:val="24"/>
              </w:rPr>
            </w:pPr>
            <w:r>
              <w:rPr>
                <w:rFonts w:hint="eastAsia" w:ascii="仿宋_GB2312" w:hAnsi="仿宋_GB2312" w:eastAsia="仿宋_GB2312" w:cs="仿宋_GB2312"/>
                <w:b w:val="0"/>
                <w:bCs/>
                <w:color w:val="000000"/>
                <w:szCs w:val="24"/>
              </w:rPr>
              <w:t>商务能力评分25分</w:t>
            </w:r>
          </w:p>
        </w:tc>
        <w:tc>
          <w:tcPr>
            <w:tcW w:w="566" w:type="pct"/>
            <w:vAlign w:val="center"/>
          </w:tcPr>
          <w:p>
            <w:pPr>
              <w:pStyle w:val="24"/>
              <w:keepNext w:val="0"/>
              <w:keepLines w:val="0"/>
              <w:suppressLineNumbers w:val="0"/>
              <w:spacing w:before="0" w:beforeAutospacing="0" w:after="0" w:afterAutospacing="0" w:line="312" w:lineRule="auto"/>
              <w:ind w:left="0" w:right="0"/>
              <w:jc w:val="center"/>
              <w:rPr>
                <w:rFonts w:hint="default" w:ascii="仿宋_GB2312" w:hAnsi="仿宋_GB2312" w:eastAsia="仿宋_GB2312" w:cs="仿宋_GB2312"/>
                <w:b w:val="0"/>
                <w:bCs/>
                <w:color w:val="000000"/>
                <w:szCs w:val="24"/>
              </w:rPr>
            </w:pPr>
            <w:r>
              <w:rPr>
                <w:rFonts w:hint="eastAsia" w:ascii="仿宋_GB2312" w:hAnsi="仿宋_GB2312" w:eastAsia="仿宋_GB2312" w:cs="仿宋_GB2312"/>
                <w:b w:val="0"/>
                <w:bCs/>
                <w:color w:val="000000"/>
                <w:szCs w:val="24"/>
              </w:rPr>
              <w:t>经验（10分）</w:t>
            </w:r>
          </w:p>
        </w:tc>
        <w:tc>
          <w:tcPr>
            <w:tcW w:w="2468" w:type="pct"/>
            <w:vAlign w:val="center"/>
          </w:tcPr>
          <w:p>
            <w:pPr>
              <w:pStyle w:val="24"/>
              <w:keepNext w:val="0"/>
              <w:keepLines w:val="0"/>
              <w:suppressLineNumbers w:val="0"/>
              <w:spacing w:before="0" w:beforeAutospacing="0" w:after="0" w:afterAutospacing="0" w:line="312" w:lineRule="auto"/>
              <w:ind w:left="0" w:right="0"/>
              <w:rPr>
                <w:rFonts w:hint="default" w:ascii="仿宋_GB2312" w:hAnsi="仿宋_GB2312" w:eastAsia="仿宋_GB2312" w:cs="仿宋_GB2312"/>
                <w:b w:val="0"/>
                <w:bCs/>
                <w:color w:val="000000"/>
                <w:szCs w:val="24"/>
              </w:rPr>
            </w:pPr>
            <w:r>
              <w:rPr>
                <w:rFonts w:hint="eastAsia" w:ascii="仿宋_GB2312" w:hAnsi="仿宋_GB2312" w:eastAsia="仿宋_GB2312" w:cs="仿宋_GB2312"/>
                <w:b w:val="0"/>
                <w:bCs/>
                <w:color w:val="000000"/>
                <w:szCs w:val="24"/>
              </w:rPr>
              <w:t>自2018年1月1日至今（以合同签订时间或中标通知书落款时间为准），承担过类似项目：</w:t>
            </w:r>
          </w:p>
          <w:p>
            <w:pPr>
              <w:pStyle w:val="24"/>
              <w:keepNext w:val="0"/>
              <w:keepLines w:val="0"/>
              <w:suppressLineNumbers w:val="0"/>
              <w:spacing w:before="0" w:beforeAutospacing="0" w:after="0" w:afterAutospacing="0" w:line="312" w:lineRule="auto"/>
              <w:ind w:left="0" w:right="0"/>
              <w:rPr>
                <w:rFonts w:hint="default" w:ascii="仿宋_GB2312" w:hAnsi="仿宋_GB2312" w:eastAsia="仿宋_GB2312" w:cs="仿宋_GB2312"/>
                <w:b w:val="0"/>
                <w:bCs/>
                <w:color w:val="000000"/>
                <w:szCs w:val="24"/>
              </w:rPr>
            </w:pPr>
            <w:r>
              <w:rPr>
                <w:rFonts w:hint="eastAsia" w:ascii="仿宋_GB2312" w:hAnsi="仿宋_GB2312" w:eastAsia="仿宋_GB2312" w:cs="仿宋_GB2312"/>
                <w:b w:val="0"/>
                <w:bCs/>
                <w:color w:val="000000"/>
                <w:szCs w:val="24"/>
              </w:rPr>
              <w:t>1.承担过市、区经济、产业领域相关项目，每个项目得2分，同一项业绩仅计算一个方向。</w:t>
            </w:r>
          </w:p>
          <w:p>
            <w:pPr>
              <w:pStyle w:val="24"/>
              <w:keepNext w:val="0"/>
              <w:keepLines w:val="0"/>
              <w:suppressLineNumbers w:val="0"/>
              <w:spacing w:before="0" w:beforeAutospacing="0" w:after="0" w:afterAutospacing="0" w:line="312" w:lineRule="auto"/>
              <w:ind w:left="0" w:right="0"/>
              <w:rPr>
                <w:rFonts w:hint="default" w:ascii="仿宋_GB2312" w:hAnsi="仿宋_GB2312" w:eastAsia="仿宋_GB2312" w:cs="仿宋_GB2312"/>
                <w:b w:val="0"/>
                <w:bCs/>
                <w:color w:val="000000"/>
                <w:szCs w:val="24"/>
              </w:rPr>
            </w:pPr>
            <w:r>
              <w:rPr>
                <w:rFonts w:hint="eastAsia" w:ascii="仿宋_GB2312" w:hAnsi="仿宋_GB2312" w:eastAsia="仿宋_GB2312" w:cs="仿宋_GB2312"/>
                <w:b w:val="0"/>
                <w:bCs/>
                <w:color w:val="000000"/>
                <w:szCs w:val="24"/>
              </w:rPr>
              <w:t>2.本项满分10分。</w:t>
            </w:r>
          </w:p>
        </w:tc>
        <w:tc>
          <w:tcPr>
            <w:tcW w:w="1580" w:type="pct"/>
            <w:vAlign w:val="center"/>
          </w:tcPr>
          <w:p>
            <w:pPr>
              <w:pStyle w:val="24"/>
              <w:keepNext w:val="0"/>
              <w:keepLines w:val="0"/>
              <w:suppressLineNumbers w:val="0"/>
              <w:spacing w:before="0" w:beforeAutospacing="0" w:after="0" w:afterAutospacing="0" w:line="312" w:lineRule="auto"/>
              <w:ind w:left="0" w:right="0"/>
              <w:rPr>
                <w:rFonts w:hint="default" w:ascii="仿宋_GB2312" w:hAnsi="仿宋_GB2312" w:eastAsia="仿宋_GB2312" w:cs="仿宋_GB2312"/>
                <w:b w:val="0"/>
                <w:bCs/>
                <w:color w:val="000000"/>
                <w:szCs w:val="24"/>
              </w:rPr>
            </w:pPr>
            <w:r>
              <w:rPr>
                <w:rFonts w:hint="eastAsia" w:ascii="仿宋_GB2312" w:hAnsi="仿宋_GB2312" w:eastAsia="仿宋_GB2312" w:cs="仿宋_GB2312"/>
                <w:b w:val="0"/>
                <w:bCs/>
                <w:color w:val="000000"/>
                <w:szCs w:val="24"/>
              </w:rPr>
              <w:t>1.投标人须提供项目合同关键页或中标通知书原件扫描件，作为得分依据。未提供或提供不清晰导致无法判断的，不得分。</w:t>
            </w:r>
          </w:p>
          <w:p>
            <w:pPr>
              <w:pStyle w:val="24"/>
              <w:keepNext w:val="0"/>
              <w:keepLines w:val="0"/>
              <w:suppressLineNumbers w:val="0"/>
              <w:spacing w:before="0" w:beforeAutospacing="0" w:after="0" w:afterAutospacing="0" w:line="312" w:lineRule="auto"/>
              <w:ind w:left="0" w:right="0"/>
              <w:rPr>
                <w:rFonts w:hint="default" w:ascii="仿宋_GB2312" w:hAnsi="仿宋_GB2312" w:eastAsia="仿宋_GB2312" w:cs="仿宋_GB2312"/>
                <w:b w:val="0"/>
                <w:bCs/>
                <w:color w:val="000000"/>
                <w:szCs w:val="24"/>
              </w:rPr>
            </w:pPr>
            <w:r>
              <w:rPr>
                <w:rFonts w:hint="eastAsia" w:ascii="仿宋_GB2312" w:hAnsi="仿宋_GB2312" w:eastAsia="仿宋_GB2312" w:cs="仿宋_GB2312"/>
                <w:b w:val="0"/>
                <w:bCs/>
                <w:color w:val="000000"/>
                <w:szCs w:val="24"/>
              </w:rPr>
              <w:t>2.以上资料均要求提供扫描件，原件备查。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1" w:hRule="atLeast"/>
          <w:jc w:val="center"/>
        </w:trPr>
        <w:tc>
          <w:tcPr>
            <w:tcW w:w="385" w:type="pct"/>
            <w:vMerge w:val="continue"/>
            <w:vAlign w:val="center"/>
          </w:tcPr>
          <w:p>
            <w:pPr>
              <w:pStyle w:val="24"/>
              <w:keepNext w:val="0"/>
              <w:keepLines w:val="0"/>
              <w:suppressLineNumbers w:val="0"/>
              <w:spacing w:before="0" w:beforeAutospacing="0" w:after="0" w:afterAutospacing="0" w:line="312" w:lineRule="auto"/>
              <w:ind w:left="0" w:right="0"/>
              <w:jc w:val="center"/>
              <w:rPr>
                <w:rFonts w:hint="default" w:ascii="仿宋_GB2312" w:hAnsi="仿宋_GB2312" w:eastAsia="仿宋_GB2312" w:cs="仿宋_GB2312"/>
                <w:b w:val="0"/>
                <w:bCs/>
                <w:color w:val="000000"/>
                <w:szCs w:val="24"/>
              </w:rPr>
            </w:pPr>
          </w:p>
        </w:tc>
        <w:tc>
          <w:tcPr>
            <w:tcW w:w="566" w:type="pct"/>
            <w:vAlign w:val="center"/>
          </w:tcPr>
          <w:p>
            <w:pPr>
              <w:pStyle w:val="24"/>
              <w:keepNext w:val="0"/>
              <w:keepLines w:val="0"/>
              <w:suppressLineNumbers w:val="0"/>
              <w:spacing w:before="0" w:beforeAutospacing="0" w:after="0" w:afterAutospacing="0" w:line="312" w:lineRule="auto"/>
              <w:ind w:left="0" w:right="0"/>
              <w:jc w:val="center"/>
              <w:rPr>
                <w:rFonts w:hint="default" w:ascii="仿宋_GB2312" w:hAnsi="仿宋_GB2312" w:eastAsia="仿宋_GB2312" w:cs="仿宋_GB2312"/>
                <w:b w:val="0"/>
                <w:bCs/>
                <w:color w:val="000000"/>
                <w:szCs w:val="24"/>
              </w:rPr>
            </w:pPr>
            <w:r>
              <w:rPr>
                <w:rFonts w:hint="eastAsia" w:ascii="仿宋_GB2312" w:hAnsi="仿宋_GB2312" w:eastAsia="仿宋_GB2312" w:cs="仿宋_GB2312"/>
                <w:b w:val="0"/>
                <w:bCs/>
                <w:color w:val="000000"/>
                <w:szCs w:val="24"/>
              </w:rPr>
              <w:t>履约评价情况（10分）</w:t>
            </w:r>
          </w:p>
        </w:tc>
        <w:tc>
          <w:tcPr>
            <w:tcW w:w="2468" w:type="pct"/>
            <w:vAlign w:val="center"/>
          </w:tcPr>
          <w:p>
            <w:pPr>
              <w:pStyle w:val="24"/>
              <w:keepNext w:val="0"/>
              <w:keepLines w:val="0"/>
              <w:suppressLineNumbers w:val="0"/>
              <w:spacing w:before="0" w:beforeAutospacing="0" w:after="0" w:afterAutospacing="0" w:line="312" w:lineRule="auto"/>
              <w:ind w:left="0" w:right="0"/>
              <w:rPr>
                <w:rFonts w:hint="default" w:ascii="仿宋_GB2312" w:hAnsi="仿宋_GB2312" w:eastAsia="仿宋_GB2312" w:cs="仿宋_GB2312"/>
                <w:b w:val="0"/>
                <w:bCs/>
                <w:color w:val="000000"/>
                <w:szCs w:val="24"/>
              </w:rPr>
            </w:pPr>
            <w:r>
              <w:rPr>
                <w:rFonts w:hint="eastAsia" w:ascii="仿宋_GB2312" w:hAnsi="仿宋_GB2312" w:eastAsia="仿宋_GB2312" w:cs="仿宋_GB2312"/>
                <w:b w:val="0"/>
                <w:bCs/>
                <w:color w:val="000000"/>
                <w:szCs w:val="24"/>
              </w:rPr>
              <w:t>自2018年1月1日至今（以合同签订时间或中标通知书落款时间为准），所做项目经服务单位考核评价为优或满意的，每个项目得2分，满分10分。(同一方向内的多项业绩资料仅按一项业绩计，同一项业绩仅计算一个方向）</w:t>
            </w:r>
          </w:p>
        </w:tc>
        <w:tc>
          <w:tcPr>
            <w:tcW w:w="1580" w:type="pct"/>
            <w:vAlign w:val="center"/>
          </w:tcPr>
          <w:p>
            <w:pPr>
              <w:pStyle w:val="24"/>
              <w:keepNext w:val="0"/>
              <w:keepLines w:val="0"/>
              <w:suppressLineNumbers w:val="0"/>
              <w:spacing w:before="0" w:beforeAutospacing="0" w:after="0" w:afterAutospacing="0" w:line="312" w:lineRule="auto"/>
              <w:ind w:left="0" w:right="0"/>
              <w:rPr>
                <w:rFonts w:hint="default" w:ascii="仿宋_GB2312" w:hAnsi="仿宋_GB2312" w:eastAsia="仿宋_GB2312" w:cs="仿宋_GB2312"/>
                <w:b w:val="0"/>
                <w:bCs/>
                <w:color w:val="000000"/>
                <w:szCs w:val="24"/>
              </w:rPr>
            </w:pPr>
            <w:r>
              <w:rPr>
                <w:rFonts w:hint="eastAsia" w:ascii="仿宋_GB2312" w:hAnsi="仿宋_GB2312" w:eastAsia="仿宋_GB2312" w:cs="仿宋_GB2312"/>
                <w:b w:val="0"/>
                <w:bCs/>
                <w:color w:val="000000"/>
                <w:szCs w:val="24"/>
              </w:rPr>
              <w:t>1.提供以上项目合同关键页（含签订合同双方的单位名称、合同项目名称、项目金额与含签订合同双方的落款盖章、签订日期的关键页）及盖有用户单位公章的履约评价表，并加盖投标人公章。</w:t>
            </w:r>
          </w:p>
          <w:p>
            <w:pPr>
              <w:pStyle w:val="24"/>
              <w:keepNext w:val="0"/>
              <w:keepLines w:val="0"/>
              <w:suppressLineNumbers w:val="0"/>
              <w:spacing w:before="0" w:beforeAutospacing="0" w:after="0" w:afterAutospacing="0" w:line="312" w:lineRule="auto"/>
              <w:ind w:left="0" w:right="0"/>
              <w:rPr>
                <w:rFonts w:hint="default" w:ascii="仿宋_GB2312" w:hAnsi="仿宋_GB2312" w:eastAsia="仿宋_GB2312" w:cs="仿宋_GB2312"/>
                <w:b w:val="0"/>
                <w:bCs/>
                <w:color w:val="000000"/>
                <w:szCs w:val="24"/>
              </w:rPr>
            </w:pPr>
            <w:r>
              <w:rPr>
                <w:rFonts w:hint="eastAsia" w:ascii="仿宋_GB2312" w:hAnsi="仿宋_GB2312" w:eastAsia="仿宋_GB2312" w:cs="仿宋_GB2312"/>
                <w:b w:val="0"/>
                <w:bCs/>
                <w:color w:val="000000"/>
                <w:szCs w:val="24"/>
              </w:rPr>
              <w:t>2.未按要求提供或提供不清晰导致专家无法判断的不得分。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Merge w:val="continue"/>
            <w:vAlign w:val="center"/>
          </w:tcPr>
          <w:p>
            <w:pPr>
              <w:pStyle w:val="24"/>
              <w:keepNext w:val="0"/>
              <w:keepLines w:val="0"/>
              <w:suppressLineNumbers w:val="0"/>
              <w:spacing w:before="0" w:beforeAutospacing="0" w:after="0" w:afterAutospacing="0" w:line="312" w:lineRule="auto"/>
              <w:ind w:left="0" w:right="0"/>
              <w:jc w:val="center"/>
              <w:rPr>
                <w:rFonts w:hint="default" w:ascii="仿宋_GB2312" w:hAnsi="仿宋_GB2312" w:eastAsia="仿宋_GB2312" w:cs="仿宋_GB2312"/>
                <w:b w:val="0"/>
                <w:bCs/>
                <w:color w:val="000000"/>
                <w:szCs w:val="24"/>
              </w:rPr>
            </w:pPr>
          </w:p>
        </w:tc>
        <w:tc>
          <w:tcPr>
            <w:tcW w:w="566" w:type="pct"/>
            <w:vAlign w:val="center"/>
          </w:tcPr>
          <w:p>
            <w:pPr>
              <w:pStyle w:val="24"/>
              <w:keepNext w:val="0"/>
              <w:keepLines w:val="0"/>
              <w:suppressLineNumbers w:val="0"/>
              <w:spacing w:before="0" w:beforeAutospacing="0" w:after="0" w:afterAutospacing="0" w:line="312" w:lineRule="auto"/>
              <w:ind w:left="0" w:right="0"/>
              <w:rPr>
                <w:rFonts w:hint="default" w:ascii="仿宋_GB2312" w:hAnsi="仿宋_GB2312" w:eastAsia="仿宋_GB2312" w:cs="仿宋_GB2312"/>
                <w:b w:val="0"/>
                <w:bCs/>
                <w:color w:val="000000"/>
                <w:szCs w:val="24"/>
              </w:rPr>
            </w:pPr>
            <w:r>
              <w:rPr>
                <w:rFonts w:hint="eastAsia" w:ascii="仿宋_GB2312" w:hAnsi="仿宋_GB2312" w:eastAsia="仿宋_GB2312" w:cs="仿宋_GB2312"/>
                <w:b w:val="0"/>
                <w:bCs/>
                <w:color w:val="000000"/>
                <w:szCs w:val="24"/>
              </w:rPr>
              <w:t>诚信管理情况</w:t>
            </w:r>
          </w:p>
          <w:p>
            <w:pPr>
              <w:pStyle w:val="24"/>
              <w:keepNext w:val="0"/>
              <w:keepLines w:val="0"/>
              <w:suppressLineNumbers w:val="0"/>
              <w:spacing w:before="0" w:beforeAutospacing="0" w:after="0" w:afterAutospacing="0" w:line="312" w:lineRule="auto"/>
              <w:ind w:left="0" w:right="0"/>
              <w:rPr>
                <w:rFonts w:hint="default" w:ascii="仿宋_GB2312" w:hAnsi="仿宋_GB2312" w:eastAsia="仿宋_GB2312" w:cs="仿宋_GB2312"/>
                <w:b w:val="0"/>
                <w:bCs/>
                <w:color w:val="000000"/>
                <w:szCs w:val="24"/>
              </w:rPr>
            </w:pPr>
            <w:r>
              <w:rPr>
                <w:rFonts w:hint="eastAsia" w:ascii="仿宋_GB2312" w:hAnsi="仿宋_GB2312" w:eastAsia="仿宋_GB2312" w:cs="仿宋_GB2312"/>
                <w:b w:val="0"/>
                <w:bCs/>
                <w:color w:val="000000"/>
                <w:szCs w:val="24"/>
              </w:rPr>
              <w:t>（5分）</w:t>
            </w:r>
          </w:p>
        </w:tc>
        <w:tc>
          <w:tcPr>
            <w:tcW w:w="2468" w:type="pct"/>
            <w:vAlign w:val="center"/>
          </w:tcPr>
          <w:p>
            <w:pPr>
              <w:pStyle w:val="24"/>
              <w:keepNext w:val="0"/>
              <w:keepLines w:val="0"/>
              <w:suppressLineNumbers w:val="0"/>
              <w:spacing w:before="0" w:beforeAutospacing="0" w:after="0" w:afterAutospacing="0" w:line="312" w:lineRule="auto"/>
              <w:ind w:left="0" w:right="0"/>
              <w:rPr>
                <w:rFonts w:hint="default" w:ascii="仿宋_GB2312" w:hAnsi="仿宋_GB2312" w:eastAsia="仿宋_GB2312" w:cs="仿宋_GB2312"/>
                <w:b w:val="0"/>
                <w:bCs/>
                <w:color w:val="000000"/>
                <w:szCs w:val="24"/>
              </w:rPr>
            </w:pPr>
            <w:r>
              <w:rPr>
                <w:rFonts w:hint="eastAsia" w:ascii="仿宋_GB2312" w:hAnsi="仿宋_GB2312" w:eastAsia="仿宋_GB2312" w:cs="仿宋_GB2312"/>
                <w:b w:val="0"/>
                <w:bCs/>
                <w:color w:val="000000"/>
                <w:szCs w:val="24"/>
              </w:rPr>
              <w:t>符合国家法规政策关于诚信管理的要求，至投标截止时间，投标人没有在信用中国网（www.creditchina.gov.cn）或中国政府采购网（www.ccgp.gov.cn）或深圳市政府采购监督管理网（www.zfcg.sz.gov.cn）或深圳公共资源交易中心市区政府采购统一平台（www.szzfcg.cn）或“国家企业信用信息公示系统”（www.gsxt.gov.cn）等官网中列入“失信被执行人、重大税收违法案件当事人名单、政府采购严重违法失信行为记录名单”。</w:t>
            </w:r>
          </w:p>
        </w:tc>
        <w:tc>
          <w:tcPr>
            <w:tcW w:w="1580" w:type="pct"/>
            <w:vAlign w:val="center"/>
          </w:tcPr>
          <w:p>
            <w:pPr>
              <w:pStyle w:val="24"/>
              <w:keepNext w:val="0"/>
              <w:keepLines w:val="0"/>
              <w:suppressLineNumbers w:val="0"/>
              <w:spacing w:before="0" w:beforeAutospacing="0" w:after="0" w:afterAutospacing="0" w:line="312" w:lineRule="auto"/>
              <w:ind w:left="0" w:right="0"/>
              <w:rPr>
                <w:rFonts w:hint="default" w:ascii="仿宋_GB2312" w:hAnsi="仿宋_GB2312" w:eastAsia="仿宋_GB2312" w:cs="仿宋_GB2312"/>
                <w:b w:val="0"/>
                <w:bCs/>
                <w:color w:val="000000"/>
                <w:szCs w:val="24"/>
              </w:rPr>
            </w:pPr>
            <w:r>
              <w:rPr>
                <w:rFonts w:hint="eastAsia" w:ascii="仿宋_GB2312" w:hAnsi="仿宋_GB2312" w:eastAsia="仿宋_GB2312" w:cs="仿宋_GB2312"/>
                <w:b w:val="0"/>
                <w:bCs/>
                <w:color w:val="000000"/>
                <w:szCs w:val="24"/>
              </w:rPr>
              <w:t>1.投标人须提供相关截图作为佐证材料。</w:t>
            </w:r>
          </w:p>
          <w:p>
            <w:pPr>
              <w:pStyle w:val="24"/>
              <w:keepNext w:val="0"/>
              <w:keepLines w:val="0"/>
              <w:suppressLineNumbers w:val="0"/>
              <w:spacing w:before="0" w:beforeAutospacing="0" w:after="0" w:afterAutospacing="0" w:line="312" w:lineRule="auto"/>
              <w:ind w:left="0" w:right="0"/>
              <w:rPr>
                <w:rFonts w:hint="default" w:ascii="仿宋_GB2312" w:hAnsi="仿宋_GB2312" w:eastAsia="仿宋_GB2312" w:cs="仿宋_GB2312"/>
                <w:b w:val="0"/>
                <w:bCs/>
                <w:color w:val="000000"/>
                <w:szCs w:val="24"/>
              </w:rPr>
            </w:pPr>
            <w:r>
              <w:rPr>
                <w:rFonts w:hint="eastAsia" w:ascii="仿宋_GB2312" w:hAnsi="仿宋_GB2312" w:eastAsia="仿宋_GB2312" w:cs="仿宋_GB2312"/>
                <w:b w:val="0"/>
                <w:bCs/>
                <w:color w:val="000000"/>
                <w:szCs w:val="24"/>
              </w:rPr>
              <w:t>2.投标人在参与政府采购活动中存在诚信相关问题且在主管部门相关处理措施实施期限内的，本项不得分，否则得满分。</w:t>
            </w:r>
          </w:p>
        </w:tc>
      </w:tr>
    </w:tbl>
    <w:p>
      <w:pPr>
        <w:spacing w:line="560" w:lineRule="exact"/>
        <w:ind w:firstLine="640" w:firstLineChars="200"/>
        <w:rPr>
          <w:rFonts w:ascii="仿宋_GB2312" w:hAnsi="Times New Roman" w:eastAsia="仿宋_GB2312" w:cs="Times New Roman"/>
          <w:bCs/>
          <w:color w:val="0D0D0D" w:themeColor="text1" w:themeTint="F2"/>
          <w:sz w:val="32"/>
          <w:szCs w:val="32"/>
          <w14:textFill>
            <w14:solidFill>
              <w14:schemeClr w14:val="tx1">
                <w14:lumMod w14:val="95000"/>
                <w14:lumOff w14:val="5000"/>
              </w14:schemeClr>
            </w14:solidFill>
          </w14:textFill>
        </w:rPr>
      </w:pPr>
      <w:r>
        <w:rPr>
          <w:rFonts w:hint="eastAsia" w:ascii="仿宋_GB2312" w:hAnsi="Times New Roman" w:eastAsia="仿宋_GB2312" w:cs="Times New Roman"/>
          <w:bCs/>
          <w:color w:val="0D0D0D" w:themeColor="text1" w:themeTint="F2"/>
          <w:sz w:val="32"/>
          <w:szCs w:val="32"/>
          <w14:textFill>
            <w14:solidFill>
              <w14:schemeClr w14:val="tx1">
                <w14:lumMod w14:val="95000"/>
                <w14:lumOff w14:val="5000"/>
              </w14:schemeClr>
            </w14:solidFill>
          </w14:textFill>
        </w:rPr>
        <w:t>2.技术能力</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1023"/>
        <w:gridCol w:w="4500"/>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1" w:type="dxa"/>
            <w:gridSpan w:val="3"/>
            <w:vAlign w:val="center"/>
          </w:tcPr>
          <w:p>
            <w:pPr>
              <w:keepNext w:val="0"/>
              <w:keepLines w:val="0"/>
              <w:suppressLineNumbers w:val="0"/>
              <w:spacing w:before="0" w:beforeAutospacing="0" w:after="0" w:afterAutospacing="0" w:line="312" w:lineRule="auto"/>
              <w:ind w:left="0" w:right="0"/>
              <w:jc w:val="center"/>
              <w:rPr>
                <w:rFonts w:hint="default" w:ascii="仿宋_GB2312" w:hAnsi="仿宋_GB2312" w:eastAsia="仿宋_GB2312" w:cs="仿宋_GB2312"/>
                <w:b/>
                <w:color w:val="000000"/>
                <w:sz w:val="24"/>
              </w:rPr>
            </w:pPr>
            <w:r>
              <w:rPr>
                <w:rFonts w:hint="eastAsia" w:ascii="仿宋_GB2312" w:hAnsi="仿宋_GB2312" w:eastAsia="仿宋_GB2312" w:cs="仿宋_GB2312"/>
                <w:b/>
                <w:color w:val="000000"/>
                <w:sz w:val="24"/>
              </w:rPr>
              <w:t>项目</w:t>
            </w:r>
          </w:p>
        </w:tc>
        <w:tc>
          <w:tcPr>
            <w:tcW w:w="2850" w:type="dxa"/>
            <w:vAlign w:val="center"/>
          </w:tcPr>
          <w:p>
            <w:pPr>
              <w:keepNext w:val="0"/>
              <w:keepLines w:val="0"/>
              <w:suppressLineNumbers w:val="0"/>
              <w:spacing w:before="0" w:beforeAutospacing="0" w:after="0" w:afterAutospacing="0" w:line="312" w:lineRule="auto"/>
              <w:ind w:left="0" w:right="0"/>
              <w:jc w:val="center"/>
              <w:rPr>
                <w:rFonts w:hint="default" w:ascii="仿宋_GB2312" w:hAnsi="仿宋_GB2312" w:eastAsia="仿宋_GB2312" w:cs="仿宋_GB2312"/>
                <w:b/>
                <w:color w:val="000000"/>
                <w:sz w:val="24"/>
              </w:rPr>
            </w:pPr>
            <w:r>
              <w:rPr>
                <w:rFonts w:hint="eastAsia" w:ascii="仿宋_GB2312" w:hAnsi="仿宋_GB2312" w:eastAsia="仿宋_GB2312" w:cs="仿宋_GB2312"/>
                <w:b/>
                <w:color w:val="000000"/>
                <w:sz w:val="24"/>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Merge w:val="restart"/>
            <w:vAlign w:val="center"/>
          </w:tcPr>
          <w:p>
            <w:pPr>
              <w:keepNext w:val="0"/>
              <w:keepLines w:val="0"/>
              <w:suppressLineNumbers w:val="0"/>
              <w:spacing w:before="0" w:beforeAutospacing="0" w:after="0" w:afterAutospacing="0" w:line="312" w:lineRule="auto"/>
              <w:ind w:left="0" w:right="0"/>
              <w:jc w:val="center"/>
              <w:rPr>
                <w:rFonts w:hint="default" w:ascii="仿宋_GB2312" w:hAnsi="仿宋_GB2312" w:eastAsia="仿宋_GB2312" w:cs="仿宋_GB2312"/>
                <w:bCs/>
                <w:color w:val="000000"/>
                <w:sz w:val="24"/>
              </w:rPr>
            </w:pPr>
            <w:r>
              <w:rPr>
                <w:rFonts w:hint="eastAsia" w:ascii="仿宋_GB2312" w:hAnsi="仿宋_GB2312" w:eastAsia="仿宋_GB2312" w:cs="仿宋_GB2312"/>
                <w:bCs/>
                <w:color w:val="000000"/>
                <w:sz w:val="24"/>
              </w:rPr>
              <w:t>技术能力评分35分</w:t>
            </w:r>
          </w:p>
        </w:tc>
        <w:tc>
          <w:tcPr>
            <w:tcW w:w="1023" w:type="dxa"/>
            <w:vAlign w:val="center"/>
          </w:tcPr>
          <w:p>
            <w:pPr>
              <w:keepNext w:val="0"/>
              <w:keepLines w:val="0"/>
              <w:suppressLineNumbers w:val="0"/>
              <w:spacing w:before="0" w:beforeAutospacing="0" w:after="0" w:afterAutospacing="0" w:line="312" w:lineRule="auto"/>
              <w:ind w:left="0" w:right="0"/>
              <w:jc w:val="center"/>
              <w:rPr>
                <w:rFonts w:hint="default" w:ascii="仿宋_GB2312" w:hAnsi="仿宋_GB2312" w:eastAsia="仿宋_GB2312" w:cs="仿宋_GB2312"/>
                <w:bCs/>
                <w:color w:val="000000"/>
                <w:sz w:val="24"/>
              </w:rPr>
            </w:pPr>
            <w:r>
              <w:rPr>
                <w:rFonts w:hint="eastAsia" w:ascii="仿宋_GB2312" w:hAnsi="仿宋_GB2312" w:eastAsia="仿宋_GB2312" w:cs="仿宋_GB2312"/>
                <w:bCs/>
                <w:color w:val="000000"/>
                <w:sz w:val="24"/>
              </w:rPr>
              <w:t>方案</w:t>
            </w:r>
          </w:p>
          <w:p>
            <w:pPr>
              <w:keepNext w:val="0"/>
              <w:keepLines w:val="0"/>
              <w:suppressLineNumbers w:val="0"/>
              <w:spacing w:before="0" w:beforeAutospacing="0" w:after="0" w:afterAutospacing="0" w:line="312" w:lineRule="auto"/>
              <w:ind w:left="0" w:right="0"/>
              <w:jc w:val="center"/>
              <w:rPr>
                <w:rFonts w:hint="default" w:ascii="仿宋_GB2312" w:hAnsi="仿宋_GB2312" w:eastAsia="仿宋_GB2312" w:cs="仿宋_GB2312"/>
                <w:bCs/>
                <w:color w:val="000000"/>
                <w:kern w:val="0"/>
                <w:sz w:val="24"/>
              </w:rPr>
            </w:pPr>
            <w:r>
              <w:rPr>
                <w:rFonts w:hint="eastAsia" w:ascii="仿宋_GB2312" w:hAnsi="仿宋_GB2312" w:eastAsia="仿宋_GB2312" w:cs="仿宋_GB2312"/>
                <w:bCs/>
                <w:color w:val="000000"/>
                <w:sz w:val="24"/>
              </w:rPr>
              <w:t>（15分）</w:t>
            </w:r>
          </w:p>
        </w:tc>
        <w:tc>
          <w:tcPr>
            <w:tcW w:w="4500" w:type="dxa"/>
            <w:vAlign w:val="center"/>
          </w:tcPr>
          <w:p>
            <w:pPr>
              <w:keepNext w:val="0"/>
              <w:keepLines w:val="0"/>
              <w:suppressLineNumbers w:val="0"/>
              <w:spacing w:before="0" w:beforeAutospacing="0" w:after="0" w:afterAutospacing="0" w:line="312" w:lineRule="auto"/>
              <w:ind w:left="0" w:right="0"/>
              <w:jc w:val="left"/>
              <w:rPr>
                <w:rFonts w:hint="default"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（一）评分内容</w:t>
            </w:r>
          </w:p>
          <w:p>
            <w:pPr>
              <w:keepNext w:val="0"/>
              <w:keepLines w:val="0"/>
              <w:suppressLineNumbers w:val="0"/>
              <w:spacing w:before="0" w:beforeAutospacing="0" w:after="0" w:afterAutospacing="0" w:line="312" w:lineRule="auto"/>
              <w:ind w:left="0" w:right="0"/>
              <w:jc w:val="left"/>
              <w:rPr>
                <w:rFonts w:hint="default" w:ascii="仿宋_GB2312" w:hAnsi="仿宋_GB2312" w:eastAsia="仿宋_GB2312" w:cs="仿宋_GB2312"/>
                <w:bCs/>
                <w:color w:val="000000"/>
                <w:sz w:val="24"/>
              </w:rPr>
            </w:pPr>
            <w:r>
              <w:rPr>
                <w:rFonts w:hint="eastAsia" w:ascii="仿宋_GB2312" w:hAnsi="仿宋_GB2312" w:eastAsia="仿宋_GB2312" w:cs="仿宋_GB2312"/>
                <w:bCs/>
                <w:color w:val="000000"/>
                <w:sz w:val="24"/>
              </w:rPr>
              <w:t>1.对项目背景意义、工作目标等的理解深入、准确；</w:t>
            </w:r>
          </w:p>
          <w:p>
            <w:pPr>
              <w:keepNext w:val="0"/>
              <w:keepLines w:val="0"/>
              <w:suppressLineNumbers w:val="0"/>
              <w:spacing w:before="0" w:beforeAutospacing="0" w:after="0" w:afterAutospacing="0" w:line="312" w:lineRule="auto"/>
              <w:ind w:left="0" w:right="0"/>
              <w:jc w:val="left"/>
              <w:rPr>
                <w:rFonts w:hint="default" w:ascii="仿宋_GB2312" w:hAnsi="仿宋_GB2312" w:eastAsia="仿宋_GB2312" w:cs="仿宋_GB2312"/>
                <w:bCs/>
                <w:color w:val="000000"/>
                <w:sz w:val="24"/>
              </w:rPr>
            </w:pPr>
            <w:r>
              <w:rPr>
                <w:rFonts w:hint="eastAsia" w:ascii="仿宋_GB2312" w:hAnsi="仿宋_GB2312" w:eastAsia="仿宋_GB2312" w:cs="仿宋_GB2312"/>
                <w:bCs/>
                <w:color w:val="000000"/>
                <w:sz w:val="24"/>
              </w:rPr>
              <w:t>2.工作内容和成果认识全面、准确；</w:t>
            </w:r>
          </w:p>
          <w:p>
            <w:pPr>
              <w:keepNext w:val="0"/>
              <w:keepLines w:val="0"/>
              <w:suppressLineNumbers w:val="0"/>
              <w:spacing w:before="0" w:beforeAutospacing="0" w:after="0" w:afterAutospacing="0" w:line="312" w:lineRule="auto"/>
              <w:ind w:left="0" w:right="0"/>
              <w:jc w:val="left"/>
              <w:rPr>
                <w:rFonts w:hint="default" w:ascii="仿宋_GB2312" w:hAnsi="仿宋_GB2312" w:eastAsia="仿宋_GB2312" w:cs="仿宋_GB2312"/>
                <w:bCs/>
                <w:color w:val="000000"/>
                <w:sz w:val="24"/>
              </w:rPr>
            </w:pPr>
            <w:r>
              <w:rPr>
                <w:rFonts w:hint="eastAsia" w:ascii="仿宋_GB2312" w:hAnsi="仿宋_GB2312" w:eastAsia="仿宋_GB2312" w:cs="仿宋_GB2312"/>
                <w:bCs/>
                <w:color w:val="000000"/>
                <w:sz w:val="24"/>
              </w:rPr>
              <w:t>3.技术路线清晰合理，工作方法多样。</w:t>
            </w:r>
          </w:p>
          <w:p>
            <w:pPr>
              <w:keepNext w:val="0"/>
              <w:keepLines w:val="0"/>
              <w:suppressLineNumbers w:val="0"/>
              <w:spacing w:before="0" w:beforeAutospacing="0" w:after="0" w:afterAutospacing="0" w:line="312" w:lineRule="auto"/>
              <w:ind w:left="0" w:right="0"/>
              <w:jc w:val="left"/>
              <w:rPr>
                <w:rFonts w:hint="default"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（二）评分标准</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both"/>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根据各投标人的方案的具体响应内容进行评分：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left="0" w:right="0"/>
              <w:jc w:val="both"/>
              <w:textAlignment w:val="auto"/>
              <w:outlineLvl w:val="9"/>
              <w:rPr>
                <w:rFonts w:hint="eastAsia"/>
                <w:highlight w:val="none"/>
                <w:lang w:val="en-US" w:eastAsia="zh-CN"/>
              </w:rPr>
            </w:pPr>
            <w:r>
              <w:rPr>
                <w:rFonts w:hint="eastAsia" w:ascii="仿宋_GB2312" w:hAnsi="仿宋_GB2312" w:eastAsia="仿宋_GB2312" w:cs="仿宋_GB2312"/>
                <w:sz w:val="24"/>
                <w:szCs w:val="24"/>
                <w:highlight w:val="none"/>
                <w:vertAlign w:val="baseline"/>
                <w:lang w:val="en-US" w:eastAsia="zh-CN"/>
              </w:rPr>
              <w:t>1.优：对项目背景意义、工作目标等的理解深入、准确。工作内容和成果深度的认识全面、准确。技术路线清晰合理，工作方法多样。按照12-15分范围评分。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left="0" w:right="0"/>
              <w:jc w:val="both"/>
              <w:textAlignment w:val="auto"/>
              <w:outlineLvl w:val="9"/>
              <w:rPr>
                <w:rFonts w:hint="eastAsia"/>
                <w:highlight w:val="none"/>
                <w:lang w:val="en-US" w:eastAsia="zh-CN"/>
              </w:rPr>
            </w:pPr>
            <w:r>
              <w:rPr>
                <w:rFonts w:hint="eastAsia" w:ascii="仿宋_GB2312" w:hAnsi="仿宋_GB2312" w:eastAsia="仿宋_GB2312" w:cs="仿宋_GB2312"/>
                <w:sz w:val="24"/>
                <w:szCs w:val="24"/>
                <w:highlight w:val="none"/>
                <w:vertAlign w:val="baseline"/>
                <w:lang w:val="en-US" w:eastAsia="zh-CN"/>
              </w:rPr>
              <w:t>2.良：对项目背景意义、工作目标等的理解准确但不够深入。工作内容和成果深度的认识准确但不够全面。技术路线清晰但合理性一般，工作方法相对较少。按照8-11分范围评分。</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both"/>
              <w:textAlignment w:val="auto"/>
              <w:outlineLvl w:val="9"/>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3.中：对项目背景意义、工作目标等的理解相对不够深入、不够准确。工作内容和成果深度的认识相对不够全面、不够准确。技术路线相对不够清晰合理，工作方法单一。按照4-7分范围评分。</w:t>
            </w:r>
          </w:p>
          <w:p>
            <w:pPr>
              <w:keepNext w:val="0"/>
              <w:keepLines w:val="0"/>
              <w:suppressLineNumbers w:val="0"/>
              <w:spacing w:before="0" w:beforeAutospacing="0" w:after="0" w:afterAutospacing="0" w:line="312" w:lineRule="auto"/>
              <w:ind w:left="0" w:right="0"/>
              <w:jc w:val="left"/>
              <w:rPr>
                <w:rFonts w:hint="default" w:ascii="仿宋_GB2312" w:hAnsi="仿宋_GB2312" w:eastAsia="仿宋_GB2312" w:cs="仿宋_GB2312"/>
                <w:bCs/>
                <w:color w:val="000000"/>
                <w:sz w:val="24"/>
              </w:rPr>
            </w:pPr>
            <w:r>
              <w:rPr>
                <w:rFonts w:hint="eastAsia" w:ascii="仿宋_GB2312" w:hAnsi="仿宋_GB2312" w:eastAsia="仿宋_GB2312" w:cs="仿宋_GB2312"/>
                <w:sz w:val="24"/>
                <w:szCs w:val="24"/>
                <w:highlight w:val="none"/>
                <w:vertAlign w:val="baseline"/>
                <w:lang w:val="en-US" w:eastAsia="zh-CN"/>
              </w:rPr>
              <w:t>4.差：对照评分内容方案全面但和项目采购要求不符的或方案不全面的或缺少方案的。不得分。</w:t>
            </w:r>
          </w:p>
        </w:tc>
        <w:tc>
          <w:tcPr>
            <w:tcW w:w="2850" w:type="dxa"/>
            <w:vAlign w:val="center"/>
          </w:tcPr>
          <w:p>
            <w:pPr>
              <w:keepNext w:val="0"/>
              <w:keepLines w:val="0"/>
              <w:suppressLineNumbers w:val="0"/>
              <w:spacing w:before="0" w:beforeAutospacing="0" w:after="0" w:afterAutospacing="0" w:line="312" w:lineRule="auto"/>
              <w:ind w:left="0" w:right="0"/>
              <w:jc w:val="left"/>
              <w:rPr>
                <w:rFonts w:hint="default" w:ascii="仿宋_GB2312" w:hAnsi="仿宋_GB2312" w:eastAsia="仿宋_GB2312" w:cs="仿宋_GB2312"/>
                <w:bCs/>
                <w:color w:val="000000"/>
                <w:sz w:val="24"/>
              </w:rPr>
            </w:pPr>
            <w:r>
              <w:rPr>
                <w:rFonts w:hint="eastAsia" w:ascii="仿宋_GB2312" w:hAnsi="仿宋_GB2312" w:eastAsia="仿宋_GB2312" w:cs="仿宋_GB2312"/>
                <w:bCs/>
                <w:color w:val="000000"/>
                <w:sz w:val="24"/>
              </w:rPr>
              <w:t>采购评审小组评分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Merge w:val="continue"/>
          </w:tcPr>
          <w:p>
            <w:pPr>
              <w:pStyle w:val="7"/>
              <w:keepNext w:val="0"/>
              <w:keepLines w:val="0"/>
              <w:suppressLineNumbers w:val="0"/>
              <w:spacing w:before="0" w:beforeAutospacing="0" w:after="0" w:afterAutospacing="0" w:line="312" w:lineRule="auto"/>
              <w:ind w:left="0" w:right="0" w:firstLine="480"/>
              <w:rPr>
                <w:rFonts w:hint="default" w:ascii="仿宋_GB2312" w:hAnsi="仿宋_GB2312" w:eastAsia="仿宋_GB2312" w:cs="仿宋_GB2312"/>
                <w:sz w:val="24"/>
              </w:rPr>
            </w:pPr>
          </w:p>
        </w:tc>
        <w:tc>
          <w:tcPr>
            <w:tcW w:w="1023" w:type="dxa"/>
            <w:vAlign w:val="center"/>
          </w:tcPr>
          <w:p>
            <w:pPr>
              <w:keepNext w:val="0"/>
              <w:keepLines w:val="0"/>
              <w:suppressLineNumbers w:val="0"/>
              <w:spacing w:before="0" w:beforeAutospacing="0" w:after="0" w:afterAutospacing="0" w:line="312" w:lineRule="auto"/>
              <w:ind w:left="0" w:right="0"/>
              <w:jc w:val="center"/>
              <w:rPr>
                <w:rFonts w:hint="default" w:ascii="仿宋_GB2312" w:hAnsi="仿宋_GB2312" w:eastAsia="仿宋_GB2312" w:cs="仿宋_GB2312"/>
                <w:bCs/>
                <w:color w:val="000000"/>
                <w:sz w:val="24"/>
              </w:rPr>
            </w:pPr>
            <w:r>
              <w:rPr>
                <w:rFonts w:hint="eastAsia" w:ascii="仿宋_GB2312" w:hAnsi="仿宋_GB2312" w:eastAsia="仿宋_GB2312" w:cs="仿宋_GB2312"/>
                <w:bCs/>
                <w:color w:val="000000"/>
                <w:sz w:val="24"/>
              </w:rPr>
              <w:t>重难点分析</w:t>
            </w:r>
          </w:p>
          <w:p>
            <w:pPr>
              <w:keepNext w:val="0"/>
              <w:keepLines w:val="0"/>
              <w:suppressLineNumbers w:val="0"/>
              <w:spacing w:before="0" w:beforeAutospacing="0" w:after="0" w:afterAutospacing="0" w:line="312" w:lineRule="auto"/>
              <w:ind w:left="0" w:right="0"/>
              <w:jc w:val="center"/>
              <w:rPr>
                <w:rFonts w:hint="default" w:ascii="仿宋_GB2312" w:hAnsi="仿宋_GB2312" w:eastAsia="仿宋_GB2312" w:cs="仿宋_GB2312"/>
                <w:bCs/>
                <w:color w:val="000000"/>
                <w:kern w:val="0"/>
                <w:sz w:val="24"/>
              </w:rPr>
            </w:pPr>
            <w:r>
              <w:rPr>
                <w:rFonts w:hint="eastAsia" w:ascii="仿宋_GB2312" w:hAnsi="仿宋_GB2312" w:eastAsia="仿宋_GB2312" w:cs="仿宋_GB2312"/>
                <w:bCs/>
                <w:color w:val="000000"/>
                <w:sz w:val="24"/>
              </w:rPr>
              <w:t>（1</w:t>
            </w:r>
            <w:r>
              <w:rPr>
                <w:rFonts w:hint="default" w:ascii="仿宋_GB2312" w:hAnsi="仿宋_GB2312" w:eastAsia="仿宋_GB2312" w:cs="仿宋_GB2312"/>
                <w:bCs/>
                <w:color w:val="000000"/>
                <w:sz w:val="24"/>
              </w:rPr>
              <w:t>0</w:t>
            </w:r>
            <w:r>
              <w:rPr>
                <w:rFonts w:hint="eastAsia" w:ascii="仿宋_GB2312" w:hAnsi="仿宋_GB2312" w:eastAsia="仿宋_GB2312" w:cs="仿宋_GB2312"/>
                <w:bCs/>
                <w:color w:val="000000"/>
                <w:sz w:val="24"/>
              </w:rPr>
              <w:t>分）</w:t>
            </w:r>
          </w:p>
        </w:tc>
        <w:tc>
          <w:tcPr>
            <w:tcW w:w="4500" w:type="dxa"/>
            <w:vAlign w:val="center"/>
          </w:tcPr>
          <w:p>
            <w:pPr>
              <w:keepNext w:val="0"/>
              <w:keepLines w:val="0"/>
              <w:suppressLineNumbers w:val="0"/>
              <w:spacing w:before="0" w:beforeAutospacing="0" w:after="0" w:afterAutospacing="0" w:line="312" w:lineRule="auto"/>
              <w:ind w:left="0" w:right="0"/>
              <w:jc w:val="left"/>
              <w:rPr>
                <w:rFonts w:hint="default"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（一）评分内容</w:t>
            </w:r>
          </w:p>
          <w:p>
            <w:pPr>
              <w:keepNext w:val="0"/>
              <w:keepLines w:val="0"/>
              <w:suppressLineNumbers w:val="0"/>
              <w:spacing w:before="0" w:beforeAutospacing="0" w:after="0" w:afterAutospacing="0" w:line="312" w:lineRule="auto"/>
              <w:ind w:left="0" w:right="0"/>
              <w:jc w:val="left"/>
              <w:rPr>
                <w:rFonts w:hint="default" w:ascii="仿宋_GB2312" w:hAnsi="仿宋_GB2312" w:eastAsia="仿宋_GB2312" w:cs="仿宋_GB2312"/>
                <w:bCs/>
                <w:color w:val="000000"/>
                <w:sz w:val="24"/>
              </w:rPr>
            </w:pPr>
            <w:r>
              <w:rPr>
                <w:rFonts w:hint="eastAsia" w:ascii="仿宋_GB2312" w:hAnsi="仿宋_GB2312" w:eastAsia="仿宋_GB2312" w:cs="仿宋_GB2312"/>
                <w:bCs/>
                <w:color w:val="000000"/>
                <w:sz w:val="24"/>
              </w:rPr>
              <w:t>1.对项目重点、难点</w:t>
            </w:r>
            <w:r>
              <w:rPr>
                <w:rFonts w:hint="eastAsia" w:ascii="仿宋_GB2312" w:hAnsi="仿宋_GB2312" w:eastAsia="仿宋_GB2312" w:cs="仿宋_GB2312"/>
                <w:bCs/>
                <w:color w:val="000000"/>
                <w:sz w:val="24"/>
                <w:lang w:eastAsia="zh-CN"/>
              </w:rPr>
              <w:t>问题</w:t>
            </w:r>
            <w:r>
              <w:rPr>
                <w:rFonts w:hint="eastAsia" w:ascii="仿宋_GB2312" w:hAnsi="仿宋_GB2312" w:eastAsia="仿宋_GB2312" w:cs="仿宋_GB2312"/>
                <w:bCs/>
                <w:color w:val="000000"/>
                <w:sz w:val="24"/>
              </w:rPr>
              <w:t>挖掘分析准确到位；</w:t>
            </w:r>
          </w:p>
          <w:p>
            <w:pPr>
              <w:keepNext w:val="0"/>
              <w:keepLines w:val="0"/>
              <w:suppressLineNumbers w:val="0"/>
              <w:spacing w:before="0" w:beforeAutospacing="0" w:after="0" w:afterAutospacing="0" w:line="312" w:lineRule="auto"/>
              <w:ind w:left="0" w:right="0"/>
              <w:jc w:val="left"/>
              <w:rPr>
                <w:rFonts w:hint="default" w:ascii="仿宋_GB2312" w:hAnsi="仿宋_GB2312" w:eastAsia="仿宋_GB2312" w:cs="仿宋_GB2312"/>
                <w:bCs/>
                <w:color w:val="000000"/>
                <w:sz w:val="24"/>
              </w:rPr>
            </w:pPr>
            <w:r>
              <w:rPr>
                <w:rFonts w:hint="eastAsia" w:ascii="仿宋_GB2312" w:hAnsi="仿宋_GB2312" w:eastAsia="仿宋_GB2312" w:cs="仿宋_GB2312"/>
                <w:bCs/>
                <w:color w:val="000000"/>
                <w:sz w:val="24"/>
              </w:rPr>
              <w:t>2.应对措施得当，具有可操作性；</w:t>
            </w:r>
          </w:p>
          <w:p>
            <w:pPr>
              <w:keepNext w:val="0"/>
              <w:keepLines w:val="0"/>
              <w:suppressLineNumbers w:val="0"/>
              <w:spacing w:before="0" w:beforeAutospacing="0" w:after="0" w:afterAutospacing="0" w:line="312" w:lineRule="auto"/>
              <w:ind w:left="0" w:right="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3.相关建议合理、有针对性。</w:t>
            </w:r>
          </w:p>
          <w:p>
            <w:pPr>
              <w:keepNext w:val="0"/>
              <w:keepLines w:val="0"/>
              <w:suppressLineNumbers w:val="0"/>
              <w:spacing w:before="0" w:beforeAutospacing="0" w:after="0" w:afterAutospacing="0" w:line="312" w:lineRule="auto"/>
              <w:ind w:left="0" w:right="0"/>
              <w:jc w:val="left"/>
              <w:rPr>
                <w:rFonts w:hint="default"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（二）评分标准</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both"/>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根据投标人提供的项目重点难点分析、措施或建议等响应内容评分：</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both"/>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1.优：项目重点、难点问题挖掘和分析符合实际、准确到位。应对措施得当，具有可操作性或建议合理、有针对性。按照12-15分范围评分。；</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both"/>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2.良：项目重点、难点问题挖掘和分析符合实际但不够准确到位。应对措施得当，但可操作性一般或建议合理、但针对性不强。按照8-11分范围评分；</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both"/>
              <w:textAlignment w:val="auto"/>
              <w:outlineLvl w:val="9"/>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3.中：项目重点、难点问题挖掘和分析相对不够符合实际、不够准确到位。应对措施相对不够得当，相对不具有可操作性或建议相对不够合理、不够有针对性。按照4-7分范围评分。</w:t>
            </w:r>
          </w:p>
          <w:p>
            <w:pPr>
              <w:keepNext w:val="0"/>
              <w:keepLines w:val="0"/>
              <w:suppressLineNumbers w:val="0"/>
              <w:spacing w:before="0" w:beforeAutospacing="0" w:after="0" w:afterAutospacing="0" w:line="312" w:lineRule="auto"/>
              <w:ind w:left="0" w:right="0"/>
              <w:jc w:val="left"/>
              <w:rPr>
                <w:rFonts w:hint="default" w:ascii="仿宋_GB2312" w:hAnsi="仿宋_GB2312" w:eastAsia="仿宋_GB2312" w:cs="仿宋_GB2312"/>
                <w:bCs/>
                <w:color w:val="000000"/>
                <w:sz w:val="24"/>
              </w:rPr>
            </w:pPr>
            <w:r>
              <w:rPr>
                <w:rFonts w:hint="eastAsia" w:ascii="仿宋_GB2312" w:hAnsi="仿宋_GB2312" w:eastAsia="仿宋_GB2312" w:cs="仿宋_GB2312"/>
                <w:sz w:val="24"/>
                <w:szCs w:val="24"/>
                <w:highlight w:val="none"/>
                <w:vertAlign w:val="baseline"/>
                <w:lang w:val="en-US" w:eastAsia="zh-CN"/>
              </w:rPr>
              <w:t>4.差：对照评分内容，内容全面但和项目采购要求不符的或板块内容不全面的或完全缺少重点难点分析的。不得分。</w:t>
            </w:r>
          </w:p>
        </w:tc>
        <w:tc>
          <w:tcPr>
            <w:tcW w:w="2850" w:type="dxa"/>
            <w:vAlign w:val="center"/>
          </w:tcPr>
          <w:p>
            <w:pPr>
              <w:keepNext w:val="0"/>
              <w:keepLines w:val="0"/>
              <w:suppressLineNumbers w:val="0"/>
              <w:spacing w:before="0" w:beforeAutospacing="0" w:after="0" w:afterAutospacing="0" w:line="312" w:lineRule="auto"/>
              <w:ind w:left="0" w:right="0"/>
              <w:jc w:val="left"/>
              <w:rPr>
                <w:rFonts w:hint="default" w:ascii="仿宋_GB2312" w:hAnsi="仿宋_GB2312" w:eastAsia="仿宋_GB2312" w:cs="仿宋_GB2312"/>
                <w:bCs/>
                <w:color w:val="000000"/>
                <w:sz w:val="24"/>
              </w:rPr>
            </w:pPr>
            <w:r>
              <w:rPr>
                <w:rFonts w:hint="eastAsia" w:ascii="仿宋_GB2312" w:hAnsi="仿宋_GB2312" w:eastAsia="仿宋_GB2312" w:cs="仿宋_GB2312"/>
                <w:bCs/>
                <w:color w:val="000000"/>
                <w:sz w:val="24"/>
              </w:rPr>
              <w:t>采购评审小组评分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Merge w:val="continue"/>
          </w:tcPr>
          <w:p>
            <w:pPr>
              <w:pStyle w:val="7"/>
              <w:keepNext w:val="0"/>
              <w:keepLines w:val="0"/>
              <w:suppressLineNumbers w:val="0"/>
              <w:spacing w:before="0" w:beforeAutospacing="0" w:after="0" w:afterAutospacing="0" w:line="312" w:lineRule="auto"/>
              <w:ind w:left="0" w:right="0" w:firstLine="480"/>
              <w:rPr>
                <w:rFonts w:hint="default" w:ascii="仿宋_GB2312" w:hAnsi="仿宋_GB2312" w:eastAsia="仿宋_GB2312" w:cs="仿宋_GB2312"/>
                <w:sz w:val="24"/>
              </w:rPr>
            </w:pPr>
          </w:p>
        </w:tc>
        <w:tc>
          <w:tcPr>
            <w:tcW w:w="1023" w:type="dxa"/>
            <w:vAlign w:val="center"/>
          </w:tcPr>
          <w:p>
            <w:pPr>
              <w:keepNext w:val="0"/>
              <w:keepLines w:val="0"/>
              <w:suppressLineNumbers w:val="0"/>
              <w:spacing w:before="0" w:beforeAutospacing="0" w:after="0" w:afterAutospacing="0" w:line="312" w:lineRule="auto"/>
              <w:ind w:left="0" w:right="0"/>
              <w:jc w:val="center"/>
              <w:rPr>
                <w:rFonts w:hint="default" w:ascii="仿宋_GB2312" w:hAnsi="仿宋_GB2312" w:eastAsia="仿宋_GB2312" w:cs="仿宋_GB2312"/>
                <w:bCs/>
                <w:color w:val="000000"/>
                <w:sz w:val="24"/>
              </w:rPr>
            </w:pPr>
            <w:r>
              <w:rPr>
                <w:rFonts w:hint="eastAsia" w:ascii="仿宋_GB2312" w:hAnsi="仿宋_GB2312" w:eastAsia="仿宋_GB2312" w:cs="仿宋_GB2312"/>
                <w:bCs/>
                <w:color w:val="000000"/>
                <w:sz w:val="24"/>
              </w:rPr>
              <w:t>质量保障措施及方案（10分）</w:t>
            </w:r>
          </w:p>
        </w:tc>
        <w:tc>
          <w:tcPr>
            <w:tcW w:w="4500" w:type="dxa"/>
            <w:vAlign w:val="center"/>
          </w:tcPr>
          <w:p>
            <w:pPr>
              <w:keepNext w:val="0"/>
              <w:keepLines w:val="0"/>
              <w:suppressLineNumbers w:val="0"/>
              <w:spacing w:before="0" w:beforeAutospacing="0" w:after="0" w:afterAutospacing="0" w:line="312" w:lineRule="auto"/>
              <w:ind w:left="0" w:right="0"/>
              <w:jc w:val="left"/>
              <w:rPr>
                <w:rFonts w:hint="default"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（一）评分内容</w:t>
            </w:r>
          </w:p>
          <w:p>
            <w:pPr>
              <w:keepNext w:val="0"/>
              <w:keepLines w:val="0"/>
              <w:suppressLineNumbers w:val="0"/>
              <w:spacing w:before="0" w:beforeAutospacing="0" w:after="0" w:afterAutospacing="0" w:line="312" w:lineRule="auto"/>
              <w:ind w:left="0" w:right="0"/>
              <w:jc w:val="left"/>
              <w:rPr>
                <w:rFonts w:hint="default" w:ascii="仿宋_GB2312" w:hAnsi="仿宋_GB2312" w:eastAsia="仿宋_GB2312" w:cs="仿宋_GB2312"/>
                <w:bCs/>
                <w:color w:val="000000"/>
                <w:sz w:val="24"/>
              </w:rPr>
            </w:pPr>
            <w:r>
              <w:rPr>
                <w:rFonts w:hint="eastAsia" w:ascii="仿宋_GB2312" w:hAnsi="仿宋_GB2312" w:eastAsia="仿宋_GB2312" w:cs="仿宋_GB2312"/>
                <w:bCs/>
                <w:color w:val="000000"/>
                <w:sz w:val="24"/>
              </w:rPr>
              <w:t>1.项目进度控制和沟通协调机制合理；</w:t>
            </w:r>
          </w:p>
          <w:p>
            <w:pPr>
              <w:keepNext w:val="0"/>
              <w:keepLines w:val="0"/>
              <w:suppressLineNumbers w:val="0"/>
              <w:spacing w:before="0" w:beforeAutospacing="0" w:after="0" w:afterAutospacing="0" w:line="312" w:lineRule="auto"/>
              <w:ind w:left="0" w:right="0"/>
              <w:jc w:val="left"/>
              <w:rPr>
                <w:rFonts w:hint="default" w:ascii="仿宋_GB2312" w:hAnsi="仿宋_GB2312" w:eastAsia="仿宋_GB2312" w:cs="仿宋_GB2312"/>
                <w:bCs/>
                <w:color w:val="000000"/>
                <w:sz w:val="24"/>
              </w:rPr>
            </w:pPr>
            <w:r>
              <w:rPr>
                <w:rFonts w:hint="eastAsia" w:ascii="仿宋_GB2312" w:hAnsi="仿宋_GB2312" w:eastAsia="仿宋_GB2312" w:cs="仿宋_GB2312"/>
                <w:bCs/>
                <w:color w:val="000000"/>
                <w:sz w:val="24"/>
              </w:rPr>
              <w:t>2.项目实施涉及的保障措施全面；</w:t>
            </w:r>
          </w:p>
          <w:p>
            <w:pPr>
              <w:keepNext w:val="0"/>
              <w:keepLines w:val="0"/>
              <w:suppressLineNumbers w:val="0"/>
              <w:spacing w:before="0" w:beforeAutospacing="0" w:after="0" w:afterAutospacing="0" w:line="312" w:lineRule="auto"/>
              <w:ind w:left="0" w:right="0"/>
              <w:jc w:val="left"/>
              <w:rPr>
                <w:rFonts w:hint="default" w:ascii="仿宋_GB2312" w:hAnsi="仿宋_GB2312" w:eastAsia="仿宋_GB2312" w:cs="仿宋_GB2312"/>
                <w:bCs/>
                <w:color w:val="000000"/>
                <w:sz w:val="24"/>
              </w:rPr>
            </w:pPr>
            <w:r>
              <w:rPr>
                <w:rFonts w:hint="eastAsia" w:ascii="仿宋_GB2312" w:hAnsi="仿宋_GB2312" w:eastAsia="仿宋_GB2312" w:cs="仿宋_GB2312"/>
                <w:bCs/>
                <w:color w:val="000000"/>
                <w:sz w:val="24"/>
              </w:rPr>
              <w:t>3.项目整体质量控制有完整方案。</w:t>
            </w:r>
          </w:p>
          <w:p>
            <w:pPr>
              <w:keepNext w:val="0"/>
              <w:keepLines w:val="0"/>
              <w:suppressLineNumbers w:val="0"/>
              <w:spacing w:before="0" w:beforeAutospacing="0" w:after="0" w:afterAutospacing="0" w:line="312" w:lineRule="auto"/>
              <w:ind w:left="0" w:right="0"/>
              <w:jc w:val="left"/>
              <w:rPr>
                <w:rFonts w:hint="default"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（二）评分标准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0" w:firstLineChars="0"/>
              <w:jc w:val="left"/>
              <w:textAlignment w:val="auto"/>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lang w:eastAsia="zh-CN"/>
              </w:rPr>
              <w:t>根据</w:t>
            </w:r>
            <w:r>
              <w:rPr>
                <w:rFonts w:hint="eastAsia" w:ascii="仿宋_GB2312" w:hAnsi="仿宋_GB2312" w:eastAsia="仿宋_GB2312" w:cs="仿宋_GB2312"/>
                <w:bCs/>
                <w:color w:val="000000"/>
                <w:sz w:val="24"/>
                <w:szCs w:val="24"/>
                <w:highlight w:val="none"/>
              </w:rPr>
              <w:t>投标人提供的</w:t>
            </w:r>
            <w:r>
              <w:rPr>
                <w:rFonts w:hint="eastAsia" w:ascii="仿宋_GB2312" w:hAnsi="仿宋_GB2312" w:eastAsia="仿宋_GB2312" w:cs="仿宋_GB2312"/>
                <w:bCs/>
                <w:color w:val="000000"/>
                <w:sz w:val="24"/>
                <w:szCs w:val="24"/>
                <w:highlight w:val="none"/>
                <w:lang w:eastAsia="zh-CN"/>
              </w:rPr>
              <w:t>项目进度控制机制、</w:t>
            </w:r>
            <w:r>
              <w:rPr>
                <w:rFonts w:hint="eastAsia" w:ascii="仿宋_GB2312" w:hAnsi="仿宋_GB2312" w:eastAsia="仿宋_GB2312" w:cs="仿宋_GB2312"/>
                <w:bCs/>
                <w:color w:val="000000"/>
                <w:sz w:val="24"/>
                <w:szCs w:val="24"/>
                <w:highlight w:val="none"/>
              </w:rPr>
              <w:t>质量保障措施响应内容</w:t>
            </w:r>
            <w:r>
              <w:rPr>
                <w:rFonts w:hint="eastAsia" w:ascii="仿宋_GB2312" w:hAnsi="仿宋_GB2312" w:eastAsia="仿宋_GB2312" w:cs="仿宋_GB2312"/>
                <w:bCs/>
                <w:color w:val="000000"/>
                <w:sz w:val="24"/>
                <w:szCs w:val="24"/>
                <w:highlight w:val="none"/>
                <w:lang w:eastAsia="zh-CN"/>
              </w:rPr>
              <w:t>进行评分</w:t>
            </w:r>
            <w:r>
              <w:rPr>
                <w:rFonts w:hint="eastAsia" w:ascii="仿宋_GB2312" w:hAnsi="仿宋_GB2312" w:eastAsia="仿宋_GB2312" w:cs="仿宋_GB2312"/>
                <w:bCs/>
                <w:color w:val="000000"/>
                <w:sz w:val="24"/>
                <w:szCs w:val="24"/>
                <w:highlight w:val="none"/>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0" w:firstLineChars="0"/>
              <w:jc w:val="left"/>
              <w:textAlignment w:val="auto"/>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1.优：项目进度控制机制合理</w:t>
            </w:r>
            <w:r>
              <w:rPr>
                <w:rFonts w:hint="eastAsia" w:ascii="仿宋_GB2312" w:hAnsi="仿宋_GB2312" w:eastAsia="仿宋_GB2312" w:cs="仿宋_GB2312"/>
                <w:bCs/>
                <w:color w:val="000000"/>
                <w:sz w:val="24"/>
                <w:szCs w:val="24"/>
                <w:highlight w:val="none"/>
                <w:lang w:eastAsia="zh-CN"/>
              </w:rPr>
              <w:t>，</w:t>
            </w:r>
            <w:r>
              <w:rPr>
                <w:rFonts w:hint="eastAsia" w:ascii="仿宋_GB2312" w:hAnsi="仿宋_GB2312" w:eastAsia="仿宋_GB2312" w:cs="仿宋_GB2312"/>
                <w:bCs/>
                <w:color w:val="000000"/>
                <w:sz w:val="24"/>
                <w:szCs w:val="24"/>
                <w:highlight w:val="none"/>
              </w:rPr>
              <w:t>项目实施涉及的</w:t>
            </w:r>
            <w:r>
              <w:rPr>
                <w:rFonts w:hint="eastAsia" w:ascii="仿宋_GB2312" w:hAnsi="仿宋_GB2312" w:eastAsia="仿宋_GB2312" w:cs="仿宋_GB2312"/>
                <w:bCs/>
                <w:color w:val="000000"/>
                <w:sz w:val="24"/>
                <w:szCs w:val="24"/>
                <w:highlight w:val="none"/>
                <w:lang w:eastAsia="zh-CN"/>
              </w:rPr>
              <w:t>质量</w:t>
            </w:r>
            <w:r>
              <w:rPr>
                <w:rFonts w:hint="eastAsia" w:ascii="仿宋_GB2312" w:hAnsi="仿宋_GB2312" w:eastAsia="仿宋_GB2312" w:cs="仿宋_GB2312"/>
                <w:bCs/>
                <w:color w:val="000000"/>
                <w:sz w:val="24"/>
                <w:szCs w:val="24"/>
                <w:highlight w:val="none"/>
              </w:rPr>
              <w:t>保障措施全面</w:t>
            </w:r>
            <w:r>
              <w:rPr>
                <w:rFonts w:hint="eastAsia" w:ascii="仿宋_GB2312" w:hAnsi="仿宋_GB2312" w:eastAsia="仿宋_GB2312" w:cs="仿宋_GB2312"/>
                <w:bCs/>
                <w:color w:val="000000"/>
                <w:sz w:val="24"/>
                <w:szCs w:val="24"/>
                <w:highlight w:val="none"/>
                <w:lang w:eastAsia="zh-CN"/>
              </w:rPr>
              <w:t>、具有可行性。按照</w:t>
            </w:r>
            <w:r>
              <w:rPr>
                <w:rFonts w:hint="eastAsia" w:ascii="仿宋_GB2312" w:hAnsi="仿宋_GB2312" w:eastAsia="仿宋_GB2312" w:cs="仿宋_GB2312"/>
                <w:bCs/>
                <w:color w:val="000000"/>
                <w:sz w:val="24"/>
                <w:szCs w:val="24"/>
                <w:highlight w:val="none"/>
                <w:lang w:val="en-US" w:eastAsia="zh-CN"/>
              </w:rPr>
              <w:t>8-10分范围评分</w:t>
            </w:r>
            <w:r>
              <w:rPr>
                <w:rFonts w:hint="eastAsia" w:ascii="仿宋_GB2312" w:hAnsi="仿宋_GB2312" w:eastAsia="仿宋_GB2312" w:cs="仿宋_GB2312"/>
                <w:bCs/>
                <w:color w:val="000000"/>
                <w:sz w:val="24"/>
                <w:szCs w:val="24"/>
                <w:highlight w:val="none"/>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0" w:firstLineChars="0"/>
              <w:jc w:val="left"/>
              <w:textAlignment w:val="auto"/>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2.良：项目进度控制机制合理</w:t>
            </w:r>
            <w:r>
              <w:rPr>
                <w:rFonts w:hint="eastAsia" w:ascii="仿宋_GB2312" w:hAnsi="仿宋_GB2312" w:eastAsia="仿宋_GB2312" w:cs="仿宋_GB2312"/>
                <w:bCs/>
                <w:color w:val="000000"/>
                <w:sz w:val="24"/>
                <w:szCs w:val="24"/>
                <w:highlight w:val="none"/>
                <w:lang w:eastAsia="zh-CN"/>
              </w:rPr>
              <w:t>，</w:t>
            </w:r>
            <w:r>
              <w:rPr>
                <w:rFonts w:hint="eastAsia" w:ascii="仿宋_GB2312" w:hAnsi="仿宋_GB2312" w:eastAsia="仿宋_GB2312" w:cs="仿宋_GB2312"/>
                <w:bCs/>
                <w:color w:val="000000"/>
                <w:sz w:val="24"/>
                <w:szCs w:val="24"/>
                <w:highlight w:val="none"/>
              </w:rPr>
              <w:t>项目实施涉及的</w:t>
            </w:r>
            <w:r>
              <w:rPr>
                <w:rFonts w:hint="eastAsia" w:ascii="仿宋_GB2312" w:hAnsi="仿宋_GB2312" w:eastAsia="仿宋_GB2312" w:cs="仿宋_GB2312"/>
                <w:bCs/>
                <w:color w:val="000000"/>
                <w:sz w:val="24"/>
                <w:szCs w:val="24"/>
                <w:highlight w:val="none"/>
                <w:lang w:eastAsia="zh-CN"/>
              </w:rPr>
              <w:t>质量</w:t>
            </w:r>
            <w:r>
              <w:rPr>
                <w:rFonts w:hint="eastAsia" w:ascii="仿宋_GB2312" w:hAnsi="仿宋_GB2312" w:eastAsia="仿宋_GB2312" w:cs="仿宋_GB2312"/>
                <w:bCs/>
                <w:color w:val="000000"/>
                <w:sz w:val="24"/>
                <w:szCs w:val="24"/>
                <w:highlight w:val="none"/>
              </w:rPr>
              <w:t>保障措施</w:t>
            </w:r>
            <w:r>
              <w:rPr>
                <w:rFonts w:hint="eastAsia" w:ascii="仿宋_GB2312" w:hAnsi="仿宋_GB2312" w:eastAsia="仿宋_GB2312" w:cs="仿宋_GB2312"/>
                <w:bCs/>
                <w:color w:val="000000"/>
                <w:sz w:val="24"/>
                <w:szCs w:val="24"/>
                <w:highlight w:val="none"/>
                <w:lang w:eastAsia="zh-CN"/>
              </w:rPr>
              <w:t>相对不</w:t>
            </w:r>
            <w:r>
              <w:rPr>
                <w:rFonts w:hint="eastAsia" w:ascii="仿宋_GB2312" w:hAnsi="仿宋_GB2312" w:eastAsia="仿宋_GB2312" w:cs="仿宋_GB2312"/>
                <w:bCs/>
                <w:color w:val="000000"/>
                <w:sz w:val="24"/>
                <w:szCs w:val="24"/>
                <w:highlight w:val="none"/>
              </w:rPr>
              <w:t>全面</w:t>
            </w:r>
            <w:r>
              <w:rPr>
                <w:rFonts w:hint="eastAsia" w:ascii="仿宋_GB2312" w:hAnsi="仿宋_GB2312" w:eastAsia="仿宋_GB2312" w:cs="仿宋_GB2312"/>
                <w:bCs/>
                <w:color w:val="000000"/>
                <w:sz w:val="24"/>
                <w:szCs w:val="24"/>
                <w:highlight w:val="none"/>
                <w:lang w:eastAsia="zh-CN"/>
              </w:rPr>
              <w:t>，可行性相对一般。按照</w:t>
            </w:r>
            <w:r>
              <w:rPr>
                <w:rFonts w:hint="eastAsia" w:ascii="仿宋_GB2312" w:hAnsi="仿宋_GB2312" w:eastAsia="仿宋_GB2312" w:cs="仿宋_GB2312"/>
                <w:bCs/>
                <w:color w:val="000000"/>
                <w:sz w:val="24"/>
                <w:szCs w:val="24"/>
                <w:highlight w:val="none"/>
                <w:lang w:val="en-US" w:eastAsia="zh-CN"/>
              </w:rPr>
              <w:t>5-7分范围评分；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12" w:lineRule="auto"/>
              <w:ind w:left="0" w:right="0" w:firstLine="0" w:firstLineChars="0"/>
              <w:jc w:val="left"/>
              <w:textAlignment w:val="auto"/>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3.中：项目进度控制</w:t>
            </w:r>
            <w:r>
              <w:rPr>
                <w:rFonts w:hint="eastAsia" w:ascii="仿宋_GB2312" w:hAnsi="仿宋_GB2312" w:eastAsia="仿宋_GB2312" w:cs="仿宋_GB2312"/>
                <w:bCs/>
                <w:color w:val="000000"/>
                <w:sz w:val="24"/>
                <w:szCs w:val="24"/>
                <w:highlight w:val="none"/>
                <w:lang w:eastAsia="zh-CN"/>
              </w:rPr>
              <w:t>机制合理性相对</w:t>
            </w:r>
            <w:r>
              <w:rPr>
                <w:rFonts w:hint="eastAsia" w:ascii="仿宋_GB2312" w:hAnsi="仿宋_GB2312" w:eastAsia="仿宋_GB2312" w:cs="仿宋_GB2312"/>
                <w:bCs/>
                <w:color w:val="000000"/>
                <w:sz w:val="24"/>
                <w:szCs w:val="24"/>
                <w:highlight w:val="none"/>
              </w:rPr>
              <w:t>一般，</w:t>
            </w:r>
            <w:r>
              <w:rPr>
                <w:rFonts w:hint="eastAsia" w:ascii="仿宋_GB2312" w:hAnsi="仿宋_GB2312" w:eastAsia="仿宋_GB2312" w:cs="仿宋_GB2312"/>
                <w:bCs/>
                <w:color w:val="000000"/>
                <w:sz w:val="24"/>
                <w:szCs w:val="24"/>
                <w:highlight w:val="none"/>
                <w:lang w:eastAsia="zh-CN"/>
              </w:rPr>
              <w:t>质量保障</w:t>
            </w:r>
            <w:r>
              <w:rPr>
                <w:rFonts w:hint="eastAsia" w:ascii="仿宋_GB2312" w:hAnsi="仿宋_GB2312" w:eastAsia="仿宋_GB2312" w:cs="仿宋_GB2312"/>
                <w:bCs/>
                <w:color w:val="000000"/>
                <w:sz w:val="24"/>
                <w:szCs w:val="24"/>
                <w:highlight w:val="none"/>
              </w:rPr>
              <w:t>措施</w:t>
            </w:r>
            <w:r>
              <w:rPr>
                <w:rFonts w:hint="eastAsia" w:ascii="仿宋_GB2312" w:hAnsi="仿宋_GB2312" w:eastAsia="仿宋_GB2312" w:cs="仿宋_GB2312"/>
                <w:bCs/>
                <w:color w:val="000000"/>
                <w:sz w:val="24"/>
                <w:szCs w:val="24"/>
                <w:highlight w:val="none"/>
                <w:lang w:eastAsia="zh-CN"/>
              </w:rPr>
              <w:t>相对不</w:t>
            </w:r>
            <w:r>
              <w:rPr>
                <w:rFonts w:hint="eastAsia" w:ascii="仿宋_GB2312" w:hAnsi="仿宋_GB2312" w:eastAsia="仿宋_GB2312" w:cs="仿宋_GB2312"/>
                <w:bCs/>
                <w:color w:val="000000"/>
                <w:sz w:val="24"/>
                <w:szCs w:val="24"/>
                <w:highlight w:val="none"/>
              </w:rPr>
              <w:t>全面、</w:t>
            </w:r>
            <w:r>
              <w:rPr>
                <w:rFonts w:hint="eastAsia" w:ascii="仿宋_GB2312" w:hAnsi="仿宋_GB2312" w:eastAsia="仿宋_GB2312" w:cs="仿宋_GB2312"/>
                <w:bCs/>
                <w:color w:val="000000"/>
                <w:sz w:val="24"/>
                <w:szCs w:val="24"/>
                <w:highlight w:val="none"/>
                <w:lang w:eastAsia="zh-CN"/>
              </w:rPr>
              <w:t>可行性相对一般，按照</w:t>
            </w:r>
            <w:r>
              <w:rPr>
                <w:rFonts w:hint="eastAsia" w:ascii="仿宋_GB2312" w:hAnsi="仿宋_GB2312" w:eastAsia="仿宋_GB2312" w:cs="仿宋_GB2312"/>
                <w:bCs/>
                <w:color w:val="000000"/>
                <w:sz w:val="24"/>
                <w:szCs w:val="24"/>
                <w:highlight w:val="none"/>
                <w:lang w:val="en-US" w:eastAsia="zh-CN"/>
              </w:rPr>
              <w:t>2-4分范围评分</w:t>
            </w:r>
            <w:r>
              <w:rPr>
                <w:rFonts w:hint="eastAsia" w:ascii="仿宋_GB2312" w:hAnsi="仿宋_GB2312" w:eastAsia="仿宋_GB2312" w:cs="仿宋_GB2312"/>
                <w:bCs/>
                <w:color w:val="000000"/>
                <w:sz w:val="24"/>
                <w:szCs w:val="24"/>
                <w:highlight w:val="none"/>
              </w:rPr>
              <w:t>；</w:t>
            </w:r>
          </w:p>
          <w:p>
            <w:pPr>
              <w:keepNext w:val="0"/>
              <w:keepLines w:val="0"/>
              <w:suppressLineNumbers w:val="0"/>
              <w:spacing w:before="0" w:beforeAutospacing="0" w:after="0" w:afterAutospacing="0" w:line="312" w:lineRule="auto"/>
              <w:ind w:left="0" w:right="0"/>
              <w:jc w:val="left"/>
              <w:rPr>
                <w:rFonts w:hint="default" w:ascii="仿宋_GB2312" w:hAnsi="仿宋_GB2312" w:eastAsia="仿宋_GB2312" w:cs="仿宋_GB2312"/>
                <w:bCs/>
                <w:color w:val="000000"/>
                <w:sz w:val="24"/>
              </w:rPr>
            </w:pPr>
            <w:r>
              <w:rPr>
                <w:rFonts w:hint="eastAsia" w:ascii="仿宋_GB2312" w:hAnsi="仿宋_GB2312" w:eastAsia="仿宋_GB2312" w:cs="仿宋_GB2312"/>
                <w:bCs/>
                <w:color w:val="000000"/>
                <w:sz w:val="24"/>
                <w:szCs w:val="24"/>
                <w:highlight w:val="none"/>
              </w:rPr>
              <w:t>4.差：</w:t>
            </w:r>
            <w:r>
              <w:rPr>
                <w:rFonts w:hint="eastAsia" w:ascii="仿宋_GB2312" w:hAnsi="仿宋_GB2312" w:eastAsia="仿宋_GB2312" w:cs="仿宋_GB2312"/>
                <w:bCs/>
                <w:color w:val="000000"/>
                <w:sz w:val="24"/>
                <w:szCs w:val="24"/>
                <w:highlight w:val="none"/>
                <w:lang w:eastAsia="zh-CN"/>
              </w:rPr>
              <w:t>对照评分内容，内容全面但和项目内容要求不符的或内容不全面的或没有提供项目质量保障措施的</w:t>
            </w:r>
            <w:r>
              <w:rPr>
                <w:rFonts w:hint="eastAsia" w:ascii="仿宋_GB2312" w:hAnsi="仿宋_GB2312" w:eastAsia="仿宋_GB2312" w:cs="仿宋_GB2312"/>
                <w:bCs/>
                <w:color w:val="000000"/>
                <w:sz w:val="24"/>
                <w:szCs w:val="24"/>
                <w:highlight w:val="none"/>
              </w:rPr>
              <w:t>，</w:t>
            </w:r>
            <w:r>
              <w:rPr>
                <w:rFonts w:hint="eastAsia" w:ascii="仿宋_GB2312" w:hAnsi="仿宋_GB2312" w:eastAsia="仿宋_GB2312" w:cs="仿宋_GB2312"/>
                <w:bCs/>
                <w:color w:val="000000"/>
                <w:sz w:val="24"/>
                <w:szCs w:val="24"/>
                <w:highlight w:val="none"/>
                <w:lang w:eastAsia="zh-CN"/>
              </w:rPr>
              <w:t>不得分。</w:t>
            </w:r>
          </w:p>
        </w:tc>
        <w:tc>
          <w:tcPr>
            <w:tcW w:w="2850" w:type="dxa"/>
            <w:vAlign w:val="center"/>
          </w:tcPr>
          <w:p>
            <w:pPr>
              <w:keepNext w:val="0"/>
              <w:keepLines w:val="0"/>
              <w:suppressLineNumbers w:val="0"/>
              <w:spacing w:before="0" w:beforeAutospacing="0" w:after="0" w:afterAutospacing="0" w:line="312" w:lineRule="auto"/>
              <w:ind w:left="0" w:right="0"/>
              <w:jc w:val="left"/>
              <w:rPr>
                <w:rFonts w:hint="default" w:ascii="仿宋_GB2312" w:hAnsi="仿宋_GB2312" w:eastAsia="仿宋_GB2312" w:cs="仿宋_GB2312"/>
                <w:bCs/>
                <w:color w:val="000000"/>
                <w:sz w:val="24"/>
              </w:rPr>
            </w:pPr>
            <w:r>
              <w:rPr>
                <w:rFonts w:hint="eastAsia" w:ascii="仿宋_GB2312" w:hAnsi="仿宋_GB2312" w:eastAsia="仿宋_GB2312" w:cs="仿宋_GB2312"/>
                <w:bCs/>
                <w:color w:val="000000"/>
                <w:sz w:val="24"/>
              </w:rPr>
              <w:t>采购评审小组评分</w:t>
            </w:r>
          </w:p>
        </w:tc>
      </w:tr>
    </w:tbl>
    <w:p>
      <w:pPr>
        <w:spacing w:line="560" w:lineRule="exact"/>
        <w:ind w:firstLine="640" w:firstLineChars="200"/>
        <w:rPr>
          <w:rFonts w:ascii="仿宋_GB2312" w:hAnsi="Times New Roman" w:eastAsia="仿宋_GB2312" w:cs="Times New Roman"/>
          <w:bCs/>
          <w:color w:val="0D0D0D" w:themeColor="text1" w:themeTint="F2"/>
          <w:sz w:val="32"/>
          <w:szCs w:val="32"/>
          <w14:textFill>
            <w14:solidFill>
              <w14:schemeClr w14:val="tx1">
                <w14:lumMod w14:val="95000"/>
                <w14:lumOff w14:val="5000"/>
              </w14:schemeClr>
            </w14:solidFill>
          </w14:textFill>
        </w:rPr>
      </w:pPr>
      <w:r>
        <w:rPr>
          <w:rFonts w:hint="eastAsia" w:ascii="仿宋_GB2312" w:hAnsi="Times New Roman" w:eastAsia="仿宋_GB2312" w:cs="Times New Roman"/>
          <w:bCs/>
          <w:color w:val="0D0D0D" w:themeColor="text1" w:themeTint="F2"/>
          <w:sz w:val="32"/>
          <w:szCs w:val="32"/>
          <w14:textFill>
            <w14:solidFill>
              <w14:schemeClr w14:val="tx1">
                <w14:lumMod w14:val="95000"/>
                <w14:lumOff w14:val="5000"/>
              </w14:schemeClr>
            </w14:solidFill>
          </w14:textFill>
        </w:rPr>
        <w:t>3.人员配备</w:t>
      </w:r>
    </w:p>
    <w:p>
      <w:pPr>
        <w:spacing w:line="560" w:lineRule="exact"/>
        <w:ind w:firstLine="640" w:firstLineChars="200"/>
        <w:rPr>
          <w:rFonts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结合</w:t>
      </w:r>
      <w:r>
        <w:rPr>
          <w:rFonts w:ascii="仿宋_GB2312" w:hAnsi="仿宋_GB2312" w:eastAsia="仿宋_GB2312" w:cs="仿宋_GB2312"/>
          <w:color w:val="0D0D0D" w:themeColor="text1" w:themeTint="F2"/>
          <w:sz w:val="32"/>
          <w:szCs w:val="32"/>
          <w:lang w:val="en"/>
          <w14:textFill>
            <w14:solidFill>
              <w14:schemeClr w14:val="tx1">
                <w14:lumMod w14:val="95000"/>
                <w14:lumOff w14:val="5000"/>
              </w14:schemeClr>
            </w14:solidFill>
          </w14:textFill>
        </w:rPr>
        <w:t>本课题</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项目实际情况，</w:t>
      </w:r>
      <w:r>
        <w:rPr>
          <w:rFonts w:ascii="仿宋_GB2312" w:hAnsi="仿宋_GB2312" w:eastAsia="仿宋_GB2312" w:cs="仿宋_GB2312"/>
          <w:color w:val="0D0D0D" w:themeColor="text1" w:themeTint="F2"/>
          <w:sz w:val="32"/>
          <w:szCs w:val="32"/>
          <w:lang w:val="en"/>
          <w14:textFill>
            <w14:solidFill>
              <w14:schemeClr w14:val="tx1">
                <w14:lumMod w14:val="95000"/>
                <w14:lumOff w14:val="5000"/>
              </w14:schemeClr>
            </w14:solidFill>
          </w14:textFill>
        </w:rPr>
        <w:t>供应商</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需组建不少于6名专业研究人员组成的项目团队，保障项目顺利实施。</w:t>
      </w:r>
      <w:r>
        <w:rPr>
          <w:rFonts w:hint="eastAsia" w:ascii="仿宋_GB2312" w:hAnsi="仿宋_GB2312" w:eastAsia="仿宋_GB2312" w:cs="仿宋_GB2312"/>
          <w:color w:val="0D0D0D" w:themeColor="text1" w:themeTint="F2"/>
          <w:sz w:val="32"/>
          <w:szCs w:val="32"/>
          <w:lang w:val="en"/>
          <w14:textFill>
            <w14:solidFill>
              <w14:schemeClr w14:val="tx1">
                <w14:lumMod w14:val="95000"/>
                <w14:lumOff w14:val="5000"/>
              </w14:schemeClr>
            </w14:solidFill>
          </w14:textFill>
        </w:rPr>
        <w:t>项目团队应</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了解龙华区产业发展、能源资源利用、交通运输、城乡建设、生活消费等</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领域</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现状</w:t>
      </w:r>
      <w:r>
        <w:rPr>
          <w:rFonts w:hint="eastAsia" w:ascii="仿宋_GB2312" w:hAnsi="仿宋_GB2312" w:eastAsia="仿宋_GB2312" w:cs="仿宋_GB2312"/>
          <w:color w:val="0D0D0D" w:themeColor="text1" w:themeTint="F2"/>
          <w:sz w:val="32"/>
          <w:szCs w:val="32"/>
          <w:lang w:val="en"/>
          <w14:textFill>
            <w14:solidFill>
              <w14:schemeClr w14:val="tx1">
                <w14:lumMod w14:val="95000"/>
                <w14:lumOff w14:val="5000"/>
              </w14:schemeClr>
            </w14:solidFill>
          </w14:textFill>
        </w:rPr>
        <w:t>，并做过相关分析研究，具备较强的</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调研分析</w:t>
      </w:r>
      <w:r>
        <w:rPr>
          <w:rFonts w:hint="eastAsia" w:ascii="仿宋_GB2312" w:hAnsi="仿宋_GB2312" w:eastAsia="仿宋_GB2312" w:cs="仿宋_GB2312"/>
          <w:color w:val="0D0D0D" w:themeColor="text1" w:themeTint="F2"/>
          <w:sz w:val="32"/>
          <w:szCs w:val="32"/>
          <w:lang w:val="en"/>
          <w14:textFill>
            <w14:solidFill>
              <w14:schemeClr w14:val="tx1">
                <w14:lumMod w14:val="95000"/>
                <w14:lumOff w14:val="5000"/>
              </w14:schemeClr>
            </w14:solidFill>
          </w14:textFill>
        </w:rPr>
        <w:t>能力和材料写作能力。</w:t>
      </w:r>
    </w:p>
    <w:tbl>
      <w:tblPr>
        <w:tblStyle w:val="18"/>
        <w:tblW w:w="8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2028"/>
        <w:gridCol w:w="5103"/>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650" w:type="dxa"/>
            <w:gridSpan w:val="3"/>
            <w:vAlign w:val="center"/>
          </w:tcPr>
          <w:p>
            <w:pPr>
              <w:keepNext w:val="0"/>
              <w:keepLines w:val="0"/>
              <w:widowControl/>
              <w:suppressLineNumbers w:val="0"/>
              <w:spacing w:before="0" w:beforeAutospacing="0" w:after="0" w:afterAutospacing="0" w:line="312" w:lineRule="auto"/>
              <w:ind w:left="0" w:right="0"/>
              <w:jc w:val="center"/>
              <w:rPr>
                <w:rFonts w:hint="default"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项目</w:t>
            </w:r>
          </w:p>
        </w:tc>
        <w:tc>
          <w:tcPr>
            <w:tcW w:w="1229" w:type="dxa"/>
            <w:vAlign w:val="center"/>
          </w:tcPr>
          <w:p>
            <w:pPr>
              <w:keepNext w:val="0"/>
              <w:keepLines w:val="0"/>
              <w:widowControl/>
              <w:suppressLineNumbers w:val="0"/>
              <w:spacing w:before="0" w:beforeAutospacing="0" w:after="0" w:afterAutospacing="0" w:line="312" w:lineRule="auto"/>
              <w:ind w:left="0" w:right="0"/>
              <w:jc w:val="left"/>
              <w:rPr>
                <w:rFonts w:hint="default"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9" w:hRule="atLeast"/>
        </w:trPr>
        <w:tc>
          <w:tcPr>
            <w:tcW w:w="519" w:type="dxa"/>
            <w:vMerge w:val="restart"/>
            <w:vAlign w:val="center"/>
          </w:tcPr>
          <w:p>
            <w:pPr>
              <w:keepNext w:val="0"/>
              <w:keepLines w:val="0"/>
              <w:suppressLineNumbers w:val="0"/>
              <w:spacing w:before="0" w:beforeAutospacing="0" w:after="0" w:afterAutospacing="0" w:line="312" w:lineRule="auto"/>
              <w:ind w:left="0" w:right="0"/>
              <w:jc w:val="center"/>
              <w:rPr>
                <w:rFonts w:hint="default" w:ascii="仿宋_GB2312" w:hAnsi="仿宋_GB2312" w:eastAsia="仿宋_GB2312" w:cs="仿宋_GB2312"/>
                <w:bCs/>
                <w:color w:val="000000"/>
                <w:sz w:val="24"/>
              </w:rPr>
            </w:pPr>
            <w:r>
              <w:rPr>
                <w:rFonts w:hint="eastAsia" w:ascii="仿宋_GB2312" w:hAnsi="仿宋_GB2312" w:eastAsia="仿宋_GB2312" w:cs="仿宋_GB2312"/>
                <w:bCs/>
                <w:color w:val="000000"/>
                <w:sz w:val="24"/>
              </w:rPr>
              <w:t>人员配备评分20分</w:t>
            </w:r>
          </w:p>
        </w:tc>
        <w:tc>
          <w:tcPr>
            <w:tcW w:w="2028" w:type="dxa"/>
            <w:vAlign w:val="center"/>
          </w:tcPr>
          <w:p>
            <w:pPr>
              <w:keepNext w:val="0"/>
              <w:keepLines w:val="0"/>
              <w:suppressLineNumbers w:val="0"/>
              <w:spacing w:before="0" w:beforeAutospacing="0" w:after="0" w:afterAutospacing="0" w:line="312" w:lineRule="auto"/>
              <w:ind w:left="0" w:right="0"/>
              <w:jc w:val="left"/>
              <w:rPr>
                <w:rFonts w:hint="default" w:ascii="仿宋_GB2312" w:hAnsi="仿宋_GB2312" w:eastAsia="仿宋_GB2312" w:cs="仿宋_GB2312"/>
                <w:bCs/>
                <w:color w:val="000000"/>
                <w:kern w:val="0"/>
                <w:sz w:val="24"/>
              </w:rPr>
            </w:pPr>
            <w:r>
              <w:rPr>
                <w:rFonts w:hint="eastAsia" w:ascii="仿宋_GB2312" w:hAnsi="仿宋_GB2312" w:eastAsia="仿宋_GB2312" w:cs="仿宋_GB2312"/>
                <w:bCs/>
                <w:color w:val="000000"/>
                <w:sz w:val="24"/>
              </w:rPr>
              <w:t>拟安排的项目负责人情况（仅限一人）（5分）</w:t>
            </w:r>
          </w:p>
        </w:tc>
        <w:tc>
          <w:tcPr>
            <w:tcW w:w="5103" w:type="dxa"/>
            <w:vAlign w:val="center"/>
          </w:tcPr>
          <w:p>
            <w:pPr>
              <w:keepNext w:val="0"/>
              <w:keepLines w:val="0"/>
              <w:suppressLineNumbers w:val="0"/>
              <w:spacing w:before="0" w:beforeAutospacing="0" w:after="0" w:afterAutospacing="0" w:line="312" w:lineRule="auto"/>
              <w:ind w:left="0" w:right="0"/>
              <w:jc w:val="left"/>
              <w:rPr>
                <w:rFonts w:hint="default" w:ascii="仿宋_GB2312" w:hAnsi="仿宋_GB2312" w:eastAsia="仿宋_GB2312" w:cs="仿宋_GB2312"/>
                <w:bCs/>
                <w:color w:val="000000"/>
                <w:sz w:val="24"/>
              </w:rPr>
            </w:pPr>
            <w:r>
              <w:rPr>
                <w:rFonts w:hint="eastAsia" w:ascii="仿宋_GB2312" w:hAnsi="仿宋_GB2312" w:eastAsia="仿宋_GB2312" w:cs="仿宋_GB2312"/>
                <w:bCs/>
                <w:color w:val="000000"/>
                <w:sz w:val="24"/>
              </w:rPr>
              <w:t>拟安排的项目负责人须为投标人自有员工（提供社保作为证明材料），否则本项不得分。</w:t>
            </w:r>
          </w:p>
          <w:p>
            <w:pPr>
              <w:keepNext w:val="0"/>
              <w:keepLines w:val="0"/>
              <w:suppressLineNumbers w:val="0"/>
              <w:spacing w:before="0" w:beforeAutospacing="0" w:after="0" w:afterAutospacing="0" w:line="312" w:lineRule="auto"/>
              <w:ind w:left="0" w:right="0"/>
              <w:jc w:val="left"/>
              <w:rPr>
                <w:rFonts w:hint="default" w:ascii="仿宋_GB2312" w:hAnsi="仿宋_GB2312" w:eastAsia="仿宋_GB2312" w:cs="仿宋_GB2312"/>
                <w:bCs/>
                <w:color w:val="000000"/>
                <w:sz w:val="24"/>
              </w:rPr>
            </w:pPr>
            <w:r>
              <w:rPr>
                <w:rFonts w:hint="eastAsia" w:ascii="仿宋_GB2312" w:hAnsi="仿宋_GB2312" w:eastAsia="仿宋_GB2312" w:cs="仿宋_GB2312"/>
                <w:bCs/>
                <w:color w:val="000000"/>
                <w:sz w:val="24"/>
              </w:rPr>
              <w:t>具有①硕士研究生及以上学历；②经济专业中级及以上职称；③具有5年以上经济产业研究相关工作经验。以上要求满足三项得5分；满足两项得2分；其它情况不得分。</w:t>
            </w:r>
          </w:p>
        </w:tc>
        <w:tc>
          <w:tcPr>
            <w:tcW w:w="1229" w:type="dxa"/>
            <w:vAlign w:val="center"/>
          </w:tcPr>
          <w:p>
            <w:pPr>
              <w:keepNext w:val="0"/>
              <w:keepLines w:val="0"/>
              <w:suppressLineNumbers w:val="0"/>
              <w:spacing w:before="0" w:beforeAutospacing="0" w:after="0" w:afterAutospacing="0" w:line="312" w:lineRule="auto"/>
              <w:ind w:left="0" w:right="0"/>
              <w:jc w:val="left"/>
              <w:rPr>
                <w:rFonts w:hint="default" w:ascii="仿宋_GB2312" w:hAnsi="仿宋_GB2312" w:eastAsia="仿宋_GB2312" w:cs="仿宋_GB2312"/>
                <w:bCs/>
                <w:color w:val="000000"/>
                <w:sz w:val="24"/>
              </w:rPr>
            </w:pPr>
            <w:r>
              <w:rPr>
                <w:rFonts w:hint="eastAsia" w:ascii="仿宋_GB2312" w:hAnsi="仿宋_GB2312" w:eastAsia="仿宋_GB2312" w:cs="仿宋_GB2312"/>
                <w:bCs/>
                <w:color w:val="000000"/>
                <w:sz w:val="24"/>
              </w:rPr>
              <w:t>采购评审小组评分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trPr>
        <w:tc>
          <w:tcPr>
            <w:tcW w:w="519" w:type="dxa"/>
            <w:vMerge w:val="continue"/>
            <w:vAlign w:val="center"/>
          </w:tcPr>
          <w:p>
            <w:pPr>
              <w:keepNext w:val="0"/>
              <w:keepLines w:val="0"/>
              <w:suppressLineNumbers w:val="0"/>
              <w:spacing w:before="0" w:beforeAutospacing="0" w:after="0" w:afterAutospacing="0" w:line="312" w:lineRule="auto"/>
              <w:ind w:left="0" w:right="0"/>
              <w:jc w:val="center"/>
              <w:rPr>
                <w:rFonts w:hint="default" w:ascii="仿宋_GB2312" w:hAnsi="仿宋_GB2312" w:eastAsia="仿宋_GB2312" w:cs="仿宋_GB2312"/>
                <w:bCs/>
                <w:color w:val="000000"/>
                <w:sz w:val="24"/>
              </w:rPr>
            </w:pPr>
          </w:p>
        </w:tc>
        <w:tc>
          <w:tcPr>
            <w:tcW w:w="2028" w:type="dxa"/>
            <w:vAlign w:val="center"/>
          </w:tcPr>
          <w:p>
            <w:pPr>
              <w:keepNext w:val="0"/>
              <w:keepLines w:val="0"/>
              <w:suppressLineNumbers w:val="0"/>
              <w:spacing w:before="0" w:beforeAutospacing="0" w:after="0" w:afterAutospacing="0" w:line="312" w:lineRule="auto"/>
              <w:ind w:left="0" w:right="0"/>
              <w:jc w:val="left"/>
              <w:rPr>
                <w:rFonts w:hint="default" w:ascii="仿宋_GB2312" w:hAnsi="仿宋_GB2312" w:eastAsia="仿宋_GB2312" w:cs="仿宋_GB2312"/>
                <w:bCs/>
                <w:color w:val="000000"/>
                <w:kern w:val="0"/>
                <w:sz w:val="24"/>
              </w:rPr>
            </w:pPr>
            <w:r>
              <w:rPr>
                <w:rFonts w:hint="eastAsia" w:ascii="仿宋_GB2312" w:hAnsi="仿宋_GB2312" w:eastAsia="仿宋_GB2312" w:cs="仿宋_GB2312"/>
                <w:bCs/>
                <w:color w:val="000000"/>
                <w:sz w:val="24"/>
              </w:rPr>
              <w:t>拟安排的项目主要团队成员（主要技术人员）情况（项目负责人除外）（15分）</w:t>
            </w:r>
          </w:p>
        </w:tc>
        <w:tc>
          <w:tcPr>
            <w:tcW w:w="5103" w:type="dxa"/>
            <w:vAlign w:val="center"/>
          </w:tcPr>
          <w:p>
            <w:pPr>
              <w:keepNext w:val="0"/>
              <w:keepLines w:val="0"/>
              <w:suppressLineNumbers w:val="0"/>
              <w:spacing w:before="0" w:beforeAutospacing="0" w:after="0" w:afterAutospacing="0" w:line="312" w:lineRule="auto"/>
              <w:ind w:left="0" w:right="0"/>
              <w:jc w:val="left"/>
              <w:rPr>
                <w:rFonts w:hint="default" w:ascii="仿宋_GB2312" w:hAnsi="仿宋_GB2312" w:eastAsia="仿宋_GB2312" w:cs="仿宋_GB2312"/>
                <w:bCs/>
                <w:color w:val="000000"/>
                <w:sz w:val="24"/>
              </w:rPr>
            </w:pPr>
            <w:r>
              <w:rPr>
                <w:rFonts w:hint="eastAsia" w:ascii="仿宋_GB2312" w:hAnsi="仿宋_GB2312" w:eastAsia="仿宋_GB2312" w:cs="仿宋_GB2312"/>
                <w:bCs/>
                <w:color w:val="000000"/>
                <w:sz w:val="24"/>
              </w:rPr>
              <w:t>拟安排的项目团队成员须为投标人自有员工（提供社保作为证明材料），否则本项不得分。团队成员不少于5名，少于5名不得分。</w:t>
            </w:r>
          </w:p>
          <w:p>
            <w:pPr>
              <w:keepNext w:val="0"/>
              <w:keepLines w:val="0"/>
              <w:suppressLineNumbers w:val="0"/>
              <w:spacing w:before="0" w:beforeAutospacing="0" w:after="0" w:afterAutospacing="0" w:line="312" w:lineRule="auto"/>
              <w:ind w:left="0" w:right="0"/>
              <w:jc w:val="left"/>
              <w:rPr>
                <w:rFonts w:hint="default" w:ascii="仿宋_GB2312" w:hAnsi="仿宋_GB2312" w:eastAsia="仿宋_GB2312" w:cs="仿宋_GB2312"/>
                <w:bCs/>
                <w:color w:val="000000"/>
                <w:sz w:val="24"/>
              </w:rPr>
            </w:pPr>
            <w:r>
              <w:rPr>
                <w:rFonts w:hint="eastAsia" w:ascii="仿宋_GB2312" w:hAnsi="仿宋_GB2312" w:eastAsia="仿宋_GB2312" w:cs="仿宋_GB2312"/>
                <w:bCs/>
                <w:color w:val="000000"/>
                <w:sz w:val="24"/>
              </w:rPr>
              <w:t>团队成员评分标准：①均有研究生学历或中级（或以上）职称，得分15分；②研究生学历或中级（或以上）职称人数不少于3人，得10分；③研究生学历或中级（或以上）职称人数少于3人，得5分；其它情况不得分。</w:t>
            </w:r>
          </w:p>
        </w:tc>
        <w:tc>
          <w:tcPr>
            <w:tcW w:w="1229" w:type="dxa"/>
            <w:vAlign w:val="center"/>
          </w:tcPr>
          <w:p>
            <w:pPr>
              <w:keepNext w:val="0"/>
              <w:keepLines w:val="0"/>
              <w:suppressLineNumbers w:val="0"/>
              <w:spacing w:before="0" w:beforeAutospacing="0" w:after="0" w:afterAutospacing="0" w:line="312" w:lineRule="auto"/>
              <w:ind w:left="0" w:right="0"/>
              <w:jc w:val="left"/>
              <w:rPr>
                <w:rFonts w:hint="default" w:ascii="仿宋_GB2312" w:hAnsi="仿宋_GB2312" w:eastAsia="仿宋_GB2312" w:cs="仿宋_GB2312"/>
                <w:bCs/>
                <w:color w:val="000000"/>
                <w:sz w:val="24"/>
              </w:rPr>
            </w:pPr>
            <w:r>
              <w:rPr>
                <w:rFonts w:hint="eastAsia" w:ascii="仿宋_GB2312" w:hAnsi="仿宋_GB2312" w:eastAsia="仿宋_GB2312" w:cs="仿宋_GB2312"/>
                <w:bCs/>
                <w:color w:val="000000"/>
                <w:sz w:val="24"/>
              </w:rPr>
              <w:t>采购评审小组评分</w:t>
            </w:r>
          </w:p>
        </w:tc>
      </w:tr>
    </w:tbl>
    <w:p>
      <w:pPr>
        <w:spacing w:line="560" w:lineRule="exact"/>
        <w:ind w:firstLine="640" w:firstLineChars="200"/>
        <w:rPr>
          <w:rFonts w:ascii="仿宋_GB2312" w:hAnsi="Times New Roman" w:eastAsia="仿宋_GB2312" w:cs="Times New Roman"/>
          <w:bCs/>
          <w:color w:val="0D0D0D" w:themeColor="text1" w:themeTint="F2"/>
          <w:sz w:val="32"/>
          <w:szCs w:val="32"/>
          <w:lang w:val="en"/>
          <w14:textFill>
            <w14:solidFill>
              <w14:schemeClr w14:val="tx1">
                <w14:lumMod w14:val="95000"/>
                <w14:lumOff w14:val="5000"/>
              </w14:schemeClr>
            </w14:solidFill>
          </w14:textFill>
        </w:rPr>
      </w:pPr>
      <w:r>
        <w:rPr>
          <w:rFonts w:hint="eastAsia" w:ascii="仿宋_GB2312" w:hAnsi="Times New Roman" w:eastAsia="仿宋_GB2312" w:cs="Times New Roman"/>
          <w:bCs/>
          <w:color w:val="0D0D0D" w:themeColor="text1" w:themeTint="F2"/>
          <w:sz w:val="32"/>
          <w:szCs w:val="32"/>
          <w:lang w:val="en"/>
          <w14:textFill>
            <w14:solidFill>
              <w14:schemeClr w14:val="tx1">
                <w14:lumMod w14:val="95000"/>
                <w14:lumOff w14:val="5000"/>
              </w14:schemeClr>
            </w14:solidFill>
          </w14:textFill>
        </w:rPr>
        <w:t>4.报价</w:t>
      </w:r>
    </w:p>
    <w:p>
      <w:pPr>
        <w:spacing w:line="560" w:lineRule="exact"/>
        <w:ind w:firstLine="640" w:firstLineChars="200"/>
        <w:rPr>
          <w:lang w:val="en"/>
        </w:rPr>
      </w:pPr>
      <w:r>
        <w:rPr>
          <w:rFonts w:hint="eastAsia" w:ascii="仿宋_GB2312" w:hAnsi="Times New Roman" w:eastAsia="仿宋_GB2312" w:cs="Times New Roman"/>
          <w:bCs/>
          <w:color w:val="0D0D0D" w:themeColor="text1" w:themeTint="F2"/>
          <w:sz w:val="32"/>
          <w:szCs w:val="32"/>
          <w:lang w:val="en"/>
          <w14:textFill>
            <w14:solidFill>
              <w14:schemeClr w14:val="tx1">
                <w14:lumMod w14:val="95000"/>
                <w14:lumOff w14:val="5000"/>
              </w14:schemeClr>
            </w14:solidFill>
          </w14:textFill>
        </w:rPr>
        <w:t>投标报价不得超过项目预算金额。以投标人所报的有效报价中的最低价作为基准价，各投标人报价得分=（基准价/投标人报价）*20分。</w:t>
      </w:r>
    </w:p>
    <w:p>
      <w:pPr>
        <w:adjustRightInd w:val="0"/>
        <w:snapToGrid w:val="0"/>
        <w:spacing w:line="560" w:lineRule="exact"/>
        <w:ind w:firstLine="640" w:firstLineChars="200"/>
        <w:rPr>
          <w:rFonts w:ascii="仿宋_GB2312" w:hAnsi="宋体" w:eastAsia="仿宋_GB2312" w:cs="仿宋_GB2312"/>
          <w:color w:val="0D0D0D" w:themeColor="text1" w:themeTint="F2"/>
          <w:sz w:val="32"/>
          <w:szCs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32"/>
          <w:szCs w:val="22"/>
          <w14:textFill>
            <w14:solidFill>
              <w14:schemeClr w14:val="tx1">
                <w14:lumMod w14:val="95000"/>
                <w14:lumOff w14:val="5000"/>
              </w14:schemeClr>
            </w14:solidFill>
          </w14:textFill>
        </w:rPr>
        <w:t>附件：投标及履约承诺函</w:t>
      </w:r>
    </w:p>
    <w:p>
      <w:pPr>
        <w:spacing w:line="460" w:lineRule="exact"/>
        <w:jc w:val="left"/>
        <w:rPr>
          <w:rFonts w:ascii="仿宋_GB2312" w:hAnsi="宋体" w:eastAsia="仿宋_GB2312" w:cs="仿宋_GB2312"/>
          <w:color w:val="0D0D0D" w:themeColor="text1" w:themeTint="F2"/>
          <w:sz w:val="32"/>
          <w:szCs w:val="22"/>
          <w14:textFill>
            <w14:solidFill>
              <w14:schemeClr w14:val="tx1">
                <w14:lumMod w14:val="95000"/>
                <w14:lumOff w14:val="5000"/>
              </w14:schemeClr>
            </w14:solidFill>
          </w14:textFill>
        </w:rPr>
      </w:pPr>
      <w:r>
        <w:rPr>
          <w:rFonts w:ascii="仿宋" w:hAnsi="仿宋" w:eastAsia="仿宋" w:cs="仿宋_GB2312"/>
          <w:color w:val="0D0D0D" w:themeColor="text1" w:themeTint="F2"/>
          <w:sz w:val="32"/>
          <w:szCs w:val="32"/>
          <w14:textFill>
            <w14:solidFill>
              <w14:schemeClr w14:val="tx1">
                <w14:lumMod w14:val="95000"/>
                <w14:lumOff w14:val="5000"/>
              </w14:schemeClr>
            </w14:solidFill>
          </w14:textFill>
        </w:rPr>
        <w:br w:type="page"/>
      </w:r>
      <w:r>
        <w:rPr>
          <w:rFonts w:hint="eastAsia" w:ascii="黑体" w:hAnsi="黑体" w:eastAsia="黑体" w:cs="黑体"/>
          <w:color w:val="0D0D0D" w:themeColor="text1" w:themeTint="F2"/>
          <w:sz w:val="32"/>
          <w:szCs w:val="32"/>
          <w:lang w:val="en"/>
          <w14:textFill>
            <w14:solidFill>
              <w14:schemeClr w14:val="tx1">
                <w14:lumMod w14:val="95000"/>
                <w14:lumOff w14:val="5000"/>
              </w14:schemeClr>
            </w14:solidFill>
          </w14:textFill>
        </w:rPr>
        <w:t>附件</w:t>
      </w:r>
    </w:p>
    <w:p>
      <w:pPr>
        <w:adjustRightInd w:val="0"/>
        <w:snapToGrid w:val="0"/>
        <w:spacing w:line="460" w:lineRule="exact"/>
        <w:jc w:val="center"/>
        <w:rPr>
          <w:rFonts w:ascii="宋体" w:hAnsi="宋体" w:eastAsia="宋体" w:cs="宋体"/>
          <w:b/>
          <w:bCs/>
          <w:color w:val="0D0D0D" w:themeColor="text1" w:themeTint="F2"/>
          <w:sz w:val="44"/>
          <w:szCs w:val="44"/>
          <w14:textFill>
            <w14:solidFill>
              <w14:schemeClr w14:val="tx1">
                <w14:lumMod w14:val="95000"/>
                <w14:lumOff w14:val="5000"/>
              </w14:schemeClr>
            </w14:solidFill>
          </w14:textFill>
        </w:rPr>
      </w:pPr>
    </w:p>
    <w:p>
      <w:pPr>
        <w:adjustRightInd w:val="0"/>
        <w:snapToGrid w:val="0"/>
        <w:spacing w:line="460" w:lineRule="exact"/>
        <w:jc w:val="center"/>
        <w:rPr>
          <w:rFonts w:ascii="宋体" w:hAnsi="宋体" w:eastAsia="宋体" w:cs="宋体"/>
          <w:b/>
          <w:bCs/>
          <w:color w:val="0D0D0D" w:themeColor="text1" w:themeTint="F2"/>
          <w:sz w:val="44"/>
          <w:szCs w:val="44"/>
          <w14:textFill>
            <w14:solidFill>
              <w14:schemeClr w14:val="tx1">
                <w14:lumMod w14:val="95000"/>
                <w14:lumOff w14:val="5000"/>
              </w14:schemeClr>
            </w14:solidFill>
          </w14:textFill>
        </w:rPr>
      </w:pPr>
      <w:r>
        <w:rPr>
          <w:rFonts w:hint="eastAsia" w:ascii="宋体" w:hAnsi="宋体" w:eastAsia="宋体" w:cs="宋体"/>
          <w:b/>
          <w:bCs/>
          <w:color w:val="0D0D0D" w:themeColor="text1" w:themeTint="F2"/>
          <w:sz w:val="44"/>
          <w:szCs w:val="44"/>
          <w14:textFill>
            <w14:solidFill>
              <w14:schemeClr w14:val="tx1">
                <w14:lumMod w14:val="95000"/>
                <w14:lumOff w14:val="5000"/>
              </w14:schemeClr>
            </w14:solidFill>
          </w14:textFill>
        </w:rPr>
        <w:t>投标及履约承诺函</w:t>
      </w:r>
    </w:p>
    <w:p>
      <w:pPr>
        <w:adjustRightInd w:val="0"/>
        <w:snapToGrid w:val="0"/>
        <w:spacing w:line="460" w:lineRule="exact"/>
        <w:jc w:val="center"/>
        <w:rPr>
          <w:rFonts w:ascii="宋体" w:hAnsi="宋体" w:eastAsia="宋体" w:cs="宋体"/>
          <w:b/>
          <w:bCs/>
          <w:color w:val="0D0D0D" w:themeColor="text1" w:themeTint="F2"/>
          <w:sz w:val="44"/>
          <w:szCs w:val="44"/>
          <w14:textFill>
            <w14:solidFill>
              <w14:schemeClr w14:val="tx1">
                <w14:lumMod w14:val="95000"/>
                <w14:lumOff w14:val="5000"/>
              </w14:schemeClr>
            </w14:solidFill>
          </w14:textFill>
        </w:rPr>
      </w:pPr>
    </w:p>
    <w:p>
      <w:pPr>
        <w:adjustRightInd w:val="0"/>
        <w:snapToGrid w:val="0"/>
        <w:spacing w:line="460" w:lineRule="exact"/>
        <w:ind w:firstLine="640" w:firstLineChars="200"/>
        <w:rPr>
          <w:rFonts w:ascii="仿宋_GB2312" w:hAnsi="宋体" w:eastAsia="仿宋_GB2312" w:cs="Times New Roman"/>
          <w:color w:val="0D0D0D" w:themeColor="text1" w:themeTint="F2"/>
          <w:sz w:val="32"/>
          <w:szCs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32"/>
          <w:szCs w:val="22"/>
          <w14:textFill>
            <w14:solidFill>
              <w14:schemeClr w14:val="tx1">
                <w14:lumMod w14:val="95000"/>
                <w14:lumOff w14:val="5000"/>
              </w14:schemeClr>
            </w14:solidFill>
          </w14:textFill>
        </w:rPr>
        <w:t>我单位承诺：</w:t>
      </w:r>
    </w:p>
    <w:p>
      <w:pPr>
        <w:adjustRightInd w:val="0"/>
        <w:snapToGrid w:val="0"/>
        <w:spacing w:line="460" w:lineRule="exact"/>
        <w:ind w:firstLine="640" w:firstLineChars="200"/>
        <w:rPr>
          <w:rFonts w:ascii="仿宋_GB2312" w:hAnsi="宋体" w:eastAsia="仿宋_GB2312" w:cs="Times New Roman"/>
          <w:color w:val="0D0D0D" w:themeColor="text1" w:themeTint="F2"/>
          <w:sz w:val="32"/>
          <w:szCs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32"/>
          <w:szCs w:val="22"/>
          <w14:textFill>
            <w14:solidFill>
              <w14:schemeClr w14:val="tx1">
                <w14:lumMod w14:val="95000"/>
                <w14:lumOff w14:val="5000"/>
              </w14:schemeClr>
            </w14:solidFill>
          </w14:textFill>
        </w:rPr>
        <w:t>1.依法缴纳税收和社会保障资金。具备项目所必需的人员和专业技术能力。参加政府采购活动前三年内在经营活动中没有重大违法记录。</w:t>
      </w:r>
    </w:p>
    <w:p>
      <w:pPr>
        <w:adjustRightInd w:val="0"/>
        <w:snapToGrid w:val="0"/>
        <w:spacing w:line="460" w:lineRule="exact"/>
        <w:ind w:firstLine="640" w:firstLineChars="200"/>
        <w:rPr>
          <w:rFonts w:ascii="仿宋_GB2312" w:hAnsi="宋体" w:eastAsia="仿宋_GB2312" w:cs="Times New Roman"/>
          <w:color w:val="0D0D0D" w:themeColor="text1" w:themeTint="F2"/>
          <w:sz w:val="32"/>
          <w:szCs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32"/>
          <w:szCs w:val="22"/>
          <w14:textFill>
            <w14:solidFill>
              <w14:schemeClr w14:val="tx1">
                <w14:lumMod w14:val="95000"/>
                <w14:lumOff w14:val="5000"/>
              </w14:schemeClr>
            </w14:solidFill>
          </w14:textFill>
        </w:rPr>
        <w:t>2.对本招标项目所提供的服务未侵犯知识产权。</w:t>
      </w:r>
    </w:p>
    <w:p>
      <w:pPr>
        <w:adjustRightInd w:val="0"/>
        <w:snapToGrid w:val="0"/>
        <w:spacing w:line="460" w:lineRule="exact"/>
        <w:ind w:firstLine="640" w:firstLineChars="200"/>
        <w:rPr>
          <w:rFonts w:ascii="仿宋_GB2312" w:hAnsi="宋体" w:eastAsia="仿宋_GB2312" w:cs="Times New Roman"/>
          <w:color w:val="0D0D0D" w:themeColor="text1" w:themeTint="F2"/>
          <w:sz w:val="32"/>
          <w:szCs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32"/>
          <w:szCs w:val="22"/>
          <w14:textFill>
            <w14:solidFill>
              <w14:schemeClr w14:val="tx1">
                <w14:lumMod w14:val="95000"/>
                <w14:lumOff w14:val="5000"/>
              </w14:schemeClr>
            </w14:solidFill>
          </w14:textFill>
        </w:rPr>
        <w:t>3.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adjustRightInd w:val="0"/>
        <w:snapToGrid w:val="0"/>
        <w:spacing w:line="460" w:lineRule="exact"/>
        <w:ind w:firstLine="640" w:firstLineChars="200"/>
        <w:rPr>
          <w:rFonts w:ascii="仿宋_GB2312" w:hAnsi="宋体" w:eastAsia="仿宋_GB2312" w:cs="Times New Roman"/>
          <w:color w:val="0D0D0D" w:themeColor="text1" w:themeTint="F2"/>
          <w:sz w:val="32"/>
          <w:szCs w:val="22"/>
          <w14:textFill>
            <w14:solidFill>
              <w14:schemeClr w14:val="tx1">
                <w14:lumMod w14:val="95000"/>
                <w14:lumOff w14:val="5000"/>
              </w14:schemeClr>
            </w14:solidFill>
          </w14:textFill>
        </w:rPr>
      </w:pPr>
      <w:r>
        <w:rPr>
          <w:rFonts w:ascii="仿宋_GB2312" w:hAnsi="宋体" w:eastAsia="仿宋_GB2312" w:cs="仿宋_GB2312"/>
          <w:color w:val="0D0D0D" w:themeColor="text1" w:themeTint="F2"/>
          <w:sz w:val="32"/>
          <w:szCs w:val="22"/>
          <w14:textFill>
            <w14:solidFill>
              <w14:schemeClr w14:val="tx1">
                <w14:lumMod w14:val="95000"/>
                <w14:lumOff w14:val="5000"/>
              </w14:schemeClr>
            </w14:solidFill>
          </w14:textFill>
        </w:rPr>
        <w:t>4</w:t>
      </w:r>
      <w:r>
        <w:rPr>
          <w:rFonts w:hint="eastAsia" w:ascii="仿宋_GB2312" w:hAnsi="宋体" w:eastAsia="仿宋_GB2312" w:cs="仿宋_GB2312"/>
          <w:color w:val="0D0D0D" w:themeColor="text1" w:themeTint="F2"/>
          <w:sz w:val="32"/>
          <w:szCs w:val="22"/>
          <w14:textFill>
            <w14:solidFill>
              <w14:schemeClr w14:val="tx1">
                <w14:lumMod w14:val="95000"/>
                <w14:lumOff w14:val="5000"/>
              </w14:schemeClr>
            </w14:solidFill>
          </w14:textFill>
        </w:rPr>
        <w:t>.如果中标，做到守信，不偷工减料，依照本项目招标文件需求内容、签署的采购合同及在投标中所作的一切承诺履约。项目验收达到全部指标合格，力争优良。</w:t>
      </w:r>
    </w:p>
    <w:p>
      <w:pPr>
        <w:adjustRightInd w:val="0"/>
        <w:snapToGrid w:val="0"/>
        <w:spacing w:line="460" w:lineRule="exact"/>
        <w:ind w:firstLine="640" w:firstLineChars="200"/>
        <w:rPr>
          <w:rFonts w:ascii="仿宋_GB2312" w:hAnsi="宋体" w:eastAsia="仿宋_GB2312" w:cs="Times New Roman"/>
          <w:color w:val="0D0D0D" w:themeColor="text1" w:themeTint="F2"/>
          <w:sz w:val="32"/>
          <w:szCs w:val="22"/>
          <w14:textFill>
            <w14:solidFill>
              <w14:schemeClr w14:val="tx1">
                <w14:lumMod w14:val="95000"/>
                <w14:lumOff w14:val="5000"/>
              </w14:schemeClr>
            </w14:solidFill>
          </w14:textFill>
        </w:rPr>
      </w:pPr>
      <w:r>
        <w:rPr>
          <w:rFonts w:ascii="仿宋_GB2312" w:hAnsi="宋体" w:eastAsia="仿宋_GB2312" w:cs="仿宋_GB2312"/>
          <w:color w:val="0D0D0D" w:themeColor="text1" w:themeTint="F2"/>
          <w:sz w:val="32"/>
          <w:szCs w:val="22"/>
          <w14:textFill>
            <w14:solidFill>
              <w14:schemeClr w14:val="tx1">
                <w14:lumMod w14:val="95000"/>
                <w14:lumOff w14:val="5000"/>
              </w14:schemeClr>
            </w14:solidFill>
          </w14:textFill>
        </w:rPr>
        <w:t>5</w:t>
      </w:r>
      <w:r>
        <w:rPr>
          <w:rFonts w:hint="eastAsia" w:ascii="仿宋_GB2312" w:hAnsi="宋体" w:eastAsia="仿宋_GB2312" w:cs="仿宋_GB2312"/>
          <w:color w:val="0D0D0D" w:themeColor="text1" w:themeTint="F2"/>
          <w:sz w:val="32"/>
          <w:szCs w:val="22"/>
          <w14:textFill>
            <w14:solidFill>
              <w14:schemeClr w14:val="tx1">
                <w14:lumMod w14:val="95000"/>
                <w14:lumOff w14:val="5000"/>
              </w14:schemeClr>
            </w14:solidFill>
          </w14:textFill>
        </w:rPr>
        <w:t>.我单位已认真阅读本项目需求，我单位承诺按时递交标书。</w:t>
      </w:r>
    </w:p>
    <w:p>
      <w:pPr>
        <w:adjustRightInd w:val="0"/>
        <w:snapToGrid w:val="0"/>
        <w:spacing w:line="460" w:lineRule="exact"/>
        <w:ind w:firstLine="640" w:firstLineChars="200"/>
        <w:rPr>
          <w:rFonts w:ascii="仿宋_GB2312" w:hAnsi="宋体" w:eastAsia="仿宋_GB2312" w:cs="Times New Roman"/>
          <w:color w:val="0D0D0D" w:themeColor="text1" w:themeTint="F2"/>
          <w:sz w:val="32"/>
          <w:szCs w:val="22"/>
          <w14:textFill>
            <w14:solidFill>
              <w14:schemeClr w14:val="tx1">
                <w14:lumMod w14:val="95000"/>
                <w14:lumOff w14:val="5000"/>
              </w14:schemeClr>
            </w14:solidFill>
          </w14:textFill>
        </w:rPr>
      </w:pPr>
      <w:r>
        <w:rPr>
          <w:rFonts w:ascii="仿宋_GB2312" w:hAnsi="宋体" w:eastAsia="仿宋_GB2312" w:cs="仿宋_GB2312"/>
          <w:color w:val="0D0D0D" w:themeColor="text1" w:themeTint="F2"/>
          <w:sz w:val="32"/>
          <w:szCs w:val="22"/>
          <w14:textFill>
            <w14:solidFill>
              <w14:schemeClr w14:val="tx1">
                <w14:lumMod w14:val="95000"/>
                <w14:lumOff w14:val="5000"/>
              </w14:schemeClr>
            </w14:solidFill>
          </w14:textFill>
        </w:rPr>
        <w:t>6</w:t>
      </w:r>
      <w:r>
        <w:rPr>
          <w:rFonts w:hint="eastAsia" w:ascii="仿宋_GB2312" w:hAnsi="宋体" w:eastAsia="仿宋_GB2312" w:cs="仿宋_GB2312"/>
          <w:color w:val="0D0D0D" w:themeColor="text1" w:themeTint="F2"/>
          <w:sz w:val="32"/>
          <w:szCs w:val="22"/>
          <w14:textFill>
            <w14:solidFill>
              <w14:schemeClr w14:val="tx1">
                <w14:lumMod w14:val="95000"/>
                <w14:lumOff w14:val="5000"/>
              </w14:schemeClr>
            </w14:solidFill>
          </w14:textFill>
        </w:rPr>
        <w:t>.我单位承诺不非法转包或分包。</w:t>
      </w:r>
    </w:p>
    <w:p>
      <w:pPr>
        <w:adjustRightInd w:val="0"/>
        <w:snapToGrid w:val="0"/>
        <w:spacing w:line="460" w:lineRule="exact"/>
        <w:ind w:firstLine="640" w:firstLineChars="200"/>
        <w:rPr>
          <w:rFonts w:ascii="仿宋_GB2312" w:hAnsi="宋体" w:eastAsia="仿宋_GB2312" w:cs="Times New Roman"/>
          <w:color w:val="0D0D0D" w:themeColor="text1" w:themeTint="F2"/>
          <w:sz w:val="32"/>
          <w:szCs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32"/>
          <w:szCs w:val="22"/>
          <w14:textFill>
            <w14:solidFill>
              <w14:schemeClr w14:val="tx1">
                <w14:lumMod w14:val="95000"/>
                <w14:lumOff w14:val="5000"/>
              </w14:schemeClr>
            </w14:solidFill>
          </w14:textFill>
        </w:rPr>
        <w:t>以上承诺，如有违反，愿依照国家相关法律处理，并承担由此给采购人带来的损失。</w:t>
      </w:r>
    </w:p>
    <w:p>
      <w:pPr>
        <w:adjustRightInd w:val="0"/>
        <w:snapToGrid w:val="0"/>
        <w:spacing w:line="460" w:lineRule="exact"/>
        <w:ind w:firstLine="640" w:firstLineChars="200"/>
        <w:rPr>
          <w:rFonts w:ascii="仿宋_GB2312" w:hAnsi="宋体" w:eastAsia="仿宋_GB2312" w:cs="Times New Roman"/>
          <w:color w:val="0D0D0D" w:themeColor="text1" w:themeTint="F2"/>
          <w:sz w:val="32"/>
          <w:szCs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32"/>
          <w:szCs w:val="22"/>
          <w14:textFill>
            <w14:solidFill>
              <w14:schemeClr w14:val="tx1">
                <w14:lumMod w14:val="95000"/>
                <w14:lumOff w14:val="5000"/>
              </w14:schemeClr>
            </w14:solidFill>
          </w14:textFill>
        </w:rPr>
        <w:t>承诺投标人：</w:t>
      </w:r>
    </w:p>
    <w:p>
      <w:pPr>
        <w:adjustRightInd w:val="0"/>
        <w:snapToGrid w:val="0"/>
        <w:spacing w:line="460" w:lineRule="exact"/>
        <w:ind w:firstLine="640" w:firstLineChars="200"/>
        <w:rPr>
          <w:rFonts w:ascii="仿宋_GB2312" w:hAnsi="宋体" w:eastAsia="仿宋_GB2312" w:cs="Times New Roman"/>
          <w:color w:val="0D0D0D" w:themeColor="text1" w:themeTint="F2"/>
          <w:sz w:val="32"/>
          <w:szCs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32"/>
          <w:szCs w:val="22"/>
          <w14:textFill>
            <w14:solidFill>
              <w14:schemeClr w14:val="tx1">
                <w14:lumMod w14:val="95000"/>
                <w14:lumOff w14:val="5000"/>
              </w14:schemeClr>
            </w14:solidFill>
          </w14:textFill>
        </w:rPr>
        <w:t>单位地址：</w:t>
      </w:r>
    </w:p>
    <w:p>
      <w:pPr>
        <w:adjustRightInd w:val="0"/>
        <w:snapToGrid w:val="0"/>
        <w:spacing w:line="460" w:lineRule="exact"/>
        <w:ind w:firstLine="640" w:firstLineChars="200"/>
        <w:rPr>
          <w:rFonts w:ascii="仿宋_GB2312" w:hAnsi="宋体" w:eastAsia="仿宋_GB2312" w:cs="Times New Roman"/>
          <w:color w:val="0D0D0D" w:themeColor="text1" w:themeTint="F2"/>
          <w:sz w:val="32"/>
          <w:szCs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32"/>
          <w:szCs w:val="22"/>
          <w14:textFill>
            <w14:solidFill>
              <w14:schemeClr w14:val="tx1">
                <w14:lumMod w14:val="95000"/>
                <w14:lumOff w14:val="5000"/>
              </w14:schemeClr>
            </w14:solidFill>
          </w14:textFill>
        </w:rPr>
        <w:t>法定代表人或其委托代理人：</w:t>
      </w:r>
    </w:p>
    <w:p>
      <w:pPr>
        <w:adjustRightInd w:val="0"/>
        <w:snapToGrid w:val="0"/>
        <w:spacing w:line="460" w:lineRule="exact"/>
        <w:ind w:firstLine="640" w:firstLineChars="200"/>
        <w:rPr>
          <w:rFonts w:ascii="仿宋_GB2312" w:hAnsi="宋体" w:eastAsia="仿宋_GB2312" w:cs="Times New Roman"/>
          <w:color w:val="0D0D0D" w:themeColor="text1" w:themeTint="F2"/>
          <w:sz w:val="32"/>
          <w:szCs w:val="2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32"/>
          <w:szCs w:val="22"/>
          <w14:textFill>
            <w14:solidFill>
              <w14:schemeClr w14:val="tx1">
                <w14:lumMod w14:val="95000"/>
                <w14:lumOff w14:val="5000"/>
              </w14:schemeClr>
            </w14:solidFill>
          </w14:textFill>
        </w:rPr>
        <w:t>联系电话：</w:t>
      </w:r>
    </w:p>
    <w:p>
      <w:pPr>
        <w:spacing w:line="460" w:lineRule="exact"/>
        <w:ind w:firstLine="640" w:firstLineChars="200"/>
        <w:rPr>
          <w:rFonts w:hint="eastAsia"/>
          <w:color w:val="0D0D0D" w:themeColor="text1" w:themeTint="F2"/>
          <w:u w:val="none"/>
          <w:lang w:eastAsia="zh-CN"/>
          <w14:textFill>
            <w14:solidFill>
              <w14:schemeClr w14:val="tx1">
                <w14:lumMod w14:val="95000"/>
                <w14:lumOff w14:val="5000"/>
              </w14:schemeClr>
            </w14:solidFill>
          </w14:textFill>
        </w:rPr>
      </w:pPr>
      <w:r>
        <w:rPr>
          <w:rFonts w:hint="eastAsia" w:ascii="仿宋_GB2312" w:hAnsi="Times New Roman" w:eastAsia="仿宋_GB2312" w:cs="仿宋_GB2312"/>
          <w:color w:val="0D0D0D" w:themeColor="text1" w:themeTint="F2"/>
          <w:sz w:val="32"/>
          <w:szCs w:val="22"/>
          <w14:textFill>
            <w14:solidFill>
              <w14:schemeClr w14:val="tx1">
                <w14:lumMod w14:val="95000"/>
                <w14:lumOff w14:val="5000"/>
              </w14:schemeClr>
            </w14:solidFill>
          </w14:textFill>
        </w:rPr>
        <w:t xml:space="preserve">日期：   年   月   日  </w:t>
      </w:r>
      <w:r>
        <w:rPr>
          <w:rFonts w:ascii="Times New Roman" w:hAnsi="Times New Roman" w:eastAsia="仿宋_GB2312" w:cs="Times New Roman"/>
          <w:color w:val="0D0D0D" w:themeColor="text1" w:themeTint="F2"/>
          <w:sz w:val="32"/>
          <w:szCs w:val="22"/>
          <w14:textFill>
            <w14:solidFill>
              <w14:schemeClr w14:val="tx1">
                <w14:lumMod w14:val="95000"/>
                <w14:lumOff w14:val="5000"/>
              </w14:schemeClr>
            </w14:solidFill>
          </w14:textFill>
        </w:rPr>
        <w:t xml:space="preserve"> </w:t>
      </w:r>
    </w:p>
    <w:sectPr>
      <w:footerReference r:id="rId4"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Times">
    <w:altName w:val="DejaVu Sans"/>
    <w:panose1 w:val="00000500000000020000"/>
    <w:charset w:val="00"/>
    <w:family w:val="roman"/>
    <w:pitch w:val="default"/>
    <w:sig w:usb0="00000000" w:usb1="00000000" w:usb2="00000000" w:usb3="00000000" w:csb0="2000019F" w:csb1="4F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PQJJ5fHAQAAmQMAAA4AAAAAAAAA&#10;AQAgAAAANAEAAGRycy9lMm9Eb2MueG1sUEsFBgAAAAAGAAYAWQEAAG0FAAAAAA==&#10;">
              <v:fill on="f" focussize="0,0"/>
              <v:stroke on="f"/>
              <v:imagedata o:title=""/>
              <o:lock v:ext="edit" aspectratio="f"/>
              <v:textbox inset="0mm,0mm,0mm,0mm" style="mso-fit-shape-to-text:t;">
                <w:txbxContent>
                  <w:p>
                    <w:pPr>
                      <w:pStyle w:val="1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MTU3ZDY1Nzg1ZTNiNDYyNzY5Y2M0MmVlOTgyMjgifQ=="/>
    <w:docVar w:name="KSO_WPS_MARK_KEY" w:val="35481cc0-76d0-410b-b20a-8bacd7d23770"/>
  </w:docVars>
  <w:rsids>
    <w:rsidRoot w:val="FE7FCCCB"/>
    <w:rsid w:val="054A3917"/>
    <w:rsid w:val="07C75183"/>
    <w:rsid w:val="0C57284E"/>
    <w:rsid w:val="0CF7C9CD"/>
    <w:rsid w:val="0F8B5083"/>
    <w:rsid w:val="19F7AB19"/>
    <w:rsid w:val="1B7E63F5"/>
    <w:rsid w:val="1DFEFE21"/>
    <w:rsid w:val="1EF02DBA"/>
    <w:rsid w:val="24E24F53"/>
    <w:rsid w:val="25053EA9"/>
    <w:rsid w:val="26B257AF"/>
    <w:rsid w:val="2B6FDDCC"/>
    <w:rsid w:val="2B77C6A7"/>
    <w:rsid w:val="2BDF91EB"/>
    <w:rsid w:val="2D9F696D"/>
    <w:rsid w:val="2E8FC8B7"/>
    <w:rsid w:val="30E17BCF"/>
    <w:rsid w:val="33AFFEFC"/>
    <w:rsid w:val="353C5579"/>
    <w:rsid w:val="36CFE30D"/>
    <w:rsid w:val="37CE779B"/>
    <w:rsid w:val="395068B1"/>
    <w:rsid w:val="3A2D2935"/>
    <w:rsid w:val="3B42756B"/>
    <w:rsid w:val="3BF5870C"/>
    <w:rsid w:val="3CFFC8D0"/>
    <w:rsid w:val="3D731DFB"/>
    <w:rsid w:val="3D7FB8E2"/>
    <w:rsid w:val="3DBFE9C2"/>
    <w:rsid w:val="3DFF9564"/>
    <w:rsid w:val="3ECF8681"/>
    <w:rsid w:val="3EFD6A22"/>
    <w:rsid w:val="3F5F5440"/>
    <w:rsid w:val="3F7F6DC4"/>
    <w:rsid w:val="3FCDAF46"/>
    <w:rsid w:val="42CF5C44"/>
    <w:rsid w:val="472F3348"/>
    <w:rsid w:val="496D6C31"/>
    <w:rsid w:val="4DDA1989"/>
    <w:rsid w:val="4EBFC045"/>
    <w:rsid w:val="4F771699"/>
    <w:rsid w:val="50F9B51C"/>
    <w:rsid w:val="53880583"/>
    <w:rsid w:val="564F50D7"/>
    <w:rsid w:val="57CB39F7"/>
    <w:rsid w:val="5AE07BE8"/>
    <w:rsid w:val="5CFCD960"/>
    <w:rsid w:val="5DF7F320"/>
    <w:rsid w:val="5DF7FCAF"/>
    <w:rsid w:val="5ED8AEC1"/>
    <w:rsid w:val="5EDB6203"/>
    <w:rsid w:val="5EE52E1D"/>
    <w:rsid w:val="5F7E3F9B"/>
    <w:rsid w:val="5FAE3B07"/>
    <w:rsid w:val="5FDBAD09"/>
    <w:rsid w:val="5FFBF03C"/>
    <w:rsid w:val="62F43AEE"/>
    <w:rsid w:val="639421D0"/>
    <w:rsid w:val="63E539CF"/>
    <w:rsid w:val="66758732"/>
    <w:rsid w:val="668227E1"/>
    <w:rsid w:val="66853E1C"/>
    <w:rsid w:val="6ACF41A4"/>
    <w:rsid w:val="6B4B1BCA"/>
    <w:rsid w:val="6BE97F42"/>
    <w:rsid w:val="6BF73BED"/>
    <w:rsid w:val="6EDE7B21"/>
    <w:rsid w:val="6FAF1160"/>
    <w:rsid w:val="6FFBFF42"/>
    <w:rsid w:val="72710C91"/>
    <w:rsid w:val="732E26DE"/>
    <w:rsid w:val="74E8EE1C"/>
    <w:rsid w:val="7776B2B1"/>
    <w:rsid w:val="77DF1DEA"/>
    <w:rsid w:val="77FDB132"/>
    <w:rsid w:val="79DF93AB"/>
    <w:rsid w:val="79FF8771"/>
    <w:rsid w:val="7A664E53"/>
    <w:rsid w:val="7BCFCB66"/>
    <w:rsid w:val="7BFA14DA"/>
    <w:rsid w:val="7BFE4136"/>
    <w:rsid w:val="7CE792F9"/>
    <w:rsid w:val="7D6FFE43"/>
    <w:rsid w:val="7DDF65C1"/>
    <w:rsid w:val="7DEABAB3"/>
    <w:rsid w:val="7E2EA836"/>
    <w:rsid w:val="7EDFC2CA"/>
    <w:rsid w:val="7EE629F6"/>
    <w:rsid w:val="7EE77258"/>
    <w:rsid w:val="7EFDDAAB"/>
    <w:rsid w:val="7F5BA9E8"/>
    <w:rsid w:val="7F634685"/>
    <w:rsid w:val="7F9F6E1B"/>
    <w:rsid w:val="7FF62093"/>
    <w:rsid w:val="7FFDFC7C"/>
    <w:rsid w:val="7FFEBB31"/>
    <w:rsid w:val="7FFFF3E1"/>
    <w:rsid w:val="9EF69204"/>
    <w:rsid w:val="A7FD9ACF"/>
    <w:rsid w:val="ABBDB696"/>
    <w:rsid w:val="AFFF7A50"/>
    <w:rsid w:val="B4DD53A8"/>
    <w:rsid w:val="BBEF8E03"/>
    <w:rsid w:val="BEDF2168"/>
    <w:rsid w:val="BEEE8D1A"/>
    <w:rsid w:val="BF5F5A9E"/>
    <w:rsid w:val="BF7B7456"/>
    <w:rsid w:val="BFFA6BDE"/>
    <w:rsid w:val="BFFB79C9"/>
    <w:rsid w:val="BFFC4975"/>
    <w:rsid w:val="C4D1B424"/>
    <w:rsid w:val="C9FF36FF"/>
    <w:rsid w:val="CFF50384"/>
    <w:rsid w:val="D63B044F"/>
    <w:rsid w:val="D79F998B"/>
    <w:rsid w:val="DBBB9BFE"/>
    <w:rsid w:val="DBFB7EF4"/>
    <w:rsid w:val="DC7F2056"/>
    <w:rsid w:val="DCBF4392"/>
    <w:rsid w:val="DF7FD5BF"/>
    <w:rsid w:val="DFFF961E"/>
    <w:rsid w:val="E39F24A0"/>
    <w:rsid w:val="E77F129C"/>
    <w:rsid w:val="E7F58E40"/>
    <w:rsid w:val="E7F743F4"/>
    <w:rsid w:val="EBAFFCB2"/>
    <w:rsid w:val="EF0DC4FA"/>
    <w:rsid w:val="EF960AC1"/>
    <w:rsid w:val="EFEC9B19"/>
    <w:rsid w:val="EFFF24A9"/>
    <w:rsid w:val="F1BC263A"/>
    <w:rsid w:val="F1FFD1CF"/>
    <w:rsid w:val="F57348A6"/>
    <w:rsid w:val="F57633AA"/>
    <w:rsid w:val="F59FEE4B"/>
    <w:rsid w:val="F77F638C"/>
    <w:rsid w:val="F7FE35C1"/>
    <w:rsid w:val="F9FF484D"/>
    <w:rsid w:val="FA7FF16E"/>
    <w:rsid w:val="FAFF878D"/>
    <w:rsid w:val="FB877040"/>
    <w:rsid w:val="FB9DD758"/>
    <w:rsid w:val="FD6F8556"/>
    <w:rsid w:val="FD776DAA"/>
    <w:rsid w:val="FDF75B41"/>
    <w:rsid w:val="FDFFF864"/>
    <w:rsid w:val="FE3E45D3"/>
    <w:rsid w:val="FE7B2F42"/>
    <w:rsid w:val="FE7FCCCB"/>
    <w:rsid w:val="FE9F9E19"/>
    <w:rsid w:val="FEDD8928"/>
    <w:rsid w:val="FEF71730"/>
    <w:rsid w:val="FEFB99B9"/>
    <w:rsid w:val="FEFF5234"/>
    <w:rsid w:val="FF6FD709"/>
    <w:rsid w:val="FFA8FBA9"/>
    <w:rsid w:val="FFD74B8F"/>
    <w:rsid w:val="FFED3EDE"/>
    <w:rsid w:val="FFFB915B"/>
    <w:rsid w:val="FFFFE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napToGrid w:val="0"/>
      <w:spacing w:beforeLines="0" w:beforeAutospacing="0" w:afterLines="0" w:afterAutospacing="0" w:line="560" w:lineRule="exact"/>
      <w:ind w:firstLine="880" w:firstLineChars="200"/>
      <w:jc w:val="left"/>
      <w:outlineLvl w:val="0"/>
    </w:pPr>
    <w:rPr>
      <w:rFonts w:ascii="Arial" w:hAnsi="Arial" w:eastAsia="黑体" w:cs="Times New Roman"/>
      <w:kern w:val="44"/>
      <w:szCs w:val="22"/>
    </w:rPr>
  </w:style>
  <w:style w:type="paragraph" w:styleId="5">
    <w:name w:val="heading 2"/>
    <w:basedOn w:val="1"/>
    <w:next w:val="1"/>
    <w:unhideWhenUsed/>
    <w:qFormat/>
    <w:uiPriority w:val="0"/>
    <w:pPr>
      <w:keepNext/>
      <w:keepLines/>
      <w:outlineLvl w:val="1"/>
    </w:pPr>
    <w:rPr>
      <w:rFonts w:ascii="Calibri Light" w:hAnsi="Calibri Light" w:eastAsia="楷体" w:cs="Times New Roman"/>
      <w:bCs/>
    </w:rPr>
  </w:style>
  <w:style w:type="paragraph" w:styleId="6">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Plain Text"/>
    <w:basedOn w:val="1"/>
    <w:next w:val="3"/>
    <w:unhideWhenUsed/>
    <w:qFormat/>
    <w:uiPriority w:val="99"/>
    <w:rPr>
      <w:rFonts w:ascii="宋体" w:hAnsi="Courier New" w:cs="Courier New"/>
      <w:szCs w:val="21"/>
    </w:rPr>
  </w:style>
  <w:style w:type="paragraph" w:styleId="3">
    <w:name w:val="index 8"/>
    <w:basedOn w:val="1"/>
    <w:next w:val="1"/>
    <w:qFormat/>
    <w:uiPriority w:val="0"/>
    <w:pPr>
      <w:ind w:left="2940"/>
    </w:pPr>
    <w:rPr>
      <w:rFonts w:ascii="Times New Roman" w:hAnsi="Times New Roman" w:eastAsia="宋体" w:cs="Times New Roman"/>
    </w:rPr>
  </w:style>
  <w:style w:type="paragraph" w:styleId="7">
    <w:name w:val="Normal Indent"/>
    <w:basedOn w:val="1"/>
    <w:unhideWhenUsed/>
    <w:qFormat/>
    <w:uiPriority w:val="0"/>
    <w:pPr>
      <w:spacing w:line="360" w:lineRule="auto"/>
      <w:ind w:firstLine="640" w:firstLineChars="200"/>
    </w:pPr>
    <w:rPr>
      <w:rFonts w:ascii="宋体" w:hAnsi="宋体" w:eastAsia="宋体"/>
    </w:rPr>
  </w:style>
  <w:style w:type="paragraph" w:styleId="8">
    <w:name w:val="annotation text"/>
    <w:basedOn w:val="1"/>
    <w:unhideWhenUsed/>
    <w:qFormat/>
    <w:uiPriority w:val="0"/>
    <w:pPr>
      <w:adjustRightInd/>
      <w:snapToGrid/>
      <w:spacing w:line="240" w:lineRule="auto"/>
      <w:ind w:firstLine="0" w:firstLineChars="0"/>
      <w:jc w:val="left"/>
    </w:pPr>
    <w:rPr>
      <w:rFonts w:ascii="Calibri" w:hAnsi="Calibri" w:eastAsia="宋体"/>
      <w:sz w:val="21"/>
      <w:szCs w:val="21"/>
    </w:rPr>
  </w:style>
  <w:style w:type="paragraph" w:styleId="9">
    <w:name w:val="Body Text"/>
    <w:basedOn w:val="1"/>
    <w:next w:val="1"/>
    <w:unhideWhenUsed/>
    <w:qFormat/>
    <w:uiPriority w:val="99"/>
    <w:pPr>
      <w:spacing w:after="120"/>
    </w:pPr>
  </w:style>
  <w:style w:type="paragraph" w:styleId="10">
    <w:name w:val="Body Text Indent"/>
    <w:basedOn w:val="1"/>
    <w:unhideWhenUsed/>
    <w:qFormat/>
    <w:uiPriority w:val="99"/>
    <w:pPr>
      <w:spacing w:after="120"/>
      <w:ind w:left="420" w:leftChars="200"/>
    </w:pPr>
  </w:style>
  <w:style w:type="paragraph" w:styleId="11">
    <w:name w:val="Block Text"/>
    <w:basedOn w:val="1"/>
    <w:qFormat/>
    <w:uiPriority w:val="0"/>
    <w:pPr>
      <w:tabs>
        <w:tab w:val="left" w:pos="426"/>
      </w:tabs>
      <w:spacing w:after="120"/>
      <w:ind w:left="1440" w:leftChars="700" w:right="1440" w:rightChars="700"/>
    </w:pPr>
  </w:style>
  <w:style w:type="paragraph" w:styleId="12">
    <w:name w:val="footer"/>
    <w:basedOn w:val="1"/>
    <w:unhideWhenUsed/>
    <w:qFormat/>
    <w:uiPriority w:val="99"/>
    <w:pPr>
      <w:tabs>
        <w:tab w:val="center" w:pos="4153"/>
        <w:tab w:val="right" w:pos="8306"/>
      </w:tabs>
      <w:jc w:val="left"/>
    </w:pPr>
    <w:rPr>
      <w:rFonts w:ascii="Calibri" w:hAnsi="Calibri" w:eastAsia="宋体"/>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5">
    <w:name w:val="Normal (Web)"/>
    <w:basedOn w:val="1"/>
    <w:unhideWhenUsed/>
    <w:qFormat/>
    <w:uiPriority w:val="99"/>
    <w:pPr>
      <w:spacing w:beforeAutospacing="1" w:afterAutospacing="1"/>
      <w:jc w:val="left"/>
    </w:pPr>
    <w:rPr>
      <w:kern w:val="0"/>
      <w:sz w:val="24"/>
    </w:rPr>
  </w:style>
  <w:style w:type="paragraph" w:styleId="16">
    <w:name w:val="Title"/>
    <w:basedOn w:val="1"/>
    <w:next w:val="1"/>
    <w:qFormat/>
    <w:uiPriority w:val="0"/>
    <w:pPr>
      <w:widowControl/>
      <w:spacing w:before="240" w:after="60" w:line="560" w:lineRule="exact"/>
      <w:jc w:val="center"/>
      <w:outlineLvl w:val="0"/>
    </w:pPr>
    <w:rPr>
      <w:rFonts w:ascii="Arial" w:hAnsi="Arial" w:eastAsia="华文中宋" w:cs="Arial"/>
      <w:b/>
      <w:bCs/>
      <w:color w:val="FF0000"/>
      <w:sz w:val="84"/>
      <w:szCs w:val="32"/>
    </w:rPr>
  </w:style>
  <w:style w:type="paragraph" w:styleId="17">
    <w:name w:val="Body Text First Indent 2"/>
    <w:basedOn w:val="10"/>
    <w:qFormat/>
    <w:uiPriority w:val="0"/>
    <w:pPr>
      <w:ind w:firstLine="420" w:firstLineChars="200"/>
    </w:pPr>
    <w:rPr>
      <w:rFonts w:ascii="??" w:hAnsi="??"/>
      <w:szCs w:val="22"/>
    </w:rPr>
  </w:style>
  <w:style w:type="table" w:styleId="19">
    <w:name w:val="Table Grid"/>
    <w:basedOn w:val="1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1">
    <w:name w:val="Hyperlink"/>
    <w:basedOn w:val="20"/>
    <w:qFormat/>
    <w:uiPriority w:val="0"/>
    <w:rPr>
      <w:color w:val="0000FF"/>
      <w:u w:val="single"/>
    </w:rPr>
  </w:style>
  <w:style w:type="character" w:styleId="22">
    <w:name w:val="annotation reference"/>
    <w:qFormat/>
    <w:uiPriority w:val="0"/>
    <w:rPr>
      <w:sz w:val="21"/>
      <w:szCs w:val="21"/>
    </w:rPr>
  </w:style>
  <w:style w:type="paragraph" w:styleId="23">
    <w:name w:val="List Paragraph"/>
    <w:basedOn w:val="1"/>
    <w:qFormat/>
    <w:uiPriority w:val="99"/>
    <w:pPr>
      <w:ind w:firstLine="420"/>
    </w:pPr>
  </w:style>
  <w:style w:type="paragraph" w:customStyle="1" w:styleId="24">
    <w:name w:val="USE 1"/>
    <w:basedOn w:val="1"/>
    <w:qFormat/>
    <w:uiPriority w:val="0"/>
    <w:pPr>
      <w:spacing w:line="200" w:lineRule="atLeast"/>
      <w:jc w:val="left"/>
    </w:pPr>
    <w:rPr>
      <w:rFonts w:ascii="宋体" w:hAnsi="宋体"/>
      <w:b/>
      <w:sz w:val="24"/>
      <w:szCs w:val="28"/>
    </w:rPr>
  </w:style>
  <w:style w:type="character" w:customStyle="1" w:styleId="25">
    <w:name w:val="font11"/>
    <w:basedOn w:val="20"/>
    <w:qFormat/>
    <w:uiPriority w:val="0"/>
    <w:rPr>
      <w:rFonts w:hint="eastAsia" w:ascii="仿宋_GB2312" w:eastAsia="仿宋_GB2312" w:cs="仿宋_GB2312"/>
      <w:b/>
      <w:bCs/>
      <w:color w:val="000000"/>
      <w:sz w:val="28"/>
      <w:szCs w:val="28"/>
      <w:u w:val="none"/>
    </w:rPr>
  </w:style>
  <w:style w:type="character" w:customStyle="1" w:styleId="26">
    <w:name w:val="font21"/>
    <w:basedOn w:val="20"/>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12054</Words>
  <Characters>12612</Characters>
  <Lines>0</Lines>
  <Paragraphs>0</Paragraphs>
  <TotalTime>1</TotalTime>
  <ScaleCrop>false</ScaleCrop>
  <LinksUpToDate>false</LinksUpToDate>
  <CharactersWithSpaces>12635</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2023-06-13T15:18:00Z</dcterms:created>
  <dc:creator>zzc</dc:creator>
  <cp:lastModifiedBy>liuqi</cp:lastModifiedBy>
  <cp:lastPrinted>2024-03-28T17:43:00Z</cp:lastPrinted>
  <dcterms:modified xsi:type="dcterms:W3CDTF">2024-11-27T16:11:37Z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CC90E9426C9331BF73FB3A6786096EB6</vt:lpwstr>
  </property>
</Properties>
</file>