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 w:val="32"/>
          <w:szCs w:val="32"/>
        </w:rPr>
      </w:pPr>
      <w:r>
        <w:rPr>
          <w:rFonts w:hint="eastAsia" w:ascii="黑体" w:hAnsi="黑体" w:eastAsia="黑体" w:cs="Arial"/>
          <w:kern w:val="0"/>
          <w:sz w:val="32"/>
          <w:szCs w:val="32"/>
        </w:rPr>
        <w:t>附件3</w:t>
      </w:r>
    </w:p>
    <w:p>
      <w:pPr>
        <w:spacing w:line="560" w:lineRule="exact"/>
        <w:jc w:val="center"/>
        <w:rPr>
          <w:rFonts w:ascii="华文中宋" w:hAnsi="华文中宋" w:eastAsia="华文中宋"/>
          <w:spacing w:val="-12"/>
          <w:sz w:val="44"/>
          <w:szCs w:val="44"/>
        </w:rPr>
      </w:pPr>
      <w:r>
        <w:rPr>
          <w:rFonts w:hint="eastAsia" w:ascii="华文中宋" w:hAnsi="华文中宋" w:eastAsia="华文中宋"/>
          <w:spacing w:val="-12"/>
          <w:sz w:val="44"/>
          <w:szCs w:val="44"/>
        </w:rPr>
        <w:t>部分不合格项目小知识</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一、不合格项目小知识</w:t>
      </w:r>
    </w:p>
    <w:p>
      <w:pPr>
        <w:spacing w:line="560" w:lineRule="exact"/>
        <w:ind w:firstLine="481"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rPr>
        <w:t>（一）</w:t>
      </w:r>
      <w:r>
        <w:rPr>
          <w:rFonts w:hint="eastAsia" w:ascii="楷体_GB2312" w:hAnsi="楷体" w:eastAsia="楷体_GB2312" w:cs="仿宋_GB2312"/>
          <w:b/>
          <w:sz w:val="32"/>
          <w:szCs w:val="32"/>
        </w:rPr>
        <w:t>二氧化硫残留量</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2760-2014）中规定，粉丝粉条中不得使用二氧化硫类食品添加剂。</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，可能会出现气喘、头痛或恶心等过敏症状。因此过敏体质等人群应向食物供应者清楚说明自己的情况和需要，进食后如感到不适，应立即就医。</w:t>
      </w:r>
    </w:p>
    <w:p>
      <w:pPr>
        <w:spacing w:line="560" w:lineRule="exact"/>
        <w:ind w:firstLine="481"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rPr>
        <w:t>（二）</w:t>
      </w:r>
      <w:r>
        <w:rPr>
          <w:rFonts w:hint="eastAsia" w:ascii="楷体_GB2312" w:hAnsi="楷体" w:eastAsia="楷体_GB2312" w:cs="仿宋_GB2312"/>
          <w:b/>
          <w:sz w:val="32"/>
          <w:szCs w:val="32"/>
        </w:rPr>
        <w:t>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铅是一种能够在生物体内蓄积且排除缓慢的重金属污染物。《食品安全国家标准 食品中污染物限量》（GB 2762-2017）中规定，水产制品（海蜇制品除外）中的铅(以Pb计)应≤1.0 mg/kg（干重计）；水果制品中的铅(以Pb计)应≤1.0 mg/kg。铅会蓄积在体内，可能会影响大脑和神经系统，尤其会对儿童造成智力发育障碍和表现行为异常。</w:t>
      </w:r>
    </w:p>
    <w:p>
      <w:pPr>
        <w:spacing w:line="560" w:lineRule="exact"/>
        <w:ind w:firstLine="481"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rPr>
        <w:t>（三）</w:t>
      </w:r>
      <w:r>
        <w:rPr>
          <w:rFonts w:hint="eastAsia" w:ascii="楷体_GB2312" w:hAnsi="楷体" w:eastAsia="楷体_GB2312" w:cs="仿宋_GB2312"/>
          <w:b/>
          <w:sz w:val="32"/>
          <w:szCs w:val="32"/>
        </w:rPr>
        <w:t>大肠菌群</w:t>
      </w:r>
    </w:p>
    <w:p>
      <w:pPr>
        <w:spacing w:line="560" w:lineRule="exact"/>
        <w:ind w:firstLine="640" w:firstLineChars="200"/>
        <w:rPr>
          <w:rFonts w:ascii="仿宋_GB2312" w:hAnsi="仿宋" w:eastAsia="仿宋_GB2312" w:cs="仿宋_GB2312"/>
          <w:b/>
          <w:sz w:val="32"/>
          <w:szCs w:val="32"/>
        </w:rPr>
      </w:pPr>
      <w:r>
        <w:rPr>
          <w:rFonts w:hint="eastAsia" w:ascii="仿宋_GB2312" w:hAnsi="仿宋" w:eastAsia="仿宋_GB2312"/>
          <w:sz w:val="32"/>
          <w:szCs w:val="32"/>
        </w:rPr>
        <w:t>大肠菌群是国内外通用的食品污染常用指示菌之一。食品中检出大肠菌群，提示被致病菌（如沙门氏菌、志贺氏菌、致病性大肠杆菌）污染的可能性较大。《食品安全国家标准 熟肉制品》（GB 2726-2016）中规定，从一批产品中采集5个样品，若5个样品的检验结果均小于或等于m值（≤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CFU/g），则这种情况也是不允许的。《鸡精调味料》（SB/T 10371-2003）中规定，鸡精调味料的大肠菌群≤90MPN/100g。</w:t>
      </w:r>
      <w:r>
        <w:rPr>
          <w:rFonts w:hint="eastAsia" w:ascii="仿宋_GB2312" w:hAnsi="仿宋" w:eastAsia="仿宋_GB2312" w:cs="宋体"/>
          <w:sz w:val="32"/>
          <w:szCs w:val="32"/>
        </w:rPr>
        <w:t>食品中检出大肠菌群不合格提示食品可能受到肠道致病菌污染，人食用后可能会出现呕吐、腹泻等消化道症状。</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（四）氟苯尼考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w:t>
      </w:r>
      <w:r>
        <w:rPr>
          <w:rFonts w:hint="eastAsia" w:ascii="仿宋_GB2312" w:hAnsi="仿宋" w:eastAsia="仿宋_GB2312" w:cs="仿宋"/>
          <w:sz w:val="32"/>
          <w:szCs w:val="32"/>
        </w:rPr>
        <w:t>规定，氟苯尼考可用于猪、牛、羊、禽、鱼等，但在产蛋期家禽中禁用（鸡蛋中不得检出）。正常情况下消费者不必对禽蛋中检出氟苯尼考过于担心，但长期食用氟苯尼考残留超标的蛋品，对人体健康有一定风险。</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仿宋_GB2312"/>
          <w:b/>
          <w:sz w:val="32"/>
          <w:szCs w:val="32"/>
        </w:rPr>
        <w:t>（五）</w:t>
      </w:r>
      <w:r>
        <w:rPr>
          <w:rFonts w:hint="eastAsia" w:ascii="楷体_GB2312" w:hAnsi="楷体" w:eastAsia="楷体_GB2312" w:cs="Arial"/>
          <w:b/>
          <w:sz w:val="32"/>
          <w:szCs w:val="32"/>
          <w:shd w:val="clear" w:color="auto" w:fill="FFFFFF"/>
        </w:rPr>
        <w:t>恩诺沙星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w:t>
      </w:r>
      <w:r>
        <w:rPr>
          <w:rFonts w:hint="eastAsia" w:ascii="仿宋_GB2312" w:hAnsi="仿宋" w:eastAsia="仿宋_GB2312" w:cs="仿宋"/>
          <w:sz w:val="32"/>
          <w:szCs w:val="32"/>
        </w:rPr>
        <w:t>规定</w:t>
      </w:r>
      <w:r>
        <w:rPr>
          <w:rFonts w:hint="eastAsia" w:ascii="仿宋_GB2312" w:hAnsi="仿宋" w:eastAsia="仿宋_GB2312"/>
          <w:sz w:val="32"/>
          <w:szCs w:val="32"/>
        </w:rPr>
        <w:t>，恩诺沙星可用于猪、牛、羊、兔、鱼等食用畜禽、水产动物，其中水产品中恩诺沙星(以恩诺沙星与环丙沙星之和计)应≤100μg/kg</w:t>
      </w:r>
      <w:r>
        <w:rPr>
          <w:rFonts w:hint="eastAsia" w:ascii="仿宋_GB2312" w:hAnsi="仿宋" w:eastAsia="仿宋_GB2312"/>
          <w:color w:val="0000FF"/>
          <w:sz w:val="32"/>
          <w:szCs w:val="32"/>
        </w:rPr>
        <w:t>、</w:t>
      </w:r>
      <w:r>
        <w:rPr>
          <w:rFonts w:ascii="仿宋_GB2312" w:hAnsi="仿宋" w:eastAsia="仿宋_GB2312"/>
          <w:sz w:val="32"/>
          <w:szCs w:val="32"/>
        </w:rPr>
        <w:t>在产蛋</w:t>
      </w:r>
      <w:r>
        <w:rPr>
          <w:rFonts w:hint="eastAsia" w:ascii="仿宋_GB2312" w:hAnsi="仿宋" w:eastAsia="仿宋_GB2312"/>
          <w:sz w:val="32"/>
          <w:szCs w:val="32"/>
        </w:rPr>
        <w:t>期家禽</w:t>
      </w:r>
      <w:r>
        <w:rPr>
          <w:rFonts w:ascii="仿宋_GB2312" w:hAnsi="仿宋" w:eastAsia="仿宋_GB2312"/>
          <w:sz w:val="32"/>
          <w:szCs w:val="32"/>
        </w:rPr>
        <w:t>中禁用（鸡蛋中不得检出）。</w:t>
      </w:r>
      <w:r>
        <w:rPr>
          <w:rFonts w:hint="eastAsia" w:ascii="仿宋_GB2312" w:hAnsi="仿宋" w:eastAsia="仿宋_GB2312" w:cs="宋体"/>
          <w:kern w:val="0"/>
          <w:sz w:val="32"/>
          <w:szCs w:val="32"/>
          <w:lang w:val="zh-CN"/>
        </w:rPr>
        <w:t>老年人、儿童及低免疫力人群摄入较多</w:t>
      </w:r>
      <w:r>
        <w:rPr>
          <w:rFonts w:hint="eastAsia" w:ascii="仿宋_GB2312" w:hAnsi="仿宋" w:eastAsia="仿宋_GB2312"/>
          <w:sz w:val="32"/>
          <w:szCs w:val="32"/>
        </w:rPr>
        <w:t>恩诺沙星不合格的产品，可引起轻度胃肠道不适、头痛、头晕等症状，并产生耐药性。</w:t>
      </w:r>
    </w:p>
    <w:p>
      <w:pPr>
        <w:spacing w:line="560" w:lineRule="exact"/>
        <w:ind w:firstLine="642" w:firstLineChars="200"/>
        <w:rPr>
          <w:rFonts w:ascii="楷体_GB2312" w:hAnsi="楷体" w:eastAsia="楷体_GB2312" w:cs="楷体"/>
          <w:b/>
          <w:bCs/>
          <w:sz w:val="32"/>
          <w:szCs w:val="32"/>
          <w:shd w:val="clear" w:color="auto" w:fill="FFFFFF"/>
        </w:rPr>
      </w:pPr>
      <w:r>
        <w:rPr>
          <w:rFonts w:hint="eastAsia" w:ascii="楷体_GB2312" w:hAnsi="楷体" w:eastAsia="楷体_GB2312" w:cs="Arial"/>
          <w:b/>
          <w:sz w:val="32"/>
          <w:szCs w:val="32"/>
          <w:shd w:val="clear" w:color="auto" w:fill="FFFFFF"/>
        </w:rPr>
        <w:t>（六）氧氟沙星</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氧氟沙星属于氟喹诺酮类药物，因抗菌谱广、抗菌活性强曾被广泛用于畜禽细菌性疾病的治疗和预防。《发布在食品动物中停止使用洛美沙星、培氟沙星、氧氟沙星、诺氟沙星4种兽药的决定》（农业部公告第2292号）中规定，自2016年12月31日起，停止经营、使用用于食品动物的包括氧氟沙星在内的4种原料药的各种盐、酯及其各种制剂。氧氟沙星残留在人体中蓄积，可能引起人体耐药性，长期摄入氧氟沙星超标的动物性食品，可引起轻度胃肠道刺激或不适以及头痛、头晕、睡眠不良等症状，大剂量还可能引起肝损害。</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（七）脱氢乙酸及其钠盐</w:t>
      </w:r>
    </w:p>
    <w:p>
      <w:pPr>
        <w:spacing w:line="560" w:lineRule="exact"/>
        <w:ind w:firstLine="640" w:firstLineChars="200"/>
        <w:rPr>
          <w:rFonts w:ascii="仿宋_GB2312" w:hAnsi="仿宋" w:eastAsia="仿宋_GB2312" w:cs="宋体"/>
          <w:kern w:val="0"/>
          <w:sz w:val="32"/>
          <w:szCs w:val="32"/>
          <w:lang w:val="zh-CN"/>
        </w:rPr>
      </w:pPr>
      <w:r>
        <w:rPr>
          <w:rFonts w:hint="eastAsia" w:ascii="仿宋_GB2312" w:hAnsi="仿宋" w:eastAsia="仿宋_GB2312"/>
          <w:sz w:val="32"/>
          <w:szCs w:val="32"/>
        </w:rPr>
        <w:t>脱氢乙酸及其钠盐因对霉菌具有较强的抑制作用而被广泛用作防腐剂使用。《食品安全国家标准 食品添加剂使用标准》（GB 2760-2014）中规定，米粉制品中不得使用脱氢乙酸及其钠盐。</w:t>
      </w:r>
      <w:r>
        <w:rPr>
          <w:rFonts w:hint="eastAsia" w:ascii="仿宋_GB2312" w:hAnsi="仿宋" w:eastAsia="仿宋_GB2312" w:cs="宋体"/>
          <w:kern w:val="0"/>
          <w:sz w:val="32"/>
          <w:szCs w:val="32"/>
          <w:lang w:val="zh-CN"/>
        </w:rPr>
        <w:t>由于脱氢乙酸可与血浆中的白蛋白或组织中蛋白质的胺基结合，若长期过量食用脱氢乙酸含量超标的食品可能会引起肝、肾和中枢神经系统的损伤。</w:t>
      </w:r>
    </w:p>
    <w:p>
      <w:pPr>
        <w:spacing w:line="560" w:lineRule="exact"/>
        <w:ind w:firstLine="565" w:firstLineChars="176"/>
        <w:rPr>
          <w:rFonts w:ascii="楷体_GB2312" w:hAnsi="仿宋" w:eastAsia="楷体_GB2312"/>
          <w:sz w:val="32"/>
          <w:szCs w:val="32"/>
        </w:rPr>
      </w:pPr>
      <w:r>
        <w:rPr>
          <w:rFonts w:hint="eastAsia" w:ascii="楷体_GB2312" w:hAnsi="楷体" w:eastAsia="楷体_GB2312" w:cs="仿宋_GB2312"/>
          <w:b/>
          <w:color w:val="000000" w:themeColor="text1"/>
          <w:sz w:val="32"/>
          <w:szCs w:val="32"/>
        </w:rPr>
        <w:t>（八）乙基麦芽酚</w:t>
      </w:r>
      <w:r>
        <w:rPr>
          <w:rFonts w:hint="eastAsia" w:ascii="楷体_GB2312" w:hAnsi="仿宋" w:eastAsia="楷体_GB2312"/>
          <w:sz w:val="32"/>
          <w:szCs w:val="32"/>
        </w:rPr>
        <w:t xml:space="preserve">   </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乙基麦芽酚是一种香味增效剂，对食品的香味改善和增强具有显著效果，且能延长食品的储存期。《食品安全国家标准 食品添加剂使用标准》（GB 2760-2014）中规定食用调和油中不得使用乙基麦芽酚。本次检出的微量乙基麦芽酚并不会对人体健康造成损害，但存在以掺杂、掺假、伪造为目的而使用食品添加剂的可能。</w:t>
      </w:r>
    </w:p>
    <w:p>
      <w:pPr>
        <w:spacing w:line="560" w:lineRule="exact"/>
        <w:ind w:left="420" w:leftChars="200" w:firstLine="144" w:firstLineChars="45"/>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（九）氯氟氰菊酯和高效氯氟氰菊酯</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cs="仿宋"/>
          <w:bCs/>
          <w:sz w:val="32"/>
          <w:szCs w:val="32"/>
        </w:rPr>
        <w:t>是一种具有触杀和胃毒作用的拟除虫菊酯类农药。《食品安全国家标准 食品中农药最大残留限量》（GB 2763-2019）中规定，瓜类蔬菜（黄瓜除外）中</w:t>
      </w:r>
      <w:r>
        <w:rPr>
          <w:rFonts w:hint="eastAsia" w:ascii="仿宋_GB2312" w:hAnsi="仿宋" w:eastAsia="仿宋_GB2312" w:cs="仿宋"/>
          <w:bCs/>
          <w:sz w:val="32"/>
          <w:szCs w:val="32"/>
          <w:shd w:val="clear" w:color="auto" w:fill="FFFFFF"/>
        </w:rPr>
        <w:t>氯氟氰菊酯和高效氯氟氰菊酯应</w:t>
      </w:r>
      <w:r>
        <w:rPr>
          <w:rFonts w:hint="eastAsia" w:ascii="仿宋_GB2312" w:hAnsi="仿宋" w:eastAsia="仿宋_GB2312"/>
          <w:color w:val="000000" w:themeColor="text1"/>
          <w:sz w:val="32"/>
          <w:szCs w:val="32"/>
        </w:rPr>
        <w:t>≤</w:t>
      </w:r>
      <w:r>
        <w:rPr>
          <w:rFonts w:hint="eastAsia" w:ascii="仿宋_GB2312" w:hAnsi="仿宋" w:eastAsia="仿宋_GB2312"/>
          <w:sz w:val="32"/>
          <w:szCs w:val="32"/>
        </w:rPr>
        <w:t>0.05mg/kg。</w:t>
      </w: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sz w:val="32"/>
          <w:szCs w:val="32"/>
        </w:rPr>
        <w:t>对皮肤有刺激作用，接触量大时会引起头痛、头昏、恶心、呕吐、双手颤抖等症状。</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（十）酒精度</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酒精度又叫酒度，是酒类的一个重要理化指标，是指在20℃时，100毫升酒中含有乙醇（酒精）的毫升数，即体积（容量）的百</w:t>
      </w:r>
      <w:r>
        <w:rPr>
          <w:rFonts w:hint="eastAsia" w:ascii="仿宋_GB2312" w:hAnsi="仿宋" w:eastAsia="仿宋_GB2312" w:cs="仿宋"/>
          <w:bCs/>
          <w:sz w:val="32"/>
          <w:szCs w:val="32"/>
        </w:rPr>
        <w:t>分数。《清香型白酒》（GB/T 10781.2-2006）</w:t>
      </w:r>
      <w:r>
        <w:rPr>
          <w:rFonts w:hint="eastAsia" w:ascii="仿宋_GB2312" w:hAnsi="仿宋" w:eastAsia="仿宋_GB2312" w:cs="仿宋"/>
          <w:bCs/>
          <w:spacing w:val="-12"/>
          <w:sz w:val="32"/>
          <w:szCs w:val="32"/>
        </w:rPr>
        <w:t>中规定，白酒的实际酒精度应在标示值±1.0%vol的偏差范围内。</w:t>
      </w:r>
      <w:r>
        <w:rPr>
          <w:rFonts w:hint="eastAsia" w:ascii="仿宋_GB2312" w:hAnsi="仿宋" w:eastAsia="仿宋_GB2312" w:cs="仿宋"/>
          <w:bCs/>
          <w:sz w:val="32"/>
          <w:szCs w:val="32"/>
        </w:rPr>
        <w:t>《地理标志产品 九江双蒸酒》（DB44/T 1604-2015）</w:t>
      </w:r>
      <w:r>
        <w:rPr>
          <w:rFonts w:hint="eastAsia" w:ascii="仿宋_GB2312" w:hAnsi="仿宋" w:eastAsia="仿宋_GB2312" w:cs="仿宋"/>
          <w:bCs/>
          <w:spacing w:val="-12"/>
          <w:sz w:val="32"/>
          <w:szCs w:val="32"/>
        </w:rPr>
        <w:t>中规定，九江双</w:t>
      </w:r>
      <w:r>
        <w:rPr>
          <w:rFonts w:hint="eastAsia" w:ascii="仿宋_GB2312" w:hAnsi="仿宋" w:eastAsia="仿宋_GB2312" w:cs="仿宋"/>
          <w:bCs/>
          <w:sz w:val="32"/>
          <w:szCs w:val="32"/>
        </w:rPr>
        <w:t>蒸</w:t>
      </w:r>
      <w:r>
        <w:rPr>
          <w:rFonts w:hint="eastAsia" w:ascii="仿宋_GB2312" w:hAnsi="仿宋" w:eastAsia="仿宋_GB2312" w:cs="仿宋"/>
          <w:bCs/>
          <w:spacing w:val="-12"/>
          <w:sz w:val="32"/>
          <w:szCs w:val="32"/>
        </w:rPr>
        <w:t>酒的实际酒精度应在标示值±1.0%vol的偏差范围内。</w:t>
      </w:r>
      <w:r>
        <w:rPr>
          <w:rFonts w:hint="eastAsia" w:ascii="仿宋_GB2312" w:hAnsi="仿宋" w:eastAsia="仿宋_GB2312"/>
          <w:bCs/>
          <w:sz w:val="32"/>
          <w:szCs w:val="32"/>
        </w:rPr>
        <w:t>酒中酒精度不达标会影响酒类的品质及口感，此外产品实际酒精度与明示指标不符也可能对消费者构成欺骗行为。</w:t>
      </w:r>
    </w:p>
    <w:p>
      <w:pPr>
        <w:spacing w:line="560" w:lineRule="exact"/>
        <w:ind w:firstLine="706" w:firstLineChars="220"/>
        <w:rPr>
          <w:rFonts w:ascii="楷体_GB2312" w:hAnsi="楷体" w:eastAsia="楷体_GB2312"/>
          <w:b/>
          <w:color w:val="000000" w:themeColor="text1"/>
          <w:sz w:val="32"/>
          <w:szCs w:val="32"/>
        </w:rPr>
      </w:pPr>
      <w:r>
        <w:rPr>
          <w:rFonts w:hint="eastAsia" w:ascii="楷体_GB2312" w:hAnsi="楷体" w:eastAsia="楷体_GB2312" w:cs="仿宋_GB2312"/>
          <w:b/>
          <w:color w:val="000000" w:themeColor="text1"/>
          <w:sz w:val="32"/>
          <w:szCs w:val="32"/>
        </w:rPr>
        <w:t>（十一）</w:t>
      </w:r>
      <w:r>
        <w:rPr>
          <w:rFonts w:hint="eastAsia" w:ascii="楷体_GB2312" w:hAnsi="楷体" w:eastAsia="楷体_GB2312"/>
          <w:b/>
          <w:color w:val="000000" w:themeColor="text1"/>
          <w:sz w:val="32"/>
          <w:szCs w:val="32"/>
        </w:rPr>
        <w:t>菌落总数</w:t>
      </w:r>
    </w:p>
    <w:p>
      <w:pPr>
        <w:spacing w:line="560" w:lineRule="exact"/>
        <w:ind w:firstLine="640" w:firstLineChars="200"/>
        <w:rPr>
          <w:rFonts w:ascii="仿宋_GB2312" w:hAnsi="楷体" w:eastAsia="仿宋_GB2312" w:cs="Arial"/>
          <w:b/>
          <w:color w:val="000000" w:themeColor="text1"/>
          <w:sz w:val="32"/>
          <w:szCs w:val="32"/>
          <w:shd w:val="clear" w:color="auto" w:fill="FFFFFF"/>
        </w:rPr>
      </w:pPr>
      <w:r>
        <w:rPr>
          <w:rFonts w:hint="eastAsia" w:ascii="仿宋_GB2312" w:hAnsi="仿宋" w:eastAsia="仿宋_GB2312"/>
          <w:color w:val="000000" w:themeColor="text1"/>
          <w:sz w:val="32"/>
          <w:szCs w:val="32"/>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《广东省食品安全地方标准 非预包装即食食品微生物限量》（DBS 44/006-2016）中规定，即食食品菌落总数（CFU/g）满意：＜10</w:t>
      </w:r>
      <w:r>
        <w:rPr>
          <w:rFonts w:hint="eastAsia" w:ascii="仿宋_GB2312" w:hAnsi="仿宋" w:eastAsia="仿宋_GB2312" w:cs="仿宋"/>
          <w:sz w:val="32"/>
          <w:szCs w:val="32"/>
          <w:vertAlign w:val="superscript"/>
        </w:rPr>
        <w:t>5</w:t>
      </w:r>
      <w:r>
        <w:rPr>
          <w:rFonts w:hint="eastAsia" w:ascii="仿宋_GB2312" w:hAnsi="仿宋" w:eastAsia="仿宋_GB2312" w:cs="仿宋"/>
          <w:sz w:val="32"/>
          <w:szCs w:val="32"/>
        </w:rPr>
        <w:t>；可接受：10</w:t>
      </w:r>
      <w:r>
        <w:rPr>
          <w:rFonts w:hint="eastAsia" w:ascii="仿宋_GB2312" w:hAnsi="仿宋" w:eastAsia="仿宋_GB2312" w:cs="仿宋"/>
          <w:sz w:val="32"/>
          <w:szCs w:val="32"/>
          <w:vertAlign w:val="superscript"/>
        </w:rPr>
        <w:t>5</w:t>
      </w:r>
      <w:r>
        <w:rPr>
          <w:rFonts w:hint="eastAsia" w:ascii="仿宋_GB2312" w:hAnsi="仿宋" w:eastAsia="仿宋_GB2312" w:cs="仿宋"/>
          <w:sz w:val="32"/>
          <w:szCs w:val="32"/>
        </w:rPr>
        <w:t>- ＜10</w:t>
      </w:r>
      <w:r>
        <w:rPr>
          <w:rFonts w:hint="eastAsia" w:ascii="仿宋_GB2312" w:hAnsi="仿宋" w:eastAsia="仿宋_GB2312" w:cs="仿宋"/>
          <w:sz w:val="32"/>
          <w:szCs w:val="32"/>
          <w:vertAlign w:val="superscript"/>
        </w:rPr>
        <w:t>6</w:t>
      </w:r>
      <w:r>
        <w:rPr>
          <w:rFonts w:hint="eastAsia" w:ascii="仿宋_GB2312" w:hAnsi="仿宋" w:eastAsia="仿宋_GB2312" w:cs="仿宋"/>
          <w:sz w:val="32"/>
          <w:szCs w:val="32"/>
        </w:rPr>
        <w:t xml:space="preserve"> ；不合格：≥10</w:t>
      </w:r>
      <w:r>
        <w:rPr>
          <w:rFonts w:hint="eastAsia" w:ascii="仿宋_GB2312" w:hAnsi="仿宋" w:eastAsia="仿宋_GB2312" w:cs="仿宋"/>
          <w:sz w:val="32"/>
          <w:szCs w:val="32"/>
          <w:vertAlign w:val="superscript"/>
        </w:rPr>
        <w:t>6</w:t>
      </w:r>
      <w:r>
        <w:rPr>
          <w:rFonts w:hint="eastAsia" w:ascii="仿宋_GB2312" w:hAnsi="仿宋" w:eastAsia="仿宋_GB2312" w:cs="仿宋"/>
          <w:sz w:val="32"/>
          <w:szCs w:val="32"/>
        </w:rPr>
        <w:t>。</w:t>
      </w:r>
      <w:r>
        <w:rPr>
          <w:rFonts w:hint="eastAsia" w:ascii="仿宋_GB2312" w:hAnsi="仿宋" w:eastAsia="仿宋_GB2312"/>
          <w:sz w:val="32"/>
          <w:szCs w:val="32"/>
        </w:rPr>
        <w:t>食品的菌落总数超标，说明其产品的卫生状况达不到基本的卫生要求，将会破坏食品的营养成分，加速食品的腐败变质，使食品失去食用价值。消费者食用菌落总数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rPr>
        <w:t>超标严重的食品，容易患痢疾等肠道疾病，会引起呕吐、腹泻等症状。</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（十二）</w:t>
      </w:r>
      <w:r>
        <w:rPr>
          <w:rFonts w:hint="eastAsia" w:ascii="楷体_GB2312" w:hAnsi="楷体" w:eastAsia="楷体_GB2312" w:cs="仿宋_GB2312"/>
          <w:b/>
          <w:sz w:val="32"/>
          <w:szCs w:val="32"/>
        </w:rPr>
        <w:t>过氧化值</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过氧化值主要反映食品中油脂是否氧化变质。随着油脂被氧化，过氧化值会逐步升高。《食品安全国家标准 腌腊肉制品》（GB 2730-2015）中规定，腊肉、香（腊）肠的过氧化值(以脂肪计)应≤0.5g/100g。</w:t>
      </w:r>
      <w:r>
        <w:rPr>
          <w:rFonts w:hint="eastAsia" w:ascii="仿宋_GB2312" w:hAnsi="仿宋" w:eastAsia="仿宋_GB2312"/>
          <w:sz w:val="32"/>
          <w:szCs w:val="32"/>
        </w:rPr>
        <w:t>过氧化值过高会导致肠胃不适、腹泻等症状。</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Arial"/>
          <w:b/>
          <w:sz w:val="32"/>
          <w:szCs w:val="32"/>
          <w:shd w:val="clear" w:color="auto" w:fill="FFFFFF"/>
        </w:rPr>
        <w:t>（十三）</w:t>
      </w:r>
      <w:r>
        <w:rPr>
          <w:rFonts w:hint="eastAsia" w:ascii="楷体_GB2312" w:hAnsi="楷体" w:eastAsia="楷体_GB2312"/>
          <w:b/>
          <w:sz w:val="32"/>
          <w:szCs w:val="32"/>
        </w:rPr>
        <w:t>五氯酚酸钠</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五氯酚酸钠属于有机氯农药，是氯代烃类杀虫剂和杀真菌剂。《中华人民共和国农业农村部公告第250号》中规定，五氯酚酸钠（以五氯酚计）为禁止使用的药物，在动物性食品中不得检出。五氯酚酸钠能抑制生物代谢过程中氧化磷酸化作用, 会造成人体的肝、肾及中枢神经系统的损害。</w:t>
      </w:r>
    </w:p>
    <w:p>
      <w:pPr>
        <w:widowControl/>
        <w:shd w:val="clear" w:color="auto" w:fill="FEFEFE"/>
        <w:spacing w:line="560" w:lineRule="exact"/>
        <w:ind w:firstLine="565" w:firstLineChars="154"/>
        <w:rPr>
          <w:rFonts w:ascii="楷体_GB2312" w:hAnsi="微软雅黑" w:eastAsia="楷体_GB2312" w:cs="宋体"/>
          <w:b/>
          <w:color w:val="000000" w:themeColor="text1"/>
          <w:spacing w:val="23"/>
          <w:kern w:val="0"/>
          <w:sz w:val="32"/>
          <w:szCs w:val="32"/>
        </w:rPr>
      </w:pPr>
      <w:r>
        <w:rPr>
          <w:rFonts w:hint="eastAsia" w:ascii="楷体_GB2312" w:hAnsi="微软雅黑" w:eastAsia="楷体_GB2312" w:cs="宋体"/>
          <w:b/>
          <w:color w:val="000000" w:themeColor="text1"/>
          <w:spacing w:val="23"/>
          <w:kern w:val="0"/>
          <w:sz w:val="32"/>
          <w:szCs w:val="32"/>
        </w:rPr>
        <w:t>（十四）</w:t>
      </w:r>
      <w:r>
        <w:rPr>
          <w:rFonts w:ascii="楷体_GB2312" w:hAnsi="微软雅黑" w:eastAsia="楷体_GB2312" w:cs="宋体"/>
          <w:b/>
          <w:color w:val="000000" w:themeColor="text1"/>
          <w:spacing w:val="23"/>
          <w:kern w:val="0"/>
          <w:sz w:val="32"/>
          <w:szCs w:val="32"/>
        </w:rPr>
        <w:t>苯甲酸及其钠盐</w:t>
      </w:r>
    </w:p>
    <w:p>
      <w:pPr>
        <w:widowControl/>
        <w:shd w:val="clear" w:color="auto" w:fill="FEFEFE"/>
        <w:spacing w:line="560" w:lineRule="exact"/>
        <w:ind w:firstLine="640" w:firstLineChars="200"/>
        <w:rPr>
          <w:rFonts w:ascii="仿宋_GB2312" w:hAnsi="微软雅黑" w:eastAsia="仿宋_GB2312" w:cs="宋体"/>
          <w:color w:val="38598B"/>
          <w:spacing w:val="23"/>
          <w:kern w:val="0"/>
          <w:sz w:val="32"/>
          <w:szCs w:val="32"/>
        </w:rPr>
      </w:pPr>
      <w:r>
        <w:rPr>
          <w:rFonts w:hint="eastAsia" w:ascii="仿宋_GB2312" w:hAnsi="宋体" w:eastAsia="仿宋_GB2312" w:cs="宋体"/>
          <w:kern w:val="0"/>
          <w:sz w:val="32"/>
          <w:szCs w:val="32"/>
        </w:rPr>
        <w:t>苯甲酸及其钠盐是食品工业中常见的防腐保鲜剂，对霉菌、酵母和细菌有较好的抑制作用。《食品安全国家标准 食品添加剂使用标准》（GB2760-2014）中规定，腌渍蔬菜苯甲酸及其钠盐（以苯甲酸计）</w:t>
      </w:r>
      <w:r>
        <w:rPr>
          <w:rFonts w:hint="eastAsia" w:ascii="仿宋_GB2312" w:hAnsi="仿宋" w:eastAsia="仿宋_GB2312"/>
          <w:sz w:val="32"/>
          <w:szCs w:val="32"/>
        </w:rPr>
        <w:t>应≤</w:t>
      </w:r>
      <w:r>
        <w:rPr>
          <w:rFonts w:hint="eastAsia" w:ascii="仿宋_GB2312" w:hAnsi="宋体" w:eastAsia="仿宋_GB2312" w:cs="宋体"/>
          <w:kern w:val="0"/>
          <w:sz w:val="32"/>
          <w:szCs w:val="32"/>
        </w:rPr>
        <w:t>1.0g/kg；生湿面制品、</w:t>
      </w:r>
      <w:r>
        <w:rPr>
          <w:rFonts w:ascii="仿宋_GB2312" w:hAnsi="宋体" w:eastAsia="仿宋_GB2312" w:cs="宋体"/>
          <w:kern w:val="0"/>
          <w:sz w:val="32"/>
          <w:szCs w:val="32"/>
        </w:rPr>
        <w:t>预制动物性水产干制品不得使用</w:t>
      </w:r>
      <w:r>
        <w:rPr>
          <w:rFonts w:hint="eastAsia" w:ascii="仿宋_GB2312" w:hAnsi="宋体" w:eastAsia="仿宋_GB2312" w:cs="宋体"/>
          <w:kern w:val="0"/>
          <w:sz w:val="32"/>
          <w:szCs w:val="32"/>
        </w:rPr>
        <w:t>苯甲酸及其钠盐（以苯甲酸计）。苯甲酸及其钠盐的安全性较高，少量苯甲酸对人体无毒害，可随尿液排出体外，在人体内不会蓄积。若长期过量食入苯甲酸超标的食品可能会对肝脏功能产生一定影响。</w:t>
      </w:r>
    </w:p>
    <w:p>
      <w:pPr>
        <w:spacing w:line="560" w:lineRule="exact"/>
        <w:ind w:firstLine="642" w:firstLineChars="200"/>
        <w:rPr>
          <w:rFonts w:ascii="楷体_GB2312" w:hAnsi="仿宋" w:eastAsia="楷体_GB2312" w:cs="宋体"/>
          <w:b/>
          <w:sz w:val="32"/>
          <w:szCs w:val="32"/>
        </w:rPr>
      </w:pPr>
      <w:r>
        <w:rPr>
          <w:rFonts w:hint="eastAsia" w:ascii="楷体_GB2312" w:hAnsi="仿宋" w:eastAsia="楷体_GB2312" w:cs="宋体"/>
          <w:b/>
          <w:sz w:val="32"/>
          <w:szCs w:val="32"/>
        </w:rPr>
        <w:t>（十五）防腐剂混合使用时各自用量占其最大使用量的比例之和</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防腐剂比例之和是指防腐剂混合使用时,各自用量占其最大使用量的比例之和。GB 2760-2014《食品安全国家标准  食品添加剂使用标准》除了对食品中各种防腐剂的最大限量做了规定，同时为防止各单一防腐剂加成后总量过大，规定其在混合使用时各自用量占其最大使用量的比例之和不应超过1。以本次检出防腐剂比例之和最高的酱腌菜为例，样品同时使用防腐剂苯甲酸及其钠盐、山梨酸及其钾盐、脱氢乙酸及其钠盐，按照单一限量规定三者都合格，但是三者的防腐剂比例之和为1.4，超过了规定值1。</w:t>
      </w:r>
    </w:p>
    <w:p>
      <w:pPr>
        <w:spacing w:line="560" w:lineRule="exact"/>
        <w:ind w:firstLine="640" w:firstLineChars="200"/>
        <w:rPr>
          <w:rFonts w:ascii="仿宋_GB2312" w:eastAsia="仿宋_GB2312"/>
          <w:sz w:val="32"/>
          <w:szCs w:val="32"/>
        </w:rPr>
      </w:pPr>
      <w:r>
        <w:rPr>
          <w:rFonts w:hint="eastAsia" w:ascii="仿宋_GB2312" w:hAnsi="仿宋" w:eastAsia="仿宋_GB2312" w:cs="宋体"/>
          <w:sz w:val="32"/>
          <w:szCs w:val="32"/>
        </w:rPr>
        <w:t>大部分防腐剂在体内可参与代谢，不会残留在体内，但如果长期食用防腐剂含量超标严重的食品，则可能破坏人体肠道正常菌群的平衡，严重时危害人体的肝脏和肾脏，导致人体肠胃功能、</w:t>
      </w:r>
      <w:r>
        <w:rPr>
          <w:rFonts w:hint="eastAsia" w:ascii="仿宋_GB2312" w:hAnsi="仿宋" w:eastAsia="仿宋_GB2312" w:cs="宋体"/>
          <w:color w:val="auto"/>
          <w:sz w:val="32"/>
          <w:szCs w:val="32"/>
          <w:u w:val="none"/>
        </w:rPr>
        <w:t>血液</w:t>
      </w:r>
      <w:r>
        <w:rPr>
          <w:rFonts w:hint="eastAsia" w:ascii="仿宋_GB2312" w:hAnsi="仿宋" w:eastAsia="仿宋_GB2312" w:cs="宋体"/>
          <w:sz w:val="32"/>
          <w:szCs w:val="32"/>
        </w:rPr>
        <w:t>酸碱度失调。</w:t>
      </w:r>
    </w:p>
    <w:p>
      <w:pPr>
        <w:widowControl/>
        <w:shd w:val="clear" w:color="auto" w:fill="FEFEFE"/>
        <w:spacing w:line="560" w:lineRule="exact"/>
        <w:ind w:firstLine="565" w:firstLineChars="154"/>
        <w:rPr>
          <w:rFonts w:ascii="楷体_GB2312" w:hAnsi="微软雅黑" w:eastAsia="楷体_GB2312" w:cs="宋体"/>
          <w:b/>
          <w:color w:val="000000" w:themeColor="text1"/>
          <w:spacing w:val="23"/>
          <w:kern w:val="0"/>
          <w:sz w:val="32"/>
          <w:szCs w:val="32"/>
        </w:rPr>
      </w:pPr>
      <w:r>
        <w:rPr>
          <w:rFonts w:hint="eastAsia" w:ascii="楷体_GB2312" w:hAnsi="微软雅黑" w:eastAsia="楷体_GB2312" w:cs="宋体"/>
          <w:b/>
          <w:color w:val="000000" w:themeColor="text1"/>
          <w:spacing w:val="23"/>
          <w:kern w:val="0"/>
          <w:sz w:val="32"/>
          <w:szCs w:val="32"/>
        </w:rPr>
        <w:t>（十六）呈味核苷酸二钠</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呈味核苷酸二钠</w:t>
      </w:r>
      <w:r>
        <w:rPr>
          <w:rFonts w:hint="eastAsia" w:ascii="仿宋_GB2312" w:hAnsi="宋体" w:eastAsia="仿宋_GB2312" w:cs="宋体"/>
          <w:kern w:val="0"/>
          <w:sz w:val="32"/>
          <w:szCs w:val="32"/>
        </w:rPr>
        <w:t>是较为经济而且效果较好的鲜味增强剂，是方便面</w:t>
      </w:r>
      <w:bookmarkStart w:id="1" w:name="_GoBack"/>
      <w:bookmarkEnd w:id="1"/>
      <w:r>
        <w:rPr>
          <w:rFonts w:hint="eastAsia" w:ascii="仿宋_GB2312" w:hAnsi="宋体" w:eastAsia="仿宋_GB2312" w:cs="宋体"/>
          <w:kern w:val="0"/>
          <w:sz w:val="32"/>
          <w:szCs w:val="32"/>
        </w:rPr>
        <w:t>调味包、鸡精、鸡粉和增鲜酱油的主要</w:t>
      </w:r>
      <w:r>
        <w:rPr>
          <w:rFonts w:hint="eastAsia" w:ascii="仿宋_GB2312" w:hAnsi="仿宋" w:eastAsia="仿宋_GB2312" w:cs="宋体"/>
          <w:sz w:val="32"/>
          <w:szCs w:val="32"/>
        </w:rPr>
        <w:t>呈味成分之一。《鸡精调味料》（SB/T 10371-2003）中规定，鸡精调味料中呈味核苷酸二钠应≥1.10g/100g。呈味核苷酸二钠可以代谢为尿酸，尿酸高、有痛风的人群建议少吃或不吃含呈味核苷酸二钠的调味品。</w:t>
      </w:r>
    </w:p>
    <w:p>
      <w:pPr>
        <w:spacing w:line="560" w:lineRule="exact"/>
        <w:ind w:firstLine="642" w:firstLineChars="200"/>
        <w:rPr>
          <w:rFonts w:ascii="楷体_GB2312" w:hAnsi="仿宋" w:eastAsia="楷体_GB2312" w:cs="宋体"/>
          <w:color w:val="000000"/>
          <w:kern w:val="0"/>
          <w:sz w:val="32"/>
          <w:szCs w:val="32"/>
        </w:rPr>
      </w:pPr>
      <w:r>
        <w:rPr>
          <w:rFonts w:hint="eastAsia" w:ascii="楷体_GB2312" w:hAnsi="楷体" w:eastAsia="楷体_GB2312" w:cs="仿宋_GB2312"/>
          <w:b/>
          <w:sz w:val="32"/>
          <w:szCs w:val="32"/>
        </w:rPr>
        <w:t>（十七）克百威</w:t>
      </w:r>
    </w:p>
    <w:p>
      <w:pPr>
        <w:pStyle w:val="13"/>
        <w:ind w:firstLine="640"/>
        <w:rPr>
          <w:rFonts w:ascii="仿宋_GB2312" w:hAnsi="仿宋" w:eastAsia="仿宋_GB2312"/>
          <w:color w:val="0000FF"/>
          <w:sz w:val="32"/>
          <w:szCs w:val="32"/>
        </w:rPr>
      </w:pPr>
      <w:r>
        <w:rPr>
          <w:rFonts w:hint="eastAsia" w:ascii="仿宋_GB2312" w:hAnsi="仿宋" w:eastAsia="仿宋_GB2312"/>
          <w:sz w:val="32"/>
          <w:szCs w:val="32"/>
        </w:rPr>
        <w:t>克百威是一种具有内吸、触杀和胃毒作用的氨基甲酸酯类杀虫剂。《食品安全国家标准 食品中农药最大残留限量》（GB 2763-2019）中规定，柑橘类水果中克百威（克百威和3-羟基克百威之和，以克百威计）应≤0.02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（十八）</w:t>
      </w:r>
      <w:r>
        <w:rPr>
          <w:rFonts w:hint="eastAsia" w:ascii="楷体_GB2312" w:hAnsi="楷体" w:eastAsia="楷体_GB2312" w:cs="宋体"/>
          <w:b/>
          <w:color w:val="000000"/>
          <w:kern w:val="0"/>
          <w:sz w:val="32"/>
          <w:szCs w:val="32"/>
        </w:rPr>
        <w:t>山梨酸及其钾盐</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山梨酸及山梨酸钾是食品防腐保鲜剂，具有广泛的抑菌效果和防霉性能。《食品安全国家标准 食品添加剂使用标准》（GB 2760-2014）中规定，葡萄酒中山梨酸及其钾盐（以山梨酸计）应≤0.2g/kg；腌腊肉制品、发酵面制品（自制）中不得使用山梨酸及其钾盐（以山梨酸计）。山梨酸可以被人体的代谢系统吸收而迅速分解为二氧化碳和水。食用山梨酸不合格的食品，会对人体的骨骼生长、肾脏、肝脏健康造成一定影响。</w:t>
      </w:r>
    </w:p>
    <w:p>
      <w:pPr>
        <w:spacing w:line="560" w:lineRule="exact"/>
        <w:ind w:firstLine="642" w:firstLineChars="200"/>
        <w:rPr>
          <w:rFonts w:ascii="楷体_GB2312" w:hAnsi="楷体" w:eastAsia="楷体_GB2312" w:cs="宋体"/>
          <w:b/>
          <w:color w:val="000000" w:themeColor="text1"/>
          <w:kern w:val="0"/>
          <w:sz w:val="32"/>
          <w:szCs w:val="32"/>
        </w:rPr>
      </w:pPr>
      <w:r>
        <w:rPr>
          <w:rFonts w:hint="eastAsia" w:ascii="楷体_GB2312" w:hAnsi="楷体" w:eastAsia="楷体_GB2312" w:cs="仿宋_GB2312"/>
          <w:b/>
          <w:color w:val="000000" w:themeColor="text1"/>
          <w:sz w:val="32"/>
          <w:szCs w:val="32"/>
        </w:rPr>
        <w:t>（十九）</w:t>
      </w:r>
      <w:r>
        <w:rPr>
          <w:rFonts w:hint="eastAsia" w:ascii="楷体_GB2312" w:hAnsi="楷体" w:eastAsia="楷体_GB2312" w:cs="宋体"/>
          <w:b/>
          <w:color w:val="000000" w:themeColor="text1"/>
          <w:kern w:val="0"/>
          <w:sz w:val="32"/>
          <w:szCs w:val="32"/>
        </w:rPr>
        <w:t>甜蜜素</w:t>
      </w:r>
    </w:p>
    <w:p>
      <w:pPr>
        <w:pStyle w:val="13"/>
        <w:spacing w:line="560" w:lineRule="exact"/>
        <w:ind w:firstLine="640"/>
        <w:rPr>
          <w:rFonts w:ascii="仿宋_GB2312" w:hAnsi="仿宋" w:eastAsia="仿宋_GB2312"/>
          <w:sz w:val="32"/>
          <w:szCs w:val="32"/>
        </w:rPr>
      </w:pPr>
      <w:r>
        <w:rPr>
          <w:rFonts w:hint="eastAsia" w:ascii="仿宋_GB2312" w:hAnsi="仿宋" w:eastAsia="仿宋_GB2312"/>
          <w:sz w:val="32"/>
          <w:szCs w:val="32"/>
        </w:rPr>
        <w:t>甜蜜素化学名称为环己基</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"http://baike.sogou.com/lemma/ShowInnerLink.htm?lemmaId=5618812" </w:instrText>
      </w:r>
      <w:r>
        <w:rPr>
          <w:rFonts w:hint="eastAsia" w:ascii="仿宋_GB2312" w:eastAsia="仿宋_GB2312"/>
          <w:sz w:val="32"/>
          <w:szCs w:val="32"/>
        </w:rPr>
        <w:fldChar w:fldCharType="separate"/>
      </w:r>
      <w:r>
        <w:rPr>
          <w:rFonts w:hint="eastAsia" w:ascii="仿宋_GB2312" w:hAnsi="仿宋" w:eastAsia="仿宋_GB2312"/>
          <w:sz w:val="32"/>
          <w:szCs w:val="32"/>
        </w:rPr>
        <w:t>氨基磺酸</w:t>
      </w:r>
      <w:r>
        <w:rPr>
          <w:rFonts w:hint="eastAsia" w:ascii="仿宋_GB2312" w:hAnsi="仿宋" w:eastAsia="仿宋_GB2312"/>
          <w:sz w:val="32"/>
          <w:szCs w:val="32"/>
        </w:rPr>
        <w:fldChar w:fldCharType="end"/>
      </w:r>
      <w:r>
        <w:rPr>
          <w:rFonts w:hint="eastAsia" w:ascii="仿宋_GB2312" w:hAnsi="仿宋" w:eastAsia="仿宋_GB2312"/>
          <w:sz w:val="32"/>
          <w:szCs w:val="32"/>
        </w:rPr>
        <w:t>钠，是一种常用</w:t>
      </w:r>
      <w:r>
        <w:fldChar w:fldCharType="begin"/>
      </w:r>
      <w:r>
        <w:instrText xml:space="preserve"> HYPERLINK "http://baike.sogou.com/lemma/ShowInnerLink.htm?lemmaId=130009" </w:instrText>
      </w:r>
      <w:r>
        <w:fldChar w:fldCharType="separate"/>
      </w:r>
      <w:r>
        <w:rPr>
          <w:rFonts w:hint="eastAsia" w:ascii="仿宋_GB2312" w:hAnsi="仿宋" w:eastAsia="仿宋_GB2312"/>
          <w:sz w:val="32"/>
          <w:szCs w:val="32"/>
        </w:rPr>
        <w:t>甜味剂</w:t>
      </w:r>
      <w:r>
        <w:rPr>
          <w:rFonts w:hint="eastAsia" w:ascii="仿宋_GB2312" w:hAnsi="仿宋" w:eastAsia="仿宋_GB2312"/>
          <w:sz w:val="32"/>
          <w:szCs w:val="32"/>
        </w:rPr>
        <w:fldChar w:fldCharType="end"/>
      </w:r>
      <w:r>
        <w:rPr>
          <w:rFonts w:hint="eastAsia" w:ascii="仿宋_GB2312" w:hAnsi="仿宋" w:eastAsia="仿宋_GB2312"/>
          <w:sz w:val="32"/>
          <w:szCs w:val="32"/>
        </w:rPr>
        <w:t>，其甜度是蔗糖的30～40倍，为非营养型</w:t>
      </w:r>
      <w:r>
        <w:fldChar w:fldCharType="begin"/>
      </w:r>
      <w:r>
        <w:instrText xml:space="preserve"> HYPERLINK "http://baike.sogou.com/lemma/ShowInnerLink.htm?lemmaId=130009&amp;ss_c=ssc.citiao.link" </w:instrText>
      </w:r>
      <w:r>
        <w:fldChar w:fldCharType="separate"/>
      </w:r>
      <w:r>
        <w:rPr>
          <w:rFonts w:hint="eastAsia" w:ascii="仿宋_GB2312" w:hAnsi="仿宋" w:eastAsia="仿宋_GB2312"/>
          <w:sz w:val="32"/>
          <w:szCs w:val="32"/>
        </w:rPr>
        <w:t>甜味剂</w:t>
      </w:r>
      <w:r>
        <w:rPr>
          <w:rFonts w:hint="eastAsia" w:ascii="仿宋_GB2312" w:hAnsi="仿宋" w:eastAsia="仿宋_GB2312"/>
          <w:sz w:val="32"/>
          <w:szCs w:val="32"/>
        </w:rPr>
        <w:fldChar w:fldCharType="end"/>
      </w:r>
      <w:r>
        <w:rPr>
          <w:rFonts w:hint="eastAsia" w:ascii="仿宋_GB2312" w:hAnsi="仿宋" w:eastAsia="仿宋_GB2312"/>
          <w:sz w:val="32"/>
          <w:szCs w:val="32"/>
        </w:rPr>
        <w:t>。《食品安全国家标准 食品添加剂使用标准》（GB 2760-2014）中规定，葡萄酒中不得使用甜蜜素，腌渍的蔬菜中甜蜜素(以环己基氨基磺酸计）应≤1.0g/kg。长期食用甜蜜素不合格的食品，可能会对代谢排毒能力较弱人群的健康产生一定的影响。</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（二十）苋菜红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苋菜红是常见合成着色剂，在现代食品业中应用广泛。《食品安全国家标准 食品添加剂使用标准》（GB 2760-2014）中规定，蜜饯凉果中苋菜红应≤0.05g/kg。合成着色剂没有 营养价值，</w:t>
      </w:r>
      <w:r>
        <w:rPr>
          <w:rFonts w:hint="eastAsia" w:ascii="仿宋_GB2312" w:eastAsia="仿宋_GB2312" w:cs="Calibri"/>
          <w:sz w:val="32"/>
          <w:szCs w:val="32"/>
        </w:rPr>
        <w:t> </w:t>
      </w:r>
      <w:r>
        <w:rPr>
          <w:rFonts w:hint="eastAsia" w:ascii="仿宋_GB2312" w:hAnsi="仿宋" w:eastAsia="仿宋_GB2312"/>
          <w:sz w:val="32"/>
          <w:szCs w:val="32"/>
        </w:rPr>
        <w:t>尤其是青少年儿童，正处于生长发育期，体内器官功能比较脆弱，神经系统发育尚不健全，对化学物质比较敏感，因此建议消费者要树立科学、健康的饮食观，在选购食品时切忌盲目追求产品卖相，注意荤素合理搭配、营养均衡。</w:t>
      </w:r>
    </w:p>
    <w:p>
      <w:pPr>
        <w:widowControl/>
        <w:spacing w:line="560" w:lineRule="exact"/>
        <w:ind w:firstLine="642" w:firstLineChars="200"/>
        <w:jc w:val="left"/>
        <w:rPr>
          <w:rFonts w:ascii="楷体_GB2312" w:hAnsi="宋体" w:eastAsia="楷体_GB2312" w:cs="宋体"/>
          <w:b/>
          <w:kern w:val="0"/>
          <w:sz w:val="32"/>
          <w:szCs w:val="32"/>
        </w:rPr>
      </w:pPr>
      <w:r>
        <w:rPr>
          <w:rFonts w:hint="eastAsia" w:ascii="楷体_GB2312" w:hAnsi="楷体" w:eastAsia="楷体_GB2312" w:cs="仿宋_GB2312"/>
          <w:b/>
          <w:sz w:val="32"/>
          <w:szCs w:val="32"/>
        </w:rPr>
        <w:t>（二十一）</w:t>
      </w:r>
      <w:r>
        <w:rPr>
          <w:rFonts w:hint="eastAsia" w:ascii="楷体_GB2312" w:hAnsi="宋体" w:eastAsia="楷体_GB2312" w:cs="宋体"/>
          <w:b/>
          <w:kern w:val="0"/>
          <w:sz w:val="32"/>
          <w:szCs w:val="32"/>
        </w:rPr>
        <w:t>水分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水分属于理化指标，水分高低反映产品的含水量。合理的水分控制，可避免产品的功效成分或营养物质分解、酶解变质、霉变等，有助于保持产品质量稳定。</w:t>
      </w:r>
      <w:r>
        <w:rPr>
          <w:rFonts w:hint="eastAsia" w:ascii="仿宋_GB2312" w:hAnsi="仿宋" w:eastAsia="仿宋_GB2312"/>
          <w:sz w:val="32"/>
          <w:szCs w:val="32"/>
        </w:rPr>
        <w:t>《食品安全国家标准 婴幼儿谷类辅助食品》（GB 10769-2010）中规定，婴幼儿谷物辅助食品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≤6.0%</w:t>
      </w:r>
      <w:r>
        <w:rPr>
          <w:rFonts w:hint="eastAsia" w:ascii="仿宋_GB2312" w:hAnsi="宋体" w:eastAsia="仿宋_GB2312" w:cs="宋体"/>
          <w:kern w:val="0"/>
          <w:sz w:val="32"/>
          <w:szCs w:val="32"/>
        </w:rPr>
        <w:t>。食用水分不合格产品不会对人体造成直接危害</w:t>
      </w:r>
      <w:r>
        <w:rPr>
          <w:rFonts w:hint="eastAsia" w:ascii="仿宋_GB2312" w:hAnsi="仿宋" w:eastAsia="仿宋_GB2312" w:cs="华文中宋"/>
          <w:sz w:val="32"/>
          <w:szCs w:val="32"/>
          <w:lang w:bidi="ar"/>
        </w:rPr>
        <w:t>，</w:t>
      </w:r>
      <w:r>
        <w:rPr>
          <w:rFonts w:hint="eastAsia" w:ascii="仿宋_GB2312" w:hAnsi="仿宋" w:eastAsia="仿宋_GB2312"/>
          <w:bCs/>
          <w:sz w:val="32"/>
          <w:szCs w:val="32"/>
        </w:rPr>
        <w:t>但</w:t>
      </w:r>
      <w:r>
        <w:rPr>
          <w:rFonts w:ascii="仿宋_GB2312" w:hAnsi="仿宋" w:eastAsia="仿宋_GB2312"/>
          <w:bCs/>
          <w:sz w:val="32"/>
          <w:szCs w:val="32"/>
        </w:rPr>
        <w:t>会缩短产品的保质期限，使产品易发生霉变</w:t>
      </w:r>
      <w:r>
        <w:rPr>
          <w:rFonts w:hint="eastAsia" w:ascii="仿宋_GB2312" w:hAnsi="宋体" w:eastAsia="仿宋_GB2312" w:cs="宋体"/>
          <w:kern w:val="0"/>
          <w:sz w:val="32"/>
          <w:szCs w:val="32"/>
        </w:rPr>
        <w:t>。</w:t>
      </w:r>
    </w:p>
    <w:p>
      <w:pPr>
        <w:pStyle w:val="6"/>
        <w:shd w:val="clear" w:color="auto" w:fill="FFFFFF"/>
        <w:spacing w:before="0" w:beforeAutospacing="0" w:after="0" w:afterAutospacing="0" w:line="560" w:lineRule="exact"/>
        <w:ind w:firstLine="960" w:firstLineChars="300"/>
        <w:jc w:val="both"/>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二、建议</w:t>
      </w:r>
    </w:p>
    <w:p>
      <w:pPr>
        <w:pStyle w:val="6"/>
        <w:shd w:val="clear" w:color="auto" w:fill="FFFFFF"/>
        <w:spacing w:before="0" w:beforeAutospacing="0" w:after="0" w:afterAutospacing="0" w:line="560" w:lineRule="exact"/>
        <w:ind w:firstLine="706" w:firstLineChars="220"/>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6"/>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2" w:firstLineChars="200"/>
        <w:rPr>
          <w:rFonts w:ascii="楷体_GB2312" w:eastAsia="楷体_GB2312"/>
          <w:bCs/>
        </w:rPr>
      </w:pPr>
      <w:r>
        <w:rPr>
          <w:rFonts w:hint="eastAsia" w:ascii="楷体_GB2312" w:hAnsi="楷体" w:eastAsia="楷体_GB2312"/>
          <w:b/>
          <w:sz w:val="32"/>
          <w:szCs w:val="32"/>
        </w:rPr>
        <w:t>（二）加强生产过程的质量控制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食品生产过程是直接影响食品质量安全的关键。生产企业应</w:t>
      </w:r>
      <w:r>
        <w:rPr>
          <w:rFonts w:hint="eastAsia" w:ascii="仿宋_GB2312" w:eastAsia="仿宋_GB2312"/>
          <w:snapToGrid w:val="0"/>
          <w:kern w:val="0"/>
          <w:sz w:val="32"/>
          <w:szCs w:val="32"/>
        </w:rPr>
        <w:t>建立HACCP食品安全管理体系，设定关键控制点和相应的温度和时间的关键限值，严格执行食品加工过程标准工作程序，达到有效控制食品安全风险；</w:t>
      </w:r>
      <w:r>
        <w:rPr>
          <w:rFonts w:hint="eastAsia" w:ascii="仿宋_GB2312" w:eastAsia="仿宋_GB2312"/>
          <w:sz w:val="32"/>
          <w:szCs w:val="32"/>
        </w:rPr>
        <w:t>提高操作人员的食品安全意识，督促员工建立良好的个人卫生习惯，遵守卫生标准操作程序，避免加工过程中的人为污染；定期对厂区内</w:t>
      </w:r>
      <w:bookmarkStart w:id="0" w:name="OLE_LINK2"/>
      <w:r>
        <w:rPr>
          <w:rFonts w:hint="eastAsia" w:ascii="仿宋_GB2312" w:eastAsia="仿宋_GB2312"/>
          <w:sz w:val="32"/>
          <w:szCs w:val="32"/>
        </w:rPr>
        <w:t>环境和设施进行消毒、清洁</w:t>
      </w:r>
      <w:bookmarkEnd w:id="0"/>
      <w:r>
        <w:rPr>
          <w:rFonts w:hint="eastAsia" w:ascii="仿宋_GB2312" w:eastAsia="仿宋_GB2312"/>
          <w:sz w:val="32"/>
          <w:szCs w:val="32"/>
        </w:rPr>
        <w:t>，并对环境进行微生物监测，以减少或避免生产过程中受到微生物的污染。</w:t>
      </w:r>
    </w:p>
    <w:p>
      <w:pPr>
        <w:pStyle w:val="6"/>
        <w:shd w:val="clear" w:color="auto" w:fill="FFFFFF"/>
        <w:spacing w:before="0" w:beforeAutospacing="0" w:after="0" w:afterAutospacing="0" w:line="56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（三）加强食品出厂检验</w:t>
      </w:r>
    </w:p>
    <w:p>
      <w:pPr>
        <w:pStyle w:val="6"/>
        <w:shd w:val="clear" w:color="auto" w:fill="FFFFFF"/>
        <w:spacing w:before="0" w:beforeAutospacing="0" w:after="0" w:afterAutospacing="0" w:line="560" w:lineRule="exact"/>
        <w:ind w:firstLine="640" w:firstLineChars="200"/>
        <w:jc w:val="both"/>
        <w:rPr>
          <w:rFonts w:ascii="黑体" w:hAnsi="黑体" w:eastAsia="黑体" w:cs="仿宋_GB2312"/>
          <w:color w:val="000000" w:themeColor="text1"/>
          <w:sz w:val="32"/>
          <w:szCs w:val="32"/>
        </w:rPr>
      </w:pPr>
      <w:r>
        <w:rPr>
          <w:rFonts w:hint="eastAsia" w:eastAsia="仿宋_GB2312"/>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成品的检测频率，进行自检或送往具有相关资质的检测机构进行检测；建立健全产品召回机制，应对突发产品质量问题。</w:t>
      </w:r>
    </w:p>
    <w:p>
      <w:pPr>
        <w:pStyle w:val="6"/>
        <w:shd w:val="clear" w:color="auto" w:fill="FFFFFF"/>
        <w:spacing w:before="0" w:beforeAutospacing="0" w:after="0" w:afterAutospacing="0" w:line="560" w:lineRule="exact"/>
        <w:ind w:firstLine="642" w:firstLineChars="200"/>
        <w:jc w:val="both"/>
        <w:rPr>
          <w:rStyle w:val="9"/>
          <w:rFonts w:ascii="楷体_GB2312" w:hAnsi="楷体" w:eastAsia="楷体_GB2312"/>
          <w:color w:val="2B2B2B"/>
          <w:sz w:val="32"/>
          <w:szCs w:val="32"/>
        </w:rPr>
      </w:pPr>
      <w:r>
        <w:rPr>
          <w:rStyle w:val="9"/>
          <w:rFonts w:hint="eastAsia" w:ascii="楷体_GB2312" w:hAnsi="楷体" w:eastAsia="楷体_GB2312"/>
          <w:color w:val="2B2B2B"/>
          <w:sz w:val="32"/>
          <w:szCs w:val="32"/>
        </w:rPr>
        <w:t>（四）保证食品运输、贮存环境</w:t>
      </w:r>
    </w:p>
    <w:p>
      <w:pPr>
        <w:pStyle w:val="6"/>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食品生产经营者应保证运输和装卸食品的容器、工具和设备清洁、无害，保证食品的生产经营环境和储存环境等符合食品所需的环境，并及时清理变质、超过保质期及其他不符合标准要求的食品；针对特殊贮存要求的食品，食品生产经营者在运输、贮藏时应当符合食品安全所需要的温度、空间隔离等特殊要求，防止交叉污染。</w:t>
      </w:r>
    </w:p>
    <w:p>
      <w:pPr>
        <w:pStyle w:val="6"/>
        <w:shd w:val="clear" w:color="auto" w:fill="FFFFFF"/>
        <w:spacing w:before="0" w:beforeAutospacing="0" w:after="0" w:afterAutospacing="0" w:line="560" w:lineRule="exact"/>
        <w:ind w:firstLine="642" w:firstLineChars="200"/>
        <w:jc w:val="both"/>
        <w:rPr>
          <w:rStyle w:val="9"/>
          <w:rFonts w:ascii="楷体_GB2312" w:hAnsi="楷体" w:eastAsia="楷体_GB2312"/>
          <w:sz w:val="32"/>
          <w:szCs w:val="32"/>
        </w:rPr>
      </w:pPr>
      <w:r>
        <w:rPr>
          <w:rStyle w:val="9"/>
          <w:rFonts w:hint="eastAsia" w:ascii="楷体_GB2312" w:hAnsi="楷体" w:eastAsia="楷体_GB2312"/>
          <w:sz w:val="32"/>
          <w:szCs w:val="32"/>
        </w:rPr>
        <w:t>（五）加强食品从业人员培训</w:t>
      </w:r>
    </w:p>
    <w:p>
      <w:pPr>
        <w:pStyle w:val="6"/>
        <w:shd w:val="clear" w:color="auto" w:fill="FFFFFF"/>
        <w:spacing w:before="0" w:beforeAutospacing="0" w:after="0" w:afterAutospacing="0" w:line="560" w:lineRule="exact"/>
        <w:ind w:firstLine="800" w:firstLineChars="250"/>
        <w:jc w:val="both"/>
        <w:rPr>
          <w:rFonts w:ascii="仿宋_GB2312" w:hAnsi="仿宋" w:eastAsia="仿宋_GB2312"/>
          <w:sz w:val="32"/>
          <w:szCs w:val="32"/>
        </w:rPr>
      </w:pPr>
      <w:r>
        <w:rPr>
          <w:rFonts w:hint="eastAsia" w:ascii="仿宋_GB2312" w:hAnsi="仿宋" w:eastAsia="仿宋_GB2312"/>
          <w:sz w:val="32"/>
          <w:szCs w:val="32"/>
        </w:rPr>
        <w:t>食品生产经营者应建立食品相关岗位的培训制度，加强日常监管及培训，对食品销售人员以及原辅料采购岗位的从业人员进行相应的食品安全知识培训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sz w:val="32"/>
          <w:szCs w:val="32"/>
        </w:rPr>
        <w:t>，</w:t>
      </w:r>
      <w:r>
        <w:rPr>
          <w:rFonts w:hint="eastAsia" w:ascii="仿宋_GB2312" w:hAnsi="仿宋" w:eastAsia="仿宋_GB2312" w:cs="仿宋"/>
          <w:snapToGrid w:val="0"/>
          <w:sz w:val="32"/>
        </w:rPr>
        <w:t>提高从业人员的食品安全意识和维护食品安全能力</w:t>
      </w:r>
      <w:r>
        <w:rPr>
          <w:rFonts w:hint="eastAsia" w:ascii="仿宋_GB2312" w:hAnsi="仿宋" w:eastAsia="仿宋_GB2312"/>
          <w:sz w:val="32"/>
          <w:szCs w:val="32"/>
        </w:rPr>
        <w:t>。</w:t>
      </w:r>
      <w:r>
        <w:rPr>
          <w:rFonts w:hint="eastAsia" w:ascii="仿宋_GB2312" w:hAnsi="仿宋" w:eastAsia="仿宋_GB2312"/>
          <w:color w:val="2B2B2B"/>
          <w:sz w:val="32"/>
          <w:szCs w:val="32"/>
        </w:rPr>
        <w:t>餐厨及服务人员应持有健康体检证明，需进行岗前培训和在岗培训，达到相应的岗位技术素质要求方可上岗。餐厨及服务人员应保持个人卫生，</w:t>
      </w:r>
      <w:r>
        <w:rPr>
          <w:rFonts w:hint="eastAsia" w:ascii="仿宋_GB2312" w:hAnsi="仿宋" w:eastAsia="仿宋_GB2312"/>
          <w:color w:val="2B2B2B"/>
          <w:sz w:val="32"/>
          <w:szCs w:val="32"/>
          <w:shd w:val="clear" w:color="auto" w:fill="FFFFFF"/>
        </w:rPr>
        <w:t>加工食品时应当将手洗净，穿戴清洁的工作衣帽。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037C"/>
    <w:rsid w:val="000043C8"/>
    <w:rsid w:val="000265E3"/>
    <w:rsid w:val="000271B8"/>
    <w:rsid w:val="00046334"/>
    <w:rsid w:val="0008664D"/>
    <w:rsid w:val="000C5A13"/>
    <w:rsid w:val="000C5CDC"/>
    <w:rsid w:val="000C7EF5"/>
    <w:rsid w:val="000E754B"/>
    <w:rsid w:val="00107F89"/>
    <w:rsid w:val="001272CB"/>
    <w:rsid w:val="00166C16"/>
    <w:rsid w:val="00173E26"/>
    <w:rsid w:val="00197C3A"/>
    <w:rsid w:val="001D7341"/>
    <w:rsid w:val="001D787B"/>
    <w:rsid w:val="001E73B5"/>
    <w:rsid w:val="001E7D87"/>
    <w:rsid w:val="00230D4F"/>
    <w:rsid w:val="00267ADA"/>
    <w:rsid w:val="0027038E"/>
    <w:rsid w:val="0027185B"/>
    <w:rsid w:val="002728FB"/>
    <w:rsid w:val="002A2F2B"/>
    <w:rsid w:val="002C5D2C"/>
    <w:rsid w:val="002F2C05"/>
    <w:rsid w:val="0031384E"/>
    <w:rsid w:val="00346380"/>
    <w:rsid w:val="00364DA5"/>
    <w:rsid w:val="00374D3E"/>
    <w:rsid w:val="00380497"/>
    <w:rsid w:val="0039243F"/>
    <w:rsid w:val="003E43F4"/>
    <w:rsid w:val="003E6D50"/>
    <w:rsid w:val="00420DFA"/>
    <w:rsid w:val="00422003"/>
    <w:rsid w:val="00460EBF"/>
    <w:rsid w:val="00491FF1"/>
    <w:rsid w:val="004E47E1"/>
    <w:rsid w:val="004F3835"/>
    <w:rsid w:val="00523093"/>
    <w:rsid w:val="00571A1B"/>
    <w:rsid w:val="00592E8D"/>
    <w:rsid w:val="005A65CA"/>
    <w:rsid w:val="005B1153"/>
    <w:rsid w:val="005C41B0"/>
    <w:rsid w:val="005C442B"/>
    <w:rsid w:val="005E0351"/>
    <w:rsid w:val="005F21C2"/>
    <w:rsid w:val="00611457"/>
    <w:rsid w:val="006202F9"/>
    <w:rsid w:val="00650EDA"/>
    <w:rsid w:val="00657BC0"/>
    <w:rsid w:val="00664703"/>
    <w:rsid w:val="00677F7B"/>
    <w:rsid w:val="00681CB4"/>
    <w:rsid w:val="00690414"/>
    <w:rsid w:val="00690882"/>
    <w:rsid w:val="006913F5"/>
    <w:rsid w:val="006B67EE"/>
    <w:rsid w:val="00703213"/>
    <w:rsid w:val="0075188A"/>
    <w:rsid w:val="00760E8C"/>
    <w:rsid w:val="00772E33"/>
    <w:rsid w:val="00797597"/>
    <w:rsid w:val="007A0F02"/>
    <w:rsid w:val="007D231E"/>
    <w:rsid w:val="007F48FA"/>
    <w:rsid w:val="0081006E"/>
    <w:rsid w:val="00872F87"/>
    <w:rsid w:val="00897AB4"/>
    <w:rsid w:val="008A7BAB"/>
    <w:rsid w:val="008E66CD"/>
    <w:rsid w:val="008F65FD"/>
    <w:rsid w:val="009378EF"/>
    <w:rsid w:val="009406A9"/>
    <w:rsid w:val="00950ACF"/>
    <w:rsid w:val="0095605C"/>
    <w:rsid w:val="00975F1D"/>
    <w:rsid w:val="009A1F7F"/>
    <w:rsid w:val="009C5697"/>
    <w:rsid w:val="009E14D7"/>
    <w:rsid w:val="009E4302"/>
    <w:rsid w:val="009E5E10"/>
    <w:rsid w:val="009F329E"/>
    <w:rsid w:val="009F78FD"/>
    <w:rsid w:val="00A02146"/>
    <w:rsid w:val="00A21DEE"/>
    <w:rsid w:val="00A46E48"/>
    <w:rsid w:val="00A55CD3"/>
    <w:rsid w:val="00A71764"/>
    <w:rsid w:val="00A73C1D"/>
    <w:rsid w:val="00A74A7A"/>
    <w:rsid w:val="00A77B04"/>
    <w:rsid w:val="00A82F29"/>
    <w:rsid w:val="00A95D0B"/>
    <w:rsid w:val="00A97077"/>
    <w:rsid w:val="00B13C86"/>
    <w:rsid w:val="00B3197C"/>
    <w:rsid w:val="00B76FBB"/>
    <w:rsid w:val="00C0165E"/>
    <w:rsid w:val="00C163FA"/>
    <w:rsid w:val="00C16BD1"/>
    <w:rsid w:val="00C21F24"/>
    <w:rsid w:val="00C24616"/>
    <w:rsid w:val="00C37A8E"/>
    <w:rsid w:val="00C40D67"/>
    <w:rsid w:val="00C44296"/>
    <w:rsid w:val="00C66C13"/>
    <w:rsid w:val="00C77B6D"/>
    <w:rsid w:val="00C801D6"/>
    <w:rsid w:val="00C83185"/>
    <w:rsid w:val="00C90914"/>
    <w:rsid w:val="00C92F5C"/>
    <w:rsid w:val="00C96C57"/>
    <w:rsid w:val="00CA625C"/>
    <w:rsid w:val="00CB488A"/>
    <w:rsid w:val="00CD5805"/>
    <w:rsid w:val="00D164C9"/>
    <w:rsid w:val="00D3633C"/>
    <w:rsid w:val="00D6588B"/>
    <w:rsid w:val="00D731FE"/>
    <w:rsid w:val="00D80F7B"/>
    <w:rsid w:val="00D9230A"/>
    <w:rsid w:val="00DC5EAA"/>
    <w:rsid w:val="00DF037C"/>
    <w:rsid w:val="00DF22B9"/>
    <w:rsid w:val="00E118B4"/>
    <w:rsid w:val="00E47121"/>
    <w:rsid w:val="00E636C0"/>
    <w:rsid w:val="00E96EF4"/>
    <w:rsid w:val="00EB156C"/>
    <w:rsid w:val="00F13C44"/>
    <w:rsid w:val="00F15F59"/>
    <w:rsid w:val="00F729FA"/>
    <w:rsid w:val="00FB1D8E"/>
    <w:rsid w:val="00FB22DF"/>
    <w:rsid w:val="00FD3452"/>
    <w:rsid w:val="00FE2E48"/>
    <w:rsid w:val="06231142"/>
    <w:rsid w:val="0A4E404A"/>
    <w:rsid w:val="0E793F32"/>
    <w:rsid w:val="0F4F2E9F"/>
    <w:rsid w:val="12E6783C"/>
    <w:rsid w:val="15081420"/>
    <w:rsid w:val="174E3484"/>
    <w:rsid w:val="1E796335"/>
    <w:rsid w:val="203B5274"/>
    <w:rsid w:val="2144410C"/>
    <w:rsid w:val="231463B0"/>
    <w:rsid w:val="23BA2458"/>
    <w:rsid w:val="2DF85529"/>
    <w:rsid w:val="320C2B6A"/>
    <w:rsid w:val="34323E1E"/>
    <w:rsid w:val="36F23603"/>
    <w:rsid w:val="37D42FED"/>
    <w:rsid w:val="39861FC6"/>
    <w:rsid w:val="3BC5046D"/>
    <w:rsid w:val="427E435E"/>
    <w:rsid w:val="4A6F324E"/>
    <w:rsid w:val="4CF440CD"/>
    <w:rsid w:val="55557151"/>
    <w:rsid w:val="560765F8"/>
    <w:rsid w:val="563E0E4B"/>
    <w:rsid w:val="59780E58"/>
    <w:rsid w:val="599D7766"/>
    <w:rsid w:val="59A52A8B"/>
    <w:rsid w:val="5B7F2EE9"/>
    <w:rsid w:val="5E4349FF"/>
    <w:rsid w:val="5FE31248"/>
    <w:rsid w:val="648B3EA1"/>
    <w:rsid w:val="64A44E88"/>
    <w:rsid w:val="677D1EA6"/>
    <w:rsid w:val="67F65874"/>
    <w:rsid w:val="67F75E10"/>
    <w:rsid w:val="68C43297"/>
    <w:rsid w:val="6B5607EC"/>
    <w:rsid w:val="6B9407E6"/>
    <w:rsid w:val="6D36708D"/>
    <w:rsid w:val="6D8734E8"/>
    <w:rsid w:val="6E300239"/>
    <w:rsid w:val="6F882B4C"/>
    <w:rsid w:val="702E584E"/>
    <w:rsid w:val="70412BBA"/>
    <w:rsid w:val="70556CBC"/>
    <w:rsid w:val="76D41B2A"/>
    <w:rsid w:val="77151366"/>
    <w:rsid w:val="79291FF6"/>
    <w:rsid w:val="7AA85D06"/>
    <w:rsid w:val="7D93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character" w:customStyle="1" w:styleId="12">
    <w:name w:val="批注框文本 Char"/>
    <w:basedOn w:val="8"/>
    <w:link w:val="3"/>
    <w:semiHidden/>
    <w:qFormat/>
    <w:uiPriority w:val="99"/>
    <w:rPr>
      <w:rFonts w:ascii="Calibri" w:hAnsi="Calibri" w:eastAsia="宋体" w:cs="Times New Roman"/>
      <w:sz w:val="18"/>
      <w:szCs w:val="18"/>
    </w:rPr>
  </w:style>
  <w:style w:type="paragraph" w:customStyle="1" w:styleId="13">
    <w:name w:val="列出段落2"/>
    <w:basedOn w:val="1"/>
    <w:qFormat/>
    <w:uiPriority w:val="34"/>
    <w:pPr>
      <w:ind w:firstLine="420" w:firstLineChars="200"/>
    </w:p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857</Words>
  <Characters>4890</Characters>
  <Lines>40</Lines>
  <Paragraphs>11</Paragraphs>
  <TotalTime>65</TotalTime>
  <ScaleCrop>false</ScaleCrop>
  <LinksUpToDate>false</LinksUpToDate>
  <CharactersWithSpaces>5736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2020-03-17T14:32:00Z</dcterms:created>
  <dc:creator>liqx</dc:creator>
  <cp:lastModifiedBy>chenkang1</cp:lastModifiedBy>
  <cp:lastPrinted>2020-06-08T11:35:00Z</cp:lastPrinted>
  <dcterms:modified xsi:type="dcterms:W3CDTF">2024-12-05T17:21:08Z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