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rPr>
          <w:shd w:val="clear" w:color="auto" w:fill="FFFFFF"/>
        </w:rPr>
      </w:pPr>
    </w:p>
    <w:p>
      <w:pPr>
        <w:spacing w:after="0" w:line="560" w:lineRule="exact"/>
        <w:rPr>
          <w:rFonts w:hint="eastAsia" w:ascii="方正小标宋简体" w:hAnsi="方正小标宋简体" w:eastAsia="方正小标宋简体" w:cs="方正小标宋简体"/>
          <w:sz w:val="44"/>
          <w:szCs w:val="44"/>
        </w:rPr>
      </w:pPr>
    </w:p>
    <w:p>
      <w:pPr>
        <w:spacing w:after="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2024-2025年龙华区私募基金及其他新兴金融风险排查专项辅助服务项目</w:t>
      </w:r>
    </w:p>
    <w:p>
      <w:pPr>
        <w:pStyle w:val="2"/>
        <w:ind w:firstLine="0" w:firstLineChars="0"/>
        <w:rPr>
          <w:rFonts w:hint="eastAsia"/>
        </w:rPr>
      </w:pPr>
    </w:p>
    <w:p>
      <w:pPr>
        <w:widowControl w:val="0"/>
        <w:tabs>
          <w:tab w:val="left" w:pos="1820"/>
        </w:tabs>
        <w:adjustRightInd/>
        <w:spacing w:after="0" w:line="560" w:lineRule="exact"/>
        <w:jc w:val="both"/>
        <w:rPr>
          <w:rFonts w:hint="eastAsia" w:ascii="仿宋_GB2312" w:hAnsi="宋体" w:eastAsia="仿宋_GB2312" w:cs="仿宋_GB2312"/>
          <w:sz w:val="32"/>
          <w:szCs w:val="32"/>
        </w:rPr>
      </w:pPr>
    </w:p>
    <w:p>
      <w:pPr>
        <w:pStyle w:val="2"/>
        <w:ind w:firstLine="562"/>
        <w:rPr>
          <w:rFonts w:hint="eastAsia"/>
        </w:rPr>
      </w:pPr>
      <w:r>
        <mc:AlternateContent>
          <mc:Choice Requires="wps">
            <w:drawing>
              <wp:anchor distT="0" distB="0" distL="114300" distR="114300" simplePos="0" relativeHeight="251659264" behindDoc="0" locked="0" layoutInCell="1" allowOverlap="1">
                <wp:simplePos x="0" y="0"/>
                <wp:positionH relativeFrom="column">
                  <wp:posOffset>2411095</wp:posOffset>
                </wp:positionH>
                <wp:positionV relativeFrom="paragraph">
                  <wp:posOffset>331470</wp:posOffset>
                </wp:positionV>
                <wp:extent cx="790575" cy="2914650"/>
                <wp:effectExtent l="0" t="0" r="0" b="0"/>
                <wp:wrapSquare wrapText="bothSides"/>
                <wp:docPr id="1545683088" name="文本框 1"/>
                <wp:cNvGraphicFramePr/>
                <a:graphic xmlns:a="http://schemas.openxmlformats.org/drawingml/2006/main">
                  <a:graphicData uri="http://schemas.microsoft.com/office/word/2010/wordprocessingShape">
                    <wps:wsp>
                      <wps:cNvSpPr txBox="1"/>
                      <wps:spPr>
                        <a:xfrm>
                          <a:off x="0" y="0"/>
                          <a:ext cx="790575" cy="2914650"/>
                        </a:xfrm>
                        <a:prstGeom prst="rect">
                          <a:avLst/>
                        </a:prstGeom>
                        <a:noFill/>
                        <a:ln w="6350">
                          <a:noFill/>
                        </a:ln>
                      </wps:spPr>
                      <wps:txbx>
                        <w:txbxContent>
                          <w:p>
                            <w:pPr>
                              <w:tabs>
                                <w:tab w:val="left" w:pos="1820"/>
                              </w:tabs>
                              <w:ind w:left="360" w:hanging="360" w:hangingChars="50"/>
                              <w:rPr>
                                <w:rFonts w:hint="eastAsia" w:ascii="黑体" w:hAnsi="黑体" w:eastAsia="黑体" w:cs="仿宋_GB2312"/>
                                <w:sz w:val="72"/>
                                <w:szCs w:val="72"/>
                              </w:rPr>
                            </w:pPr>
                            <w:r>
                              <w:rPr>
                                <w:rFonts w:hint="eastAsia" w:ascii="黑体" w:hAnsi="黑体" w:eastAsia="黑体" w:cs="仿宋_GB2312"/>
                                <w:sz w:val="72"/>
                                <w:szCs w:val="72"/>
                              </w:rPr>
                              <w:t>招  标  书</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189.85pt;margin-top:26.1pt;height:229.5pt;width:62.25pt;mso-wrap-distance-bottom:0pt;mso-wrap-distance-left:9pt;mso-wrap-distance-right:9pt;mso-wrap-distance-top:0pt;z-index:251659264;mso-width-relative:page;mso-height-relative:page;" filled="f" stroked="f" coordsize="21600,21600" o:gfxdata="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Bay&#10;YTrZAAAACgEAAA8AAAAAAAAAAQAgAAAAOAAAAGRycy9kb3ducmV2LnhtbFBLAQIUABQAAAAIAIdO&#10;4kABGEC/RQIAAHEEAAAOAAAAAAAAAAEAIAAAAD4BAABkcnMvZTJvRG9jLnhtbFBLBQYAAAAABgAG&#10;AFkBAAD1BQAAAAA=&#10;">
                <v:fill on="f" focussize="0,0"/>
                <v:stroke on="f" weight="0.5pt"/>
                <v:imagedata o:title=""/>
                <o:lock v:ext="edit" aspectratio="f"/>
                <v:textbox style="layout-flow:vertical-ideographic;">
                  <w:txbxContent>
                    <w:p>
                      <w:pPr>
                        <w:tabs>
                          <w:tab w:val="left" w:pos="1820"/>
                        </w:tabs>
                        <w:ind w:left="360" w:hanging="360" w:hangingChars="50"/>
                        <w:rPr>
                          <w:rFonts w:hint="eastAsia" w:ascii="黑体" w:hAnsi="黑体" w:eastAsia="黑体" w:cs="仿宋_GB2312"/>
                          <w:sz w:val="72"/>
                          <w:szCs w:val="72"/>
                        </w:rPr>
                      </w:pPr>
                      <w:r>
                        <w:rPr>
                          <w:rFonts w:hint="eastAsia" w:ascii="黑体" w:hAnsi="黑体" w:eastAsia="黑体" w:cs="仿宋_GB2312"/>
                          <w:sz w:val="72"/>
                          <w:szCs w:val="72"/>
                        </w:rPr>
                        <w:t>招  标  书</w:t>
                      </w:r>
                    </w:p>
                  </w:txbxContent>
                </v:textbox>
                <w10:wrap type="square"/>
              </v:shape>
            </w:pict>
          </mc:Fallback>
        </mc:AlternateContent>
      </w:r>
    </w:p>
    <w:p/>
    <w:p>
      <w:pPr>
        <w:pStyle w:val="2"/>
        <w:ind w:firstLine="0" w:firstLineChars="0"/>
        <w:rPr>
          <w:rFonts w:hint="eastAsia"/>
        </w:rPr>
      </w:pPr>
    </w:p>
    <w:p/>
    <w:p>
      <w:pPr>
        <w:widowControl w:val="0"/>
        <w:tabs>
          <w:tab w:val="left" w:pos="1820"/>
        </w:tabs>
        <w:adjustRightInd/>
        <w:spacing w:after="0" w:line="560" w:lineRule="exact"/>
        <w:jc w:val="both"/>
        <w:rPr>
          <w:rFonts w:hint="eastAsia" w:ascii="仿宋_GB2312" w:hAnsi="宋体" w:eastAsia="仿宋_GB2312" w:cs="仿宋_GB2312"/>
          <w:sz w:val="32"/>
          <w:szCs w:val="32"/>
        </w:rPr>
      </w:pPr>
    </w:p>
    <w:p/>
    <w:p/>
    <w:p>
      <w:pPr>
        <w:pStyle w:val="2"/>
        <w:ind w:firstLine="562"/>
        <w:rPr>
          <w:rFonts w:hint="eastAsia"/>
        </w:rPr>
      </w:pPr>
    </w:p>
    <w:p/>
    <w:p>
      <w:pPr>
        <w:pStyle w:val="2"/>
        <w:ind w:firstLine="562"/>
        <w:rPr>
          <w:rFonts w:hint="eastAsia"/>
        </w:rPr>
      </w:pPr>
    </w:p>
    <w:p>
      <w:pPr>
        <w:jc w:val="center"/>
        <w:rPr>
          <w:rFonts w:ascii="仿宋_GB2312" w:eastAsia="仿宋_GB2312"/>
          <w:sz w:val="32"/>
          <w:szCs w:val="32"/>
        </w:rPr>
      </w:pPr>
    </w:p>
    <w:p>
      <w:pPr>
        <w:jc w:val="center"/>
        <w:rPr>
          <w:rFonts w:ascii="仿宋_GB2312" w:eastAsia="仿宋_GB2312"/>
          <w:sz w:val="32"/>
          <w:szCs w:val="32"/>
        </w:rPr>
      </w:pPr>
    </w:p>
    <w:p>
      <w:pPr>
        <w:pStyle w:val="2"/>
        <w:ind w:firstLine="562"/>
        <w:rPr>
          <w:rFonts w:hint="eastAsia"/>
        </w:rPr>
      </w:pPr>
    </w:p>
    <w:p>
      <w:pPr>
        <w:jc w:val="center"/>
        <w:rPr>
          <w:rFonts w:ascii="仿宋_GB2312" w:eastAsia="仿宋_GB2312"/>
          <w:b/>
          <w:bCs/>
          <w:sz w:val="32"/>
          <w:szCs w:val="32"/>
        </w:rPr>
      </w:pPr>
      <w:r>
        <w:rPr>
          <w:rFonts w:hint="eastAsia" w:ascii="仿宋_GB2312" w:eastAsia="仿宋_GB2312"/>
          <w:b/>
          <w:bCs/>
          <w:sz w:val="32"/>
          <w:szCs w:val="32"/>
        </w:rPr>
        <w:t>深圳市龙华区发展和改革局</w:t>
      </w:r>
    </w:p>
    <w:p>
      <w:pPr>
        <w:jc w:val="center"/>
        <w:rPr>
          <w:rFonts w:ascii="仿宋_GB2312" w:eastAsia="仿宋_GB2312"/>
          <w:b/>
          <w:bCs/>
          <w:sz w:val="32"/>
          <w:szCs w:val="32"/>
        </w:rPr>
      </w:pPr>
      <w:r>
        <w:rPr>
          <w:rFonts w:hint="eastAsia" w:ascii="仿宋_GB2312" w:eastAsia="仿宋_GB2312"/>
          <w:b/>
          <w:bCs/>
          <w:sz w:val="32"/>
          <w:szCs w:val="32"/>
        </w:rPr>
        <w:t>2024年12月</w:t>
      </w:r>
    </w:p>
    <w:p>
      <w:pPr>
        <w:pStyle w:val="2"/>
        <w:ind w:firstLine="562"/>
        <w:rPr>
          <w:rFonts w:hint="eastAsia"/>
        </w:rPr>
      </w:pPr>
    </w:p>
    <w:p>
      <w:pPr>
        <w:sectPr>
          <w:headerReference r:id="rId6" w:type="first"/>
          <w:footerReference r:id="rId9" w:type="first"/>
          <w:headerReference r:id="rId4" w:type="default"/>
          <w:footerReference r:id="rId7" w:type="default"/>
          <w:headerReference r:id="rId5" w:type="even"/>
          <w:footerReference r:id="rId8" w:type="even"/>
          <w:pgSz w:w="11906" w:h="16838"/>
          <w:pgMar w:top="2098" w:right="1474" w:bottom="1984" w:left="1587" w:header="851" w:footer="992" w:gutter="0"/>
          <w:cols w:space="720" w:num="1"/>
          <w:docGrid w:type="lines" w:linePitch="312" w:charSpace="0"/>
        </w:sectPr>
      </w:pPr>
    </w:p>
    <w:p>
      <w:pPr>
        <w:spacing w:after="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2024-2025年龙华区私募基金及其他新兴金融风险排查专项辅助服务项目招标书</w:t>
      </w:r>
    </w:p>
    <w:p>
      <w:pPr>
        <w:tabs>
          <w:tab w:val="left" w:pos="1820"/>
        </w:tabs>
        <w:spacing w:after="0" w:line="560" w:lineRule="exact"/>
        <w:jc w:val="both"/>
        <w:rPr>
          <w:rFonts w:hint="eastAsia" w:ascii="黑体" w:hAnsi="黑体" w:eastAsia="黑体" w:cs="黑体"/>
          <w:bCs/>
          <w:sz w:val="32"/>
          <w:szCs w:val="32"/>
        </w:rPr>
      </w:pPr>
    </w:p>
    <w:p>
      <w:pPr>
        <w:tabs>
          <w:tab w:val="left" w:pos="1820"/>
        </w:tabs>
        <w:spacing w:after="0" w:line="560" w:lineRule="exact"/>
        <w:ind w:firstLine="640" w:firstLineChars="200"/>
        <w:jc w:val="both"/>
        <w:rPr>
          <w:rFonts w:hint="eastAsia" w:ascii="黑体" w:hAnsi="黑体" w:eastAsia="黑体" w:cs="黑体"/>
          <w:bCs/>
          <w:sz w:val="32"/>
          <w:szCs w:val="32"/>
        </w:rPr>
      </w:pPr>
      <w:r>
        <w:rPr>
          <w:rFonts w:hint="eastAsia" w:ascii="黑体" w:hAnsi="黑体" w:eastAsia="黑体" w:cs="黑体"/>
          <w:bCs/>
          <w:sz w:val="32"/>
          <w:szCs w:val="32"/>
        </w:rPr>
        <w:t>一、概况</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（一）项目名称：2024-2025年龙华区私募基金及其他新兴金融风险排查专项辅助服务项目。</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（二）服务期限：项目服务期限自合同签订之日起，为期12个月。</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（三）项目预算：项目经费不超过58万元。</w:t>
      </w:r>
    </w:p>
    <w:p>
      <w:pPr>
        <w:tabs>
          <w:tab w:val="left" w:pos="1820"/>
        </w:tabs>
        <w:spacing w:after="0" w:line="560" w:lineRule="exact"/>
        <w:ind w:firstLine="640" w:firstLineChars="200"/>
        <w:jc w:val="both"/>
        <w:rPr>
          <w:rFonts w:hint="eastAsia" w:ascii="黑体" w:hAnsi="黑体" w:eastAsia="黑体" w:cs="黑体"/>
          <w:bCs/>
          <w:sz w:val="32"/>
          <w:szCs w:val="32"/>
        </w:rPr>
      </w:pPr>
      <w:r>
        <w:rPr>
          <w:rFonts w:hint="eastAsia" w:ascii="黑体" w:hAnsi="黑体" w:eastAsia="黑体" w:cs="黑体"/>
          <w:bCs/>
          <w:sz w:val="32"/>
          <w:szCs w:val="32"/>
        </w:rPr>
        <w:t>二、项目内容</w:t>
      </w:r>
    </w:p>
    <w:p>
      <w:pPr>
        <w:tabs>
          <w:tab w:val="left" w:pos="1820"/>
        </w:tabs>
        <w:spacing w:after="0"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（一）新兴金融风险管控服务 </w:t>
      </w:r>
    </w:p>
    <w:p>
      <w:pPr>
        <w:tabs>
          <w:tab w:val="left" w:pos="1820"/>
        </w:tabs>
        <w:spacing w:after="0" w:line="560" w:lineRule="exact"/>
        <w:ind w:firstLine="640" w:firstLineChars="200"/>
        <w:jc w:val="both"/>
        <w:rPr>
          <w:rFonts w:hint="eastAsia" w:ascii="仿宋_GB2312" w:hAnsi="楷体_GB2312" w:eastAsia="仿宋_GB2312" w:cs="楷体_GB2312"/>
          <w:b/>
          <w:bCs/>
          <w:sz w:val="32"/>
          <w:szCs w:val="32"/>
        </w:rPr>
      </w:pPr>
      <w:r>
        <w:rPr>
          <w:rFonts w:hint="eastAsia" w:ascii="仿宋_GB2312" w:hAnsi="楷体_GB2312" w:eastAsia="仿宋_GB2312" w:cs="楷体_GB2312"/>
          <w:sz w:val="32"/>
          <w:szCs w:val="32"/>
        </w:rPr>
        <w:t>1.私募基金风险管控服务</w:t>
      </w:r>
    </w:p>
    <w:p>
      <w:pPr>
        <w:tabs>
          <w:tab w:val="left" w:pos="1820"/>
        </w:tabs>
        <w:spacing w:after="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前置核准指导服务。依托深圳市私募联合会商机制，为拟招引至龙华区的私募基金管理人或基金产品提供前置核准指导服务，加强对私募管理人及私募产品的风险审核判断，推动辖区私募基金管理人或基金产品准入有序开展。</w:t>
      </w:r>
    </w:p>
    <w:p>
      <w:pPr>
        <w:tabs>
          <w:tab w:val="left" w:pos="1820"/>
        </w:tabs>
        <w:spacing w:after="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二是协助私募基金风险管控。</w:t>
      </w:r>
      <w:r>
        <w:rPr>
          <w:rFonts w:hint="eastAsia" w:ascii="仿宋_GB2312" w:hAnsi="仿宋_GB2312" w:eastAsia="仿宋_GB2312" w:cs="仿宋_GB2312"/>
          <w:color w:val="000000"/>
          <w:sz w:val="32"/>
          <w:szCs w:val="32"/>
        </w:rPr>
        <w:t>按照国家及市级监管机构要求，协助推动辖区内已过会未备案或僵尸机构、失联机构等问题机构的出清，按要求配合对问题机构的调研取证，推动辖区问题机构加快整改进度，提升辖区私募基金行业发展质量。</w:t>
      </w:r>
    </w:p>
    <w:p>
      <w:pPr>
        <w:pStyle w:val="2"/>
        <w:ind w:left="640" w:firstLine="0" w:firstLineChars="0"/>
        <w:jc w:val="both"/>
        <w:rPr>
          <w:rFonts w:hint="eastAsia" w:ascii="仿宋_GB2312" w:hAnsi="楷体_GB2312" w:eastAsia="仿宋_GB2312" w:cs="楷体_GB2312"/>
          <w:b w:val="0"/>
          <w:bCs/>
          <w:color w:val="000000"/>
          <w:sz w:val="32"/>
        </w:rPr>
      </w:pPr>
      <w:r>
        <w:rPr>
          <w:rFonts w:hint="eastAsia" w:ascii="仿宋_GB2312" w:hAnsi="楷体_GB2312" w:eastAsia="仿宋_GB2312" w:cs="楷体_GB2312"/>
          <w:b w:val="0"/>
          <w:bCs/>
          <w:color w:val="000000"/>
          <w:sz w:val="32"/>
        </w:rPr>
        <w:t>2.其他新兴金融业风险管控服务</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按照国家及市级监管机构要求，协助推动辖区内小额贷款、商业保理、融资担保、融资租赁等其他新兴金融行业风险事件管控。</w:t>
      </w:r>
    </w:p>
    <w:p>
      <w:pPr>
        <w:tabs>
          <w:tab w:val="left" w:pos="1820"/>
        </w:tabs>
        <w:spacing w:after="0"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（二）上市公司生态综合服务</w:t>
      </w:r>
    </w:p>
    <w:p>
      <w:pPr>
        <w:pStyle w:val="2"/>
        <w:ind w:left="640" w:firstLine="0" w:firstLineChars="0"/>
        <w:jc w:val="both"/>
        <w:rPr>
          <w:rFonts w:hint="eastAsia" w:ascii="仿宋_GB2312" w:hAnsi="楷体_GB2312" w:eastAsia="仿宋_GB2312" w:cs="楷体_GB2312"/>
          <w:bCs/>
          <w:color w:val="000000"/>
          <w:sz w:val="32"/>
        </w:rPr>
      </w:pPr>
      <w:r>
        <w:rPr>
          <w:rFonts w:hint="eastAsia" w:ascii="仿宋_GB2312" w:hAnsi="楷体_GB2312" w:eastAsia="仿宋_GB2312" w:cs="楷体_GB2312"/>
          <w:b w:val="0"/>
          <w:bCs/>
          <w:color w:val="000000"/>
          <w:sz w:val="32"/>
        </w:rPr>
        <w:t>1.协助提供政策建议</w:t>
      </w:r>
    </w:p>
    <w:p>
      <w:pPr>
        <w:tabs>
          <w:tab w:val="left" w:pos="1820"/>
        </w:tabs>
        <w:spacing w:after="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一是协助开展调研活动。协助走访调研龙华区上市及拟上市企业，</w:t>
      </w:r>
      <w:r>
        <w:rPr>
          <w:rFonts w:hint="eastAsia" w:ascii="仿宋_GB2312" w:hAnsi="仿宋_GB2312" w:eastAsia="仿宋_GB2312" w:cs="仿宋_GB2312"/>
          <w:color w:val="000000"/>
          <w:sz w:val="32"/>
          <w:szCs w:val="32"/>
        </w:rPr>
        <w:t>在广泛结合国家资本市场新规及其他先进地区经验的基础上，掌握龙华区企业上市发展的不足和堵点。</w:t>
      </w:r>
    </w:p>
    <w:p>
      <w:pPr>
        <w:tabs>
          <w:tab w:val="left" w:pos="1820"/>
        </w:tabs>
        <w:spacing w:after="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二是协助政策制定。协助龙华区制定科学系统的上市培育政策及拟上市企业入库标准，协助龙华区形成梯度化的上市培育储备队伍，推动龙华区形成高质量的上市储备资源。</w:t>
      </w:r>
    </w:p>
    <w:p>
      <w:pPr>
        <w:pStyle w:val="2"/>
        <w:ind w:left="640" w:firstLine="0" w:firstLineChars="0"/>
        <w:jc w:val="both"/>
        <w:rPr>
          <w:rFonts w:hint="eastAsia" w:ascii="仿宋_GB2312" w:hAnsi="楷体_GB2312" w:eastAsia="仿宋_GB2312" w:cs="楷体_GB2312"/>
          <w:b w:val="0"/>
          <w:bCs/>
          <w:color w:val="000000"/>
          <w:sz w:val="32"/>
        </w:rPr>
      </w:pPr>
      <w:r>
        <w:rPr>
          <w:rFonts w:hint="eastAsia" w:ascii="仿宋_GB2312" w:hAnsi="楷体_GB2312" w:eastAsia="仿宋_GB2312" w:cs="楷体_GB2312"/>
          <w:b w:val="0"/>
          <w:bCs/>
          <w:color w:val="000000"/>
          <w:sz w:val="32"/>
        </w:rPr>
        <w:t>2.协助开展上市培育和投资交流活动</w:t>
      </w:r>
    </w:p>
    <w:p>
      <w:pPr>
        <w:tabs>
          <w:tab w:val="left" w:pos="1820"/>
        </w:tabs>
        <w:spacing w:after="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一是协助组织开展上市培育活动。协助</w:t>
      </w:r>
      <w:r>
        <w:rPr>
          <w:rFonts w:hint="eastAsia" w:ascii="仿宋_GB2312" w:hAnsi="仿宋_GB2312" w:eastAsia="仿宋_GB2312" w:cs="仿宋_GB2312"/>
          <w:color w:val="000000"/>
          <w:sz w:val="32"/>
          <w:szCs w:val="32"/>
        </w:rPr>
        <w:t>推动辖区上市企业、拟上市企业同交易所、券商及其他专业服务机构的交流，通过境内外资本市场政策解读、案例分析和行业实务经验分享等活动形式，协助推动辖区上市储备企业择优选择上市路径，促进上市企业充分利用定向增发、债券发行、并购重组等资本工具或手段做大做强。</w:t>
      </w:r>
    </w:p>
    <w:p>
      <w:pPr>
        <w:tabs>
          <w:tab w:val="left" w:pos="1820"/>
        </w:tabs>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是协助组织开展投资交流活动。协助开展机构投资者走进上市公司相关活动，搭建机构投资者同龙华优质上市企业的沟通交流桥梁，促进龙华区上市企业价值发现，鼓励龙华上市企业通过股票回购、现金分红等方式提升投资价值，加大回馈投资者力度，提升上市企业整体市值规模。</w:t>
      </w:r>
    </w:p>
    <w:p>
      <w:pPr>
        <w:pStyle w:val="2"/>
        <w:ind w:left="640" w:firstLine="0" w:firstLineChars="0"/>
        <w:jc w:val="both"/>
        <w:rPr>
          <w:rFonts w:hint="eastAsia" w:ascii="仿宋_GB2312" w:hAnsi="楷体_GB2312" w:eastAsia="仿宋_GB2312" w:cs="楷体_GB2312"/>
          <w:bCs/>
          <w:color w:val="000000"/>
          <w:sz w:val="32"/>
        </w:rPr>
      </w:pPr>
      <w:r>
        <w:rPr>
          <w:rFonts w:hint="eastAsia" w:ascii="仿宋_GB2312" w:hAnsi="楷体_GB2312" w:eastAsia="仿宋_GB2312" w:cs="楷体_GB2312"/>
          <w:b w:val="0"/>
          <w:bCs/>
          <w:color w:val="000000"/>
          <w:sz w:val="32"/>
        </w:rPr>
        <w:t>3.协助开展科创企业投融资活动</w:t>
      </w:r>
    </w:p>
    <w:p>
      <w:pPr>
        <w:tabs>
          <w:tab w:val="left" w:pos="1820"/>
        </w:tabs>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龙华区科创企业投融资活动搭建线上线下交流平台，促进投资机构与科创企业之间的项目信息交流。协助开展相关科创企业投融资专题活动，优化投融资推广效率，推动辖区科创企业通过风险投资资金实现快速发展。</w:t>
      </w:r>
    </w:p>
    <w:p>
      <w:pPr>
        <w:spacing w:after="0" w:line="560" w:lineRule="exact"/>
        <w:ind w:firstLine="640" w:firstLineChars="200"/>
        <w:jc w:val="both"/>
        <w:rPr>
          <w:rFonts w:hint="eastAsia" w:ascii="仿宋_GB2312" w:hAnsi="仿宋_GB2312" w:eastAsia="仿宋_GB2312" w:cs="仿宋_GB2312"/>
          <w:color w:val="000000"/>
          <w:sz w:val="32"/>
        </w:rPr>
      </w:pPr>
      <w:r>
        <w:rPr>
          <w:rFonts w:hint="eastAsia" w:ascii="黑体" w:hAnsi="黑体" w:eastAsia="黑体" w:cs="黑体"/>
          <w:sz w:val="32"/>
          <w:szCs w:val="32"/>
        </w:rPr>
        <w:t>三、投标资格要求</w:t>
      </w:r>
    </w:p>
    <w:p>
      <w:pPr>
        <w:spacing w:after="0" w:line="560" w:lineRule="exact"/>
        <w:ind w:firstLine="640" w:firstLineChars="200"/>
        <w:jc w:val="both"/>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zCs w:val="32"/>
        </w:rPr>
        <w:t>（一）具有独立承担民事责任能力的在中华人民共和国境内注册的法人或具有独立承担民事责任能力的其它组织（提供营业执照或事业单位法人证书等法人证明扫描件）。</w:t>
      </w:r>
    </w:p>
    <w:p>
      <w:pPr>
        <w:spacing w:after="0" w:line="560" w:lineRule="exact"/>
        <w:ind w:firstLine="640" w:firstLineChars="200"/>
        <w:jc w:val="both"/>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zCs w:val="32"/>
        </w:rPr>
        <w:t>（二）参与本项目投标前三年内，在经营活动中没有重大违法记录（由供应商在《政府采购投标及履约承诺函》中作出声明）。</w:t>
      </w:r>
    </w:p>
    <w:p>
      <w:pPr>
        <w:spacing w:after="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（三）参与本项目政府采购活</w:t>
      </w:r>
      <w:bookmarkStart w:id="1" w:name="_GoBack"/>
      <w:bookmarkEnd w:id="1"/>
      <w:r>
        <w:rPr>
          <w:rFonts w:hint="eastAsia" w:ascii="仿宋_GB2312" w:hAnsi="仿宋_GB2312" w:eastAsia="仿宋_GB2312" w:cs="仿宋_GB2312"/>
          <w:color w:val="000000"/>
          <w:sz w:val="32"/>
          <w:szCs w:val="32"/>
        </w:rPr>
        <w:t>动时不存在被有关部门禁止参与政府采购活动且在有效期内的情况（由供应商在《政府采购投标及履约承诺函》中作出声明）</w:t>
      </w:r>
    </w:p>
    <w:p>
      <w:pPr>
        <w:widowControl w:val="0"/>
        <w:tabs>
          <w:tab w:val="left" w:pos="1820"/>
        </w:tabs>
        <w:adjustRightInd/>
        <w:spacing w:after="0" w:line="560" w:lineRule="exact"/>
        <w:ind w:firstLine="640" w:firstLineChars="200"/>
        <w:jc w:val="both"/>
        <w:rPr>
          <w:rFonts w:hint="eastAsia" w:ascii="黑体" w:hAnsi="黑体" w:eastAsia="黑体" w:cs="仿宋_GB2312"/>
          <w:sz w:val="32"/>
          <w:szCs w:val="32"/>
        </w:rPr>
      </w:pPr>
      <w:r>
        <w:rPr>
          <w:rFonts w:hint="eastAsia" w:ascii="黑体" w:hAnsi="黑体" w:eastAsia="黑体" w:cs="仿宋_GB2312"/>
          <w:sz w:val="32"/>
          <w:szCs w:val="32"/>
        </w:rPr>
        <w:t>四、投标时间、地点及联系人</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（一）投标时间：2024年12月31日至2025年1月6日（以正式发布为准），每日上午9:00-12:00，下午2:00-6:00（节假日除外），逾期未投标将不再受理。</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（二）投标地点：深圳市龙华区龙华街道清泉路7号富康行政服务办公区20楼B2005-2，深圳市龙华区发展和改革局金融稳定科办公室。</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（三）联系人及电话：赵先生，</w:t>
      </w:r>
      <w:r>
        <w:rPr>
          <w:rFonts w:ascii="仿宋_GB2312" w:hAnsi="宋体" w:eastAsia="仿宋_GB2312" w:cs="仿宋_GB2312"/>
          <w:sz w:val="32"/>
          <w:szCs w:val="32"/>
        </w:rPr>
        <w:t>0755-29300284</w:t>
      </w:r>
      <w:r>
        <w:rPr>
          <w:rFonts w:hint="eastAsia" w:ascii="仿宋_GB2312" w:hAnsi="宋体" w:eastAsia="仿宋_GB2312" w:cs="仿宋_GB2312"/>
          <w:sz w:val="32"/>
          <w:szCs w:val="32"/>
        </w:rPr>
        <w:t>。</w:t>
      </w:r>
    </w:p>
    <w:p>
      <w:pPr>
        <w:widowControl w:val="0"/>
        <w:tabs>
          <w:tab w:val="left" w:pos="1820"/>
        </w:tabs>
        <w:adjustRightInd/>
        <w:spacing w:after="0" w:line="560" w:lineRule="exact"/>
        <w:ind w:firstLine="640" w:firstLineChars="200"/>
        <w:jc w:val="both"/>
        <w:rPr>
          <w:rFonts w:hint="eastAsia" w:ascii="黑体" w:hAnsi="黑体" w:eastAsia="黑体" w:cs="仿宋_GB2312"/>
          <w:sz w:val="32"/>
          <w:szCs w:val="32"/>
        </w:rPr>
      </w:pPr>
      <w:r>
        <w:rPr>
          <w:rFonts w:hint="eastAsia" w:ascii="黑体" w:hAnsi="黑体" w:eastAsia="黑体" w:cs="仿宋_GB2312"/>
          <w:sz w:val="32"/>
          <w:szCs w:val="32"/>
        </w:rPr>
        <w:t>五、投标文件递交内容</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（一）投标单位简介、投标人营业执照及相关证照（提供加盖公章的复印件，原件备查）。</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（二）法定代表人证明书及授权委托书（原件加盖公章）。</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（三）法定代表人及受委托人身份证复印件（复印件加盖公章）。</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（四）项目方案及报价单（原件加盖公章）。</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（五）投标人相关领域项目经验证明材料（复印件加盖公章）。</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（六）投标人无重大违法记录声明函（原件加盖公章，格式自拟）。</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（七）投标及履约承诺函原件（格式见附件）。</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（八）住所地不在深圳的投标人应提供营业场所证明原件。</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（九）投标人认为有必要提供的其它材料。</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投标文件一式五份，整套材料密封并加盖骑缝章，封面注明投标人的名称、地址、联系人及手机号码。</w:t>
      </w:r>
    </w:p>
    <w:p>
      <w:pPr>
        <w:widowControl w:val="0"/>
        <w:tabs>
          <w:tab w:val="left" w:pos="1820"/>
        </w:tabs>
        <w:adjustRightInd/>
        <w:spacing w:after="0" w:line="560" w:lineRule="exact"/>
        <w:ind w:firstLine="640" w:firstLineChars="200"/>
        <w:jc w:val="both"/>
        <w:rPr>
          <w:rFonts w:hint="eastAsia" w:ascii="黑体" w:hAnsi="黑体" w:eastAsia="黑体" w:cs="仿宋_GB2312"/>
          <w:sz w:val="32"/>
          <w:szCs w:val="32"/>
        </w:rPr>
      </w:pPr>
      <w:r>
        <w:rPr>
          <w:rFonts w:hint="eastAsia" w:ascii="黑体" w:hAnsi="黑体" w:eastAsia="黑体" w:cs="仿宋_GB2312"/>
          <w:sz w:val="32"/>
          <w:szCs w:val="32"/>
        </w:rPr>
        <w:t>六、重要提示</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投标单位有下列情况之一的，其投标将被拒绝或作无效投标处理：</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（一）未在规定时间内将投标文件送达规定地点的。</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（二）投标人不具备投标资格要求，或未提交相应资格证明材料。</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（三）投标文件未按规定密封、签字、盖章。</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（四）投标文件无法确定代表人签字或无法确定代表人有效授权委托的。</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（五）分项报价或投标总价高于预算金额（最高投标限价）的。</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（六）同一项目出现两个及以上报价，且按规定无法确定有效报价的。</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（八）所投服务在质量、技术、方案等方面没有实质性满足招标文件要求。</w:t>
      </w:r>
    </w:p>
    <w:p>
      <w:pPr>
        <w:widowControl w:val="0"/>
        <w:tabs>
          <w:tab w:val="left" w:pos="1820"/>
        </w:tabs>
        <w:adjustRightInd/>
        <w:spacing w:after="0" w:line="560" w:lineRule="exact"/>
        <w:ind w:firstLine="640" w:firstLineChars="200"/>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t>（九）法律、法规规定的其他情形。</w:t>
      </w:r>
    </w:p>
    <w:p>
      <w:pPr>
        <w:tabs>
          <w:tab w:val="left" w:pos="1820"/>
        </w:tabs>
        <w:spacing w:after="0" w:line="560" w:lineRule="exact"/>
        <w:ind w:firstLine="640" w:firstLineChars="200"/>
        <w:jc w:val="both"/>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七</w:t>
      </w:r>
      <w:r>
        <w:rPr>
          <w:rFonts w:hint="eastAsia" w:ascii="黑体" w:hAnsi="黑体" w:eastAsia="黑体" w:cs="黑体"/>
          <w:sz w:val="32"/>
          <w:szCs w:val="32"/>
        </w:rPr>
        <w:t>、</w:t>
      </w:r>
      <w:r>
        <w:rPr>
          <w:rFonts w:hint="eastAsia" w:ascii="黑体" w:hAnsi="黑体" w:eastAsia="黑体" w:cs="仿宋_GB2312"/>
          <w:bCs/>
          <w:color w:val="000000"/>
          <w:sz w:val="32"/>
          <w:szCs w:val="32"/>
        </w:rPr>
        <w:t>评标方法</w:t>
      </w:r>
    </w:p>
    <w:p>
      <w:pPr>
        <w:pStyle w:val="14"/>
        <w:spacing w:after="0" w:line="560" w:lineRule="exact"/>
        <w:ind w:firstLine="640" w:firstLineChars="200"/>
        <w:jc w:val="both"/>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（一）评分规则。</w:t>
      </w:r>
    </w:p>
    <w:p>
      <w:pPr>
        <w:spacing w:after="0" w:line="560" w:lineRule="exact"/>
        <w:ind w:firstLine="640" w:firstLineChars="200"/>
        <w:jc w:val="both"/>
        <w:rPr>
          <w:rFonts w:hint="eastAsia" w:ascii="黑体" w:hAnsi="黑体" w:eastAsia="黑体" w:cs="仿宋_GB2312"/>
          <w:bCs/>
          <w:color w:val="000000"/>
          <w:sz w:val="32"/>
          <w:szCs w:val="32"/>
        </w:rPr>
      </w:pPr>
      <w:r>
        <w:rPr>
          <w:rFonts w:hint="eastAsia" w:ascii="仿宋_GB2312" w:eastAsia="仿宋_GB2312"/>
          <w:color w:val="000000"/>
          <w:sz w:val="32"/>
          <w:szCs w:val="32"/>
        </w:rPr>
        <w:t>采取综合评分标准，平均分最高的投标人为本项目中标人。</w:t>
      </w:r>
    </w:p>
    <w:p>
      <w:pPr>
        <w:pStyle w:val="14"/>
        <w:spacing w:after="0" w:line="560" w:lineRule="exact"/>
        <w:ind w:firstLine="640" w:firstLineChars="200"/>
        <w:jc w:val="both"/>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（二）评分权重。</w:t>
      </w:r>
    </w:p>
    <w:tbl>
      <w:tblPr>
        <w:tblStyle w:val="8"/>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883"/>
        <w:gridCol w:w="1681"/>
        <w:gridCol w:w="1724"/>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vAlign w:val="center"/>
          </w:tcPr>
          <w:p>
            <w:pPr>
              <w:pStyle w:val="14"/>
              <w:widowControl w:val="0"/>
              <w:adjustRightInd/>
              <w:snapToGrid/>
              <w:spacing w:after="0" w:line="560" w:lineRule="exact"/>
              <w:jc w:val="center"/>
              <w:rPr>
                <w:rFonts w:hint="eastAsia" w:ascii="黑体" w:hAnsi="黑体" w:eastAsia="黑体" w:cs="仿宋_GB2312"/>
                <w:b w:val="0"/>
                <w:bCs/>
                <w:color w:val="000000"/>
                <w:szCs w:val="24"/>
              </w:rPr>
            </w:pPr>
            <w:r>
              <w:rPr>
                <w:rFonts w:hint="eastAsia" w:ascii="黑体" w:hAnsi="黑体" w:eastAsia="黑体" w:cs="仿宋_GB2312"/>
                <w:b w:val="0"/>
                <w:bCs/>
                <w:color w:val="000000"/>
                <w:szCs w:val="24"/>
              </w:rPr>
              <w:t>评分内容</w:t>
            </w:r>
          </w:p>
        </w:tc>
        <w:tc>
          <w:tcPr>
            <w:tcW w:w="1883" w:type="dxa"/>
            <w:vAlign w:val="center"/>
          </w:tcPr>
          <w:p>
            <w:pPr>
              <w:pStyle w:val="14"/>
              <w:widowControl w:val="0"/>
              <w:adjustRightInd/>
              <w:snapToGrid/>
              <w:spacing w:after="0" w:line="560" w:lineRule="exact"/>
              <w:jc w:val="center"/>
              <w:rPr>
                <w:rFonts w:hint="eastAsia" w:ascii="黑体" w:hAnsi="黑体" w:eastAsia="黑体" w:cs="仿宋_GB2312"/>
                <w:b w:val="0"/>
                <w:bCs/>
                <w:color w:val="000000"/>
                <w:szCs w:val="24"/>
              </w:rPr>
            </w:pPr>
            <w:r>
              <w:rPr>
                <w:rFonts w:hint="eastAsia" w:ascii="黑体" w:hAnsi="黑体" w:eastAsia="黑体" w:cs="仿宋_GB2312"/>
                <w:b w:val="0"/>
                <w:bCs/>
                <w:color w:val="000000"/>
                <w:szCs w:val="24"/>
              </w:rPr>
              <w:t>商务能力</w:t>
            </w:r>
          </w:p>
        </w:tc>
        <w:tc>
          <w:tcPr>
            <w:tcW w:w="1681" w:type="dxa"/>
            <w:vAlign w:val="center"/>
          </w:tcPr>
          <w:p>
            <w:pPr>
              <w:pStyle w:val="14"/>
              <w:widowControl w:val="0"/>
              <w:adjustRightInd/>
              <w:snapToGrid/>
              <w:spacing w:after="0" w:line="560" w:lineRule="exact"/>
              <w:jc w:val="center"/>
              <w:rPr>
                <w:rFonts w:hint="eastAsia" w:ascii="黑体" w:hAnsi="黑体" w:eastAsia="黑体" w:cs="仿宋_GB2312"/>
                <w:b w:val="0"/>
                <w:bCs/>
                <w:color w:val="000000"/>
                <w:szCs w:val="24"/>
              </w:rPr>
            </w:pPr>
            <w:r>
              <w:rPr>
                <w:rFonts w:hint="eastAsia" w:ascii="黑体" w:hAnsi="黑体" w:eastAsia="黑体" w:cs="仿宋_GB2312"/>
                <w:b w:val="0"/>
                <w:bCs/>
                <w:color w:val="000000"/>
                <w:szCs w:val="24"/>
              </w:rPr>
              <w:t>技术能力</w:t>
            </w:r>
          </w:p>
        </w:tc>
        <w:tc>
          <w:tcPr>
            <w:tcW w:w="1724" w:type="dxa"/>
            <w:vAlign w:val="center"/>
          </w:tcPr>
          <w:p>
            <w:pPr>
              <w:pStyle w:val="14"/>
              <w:widowControl w:val="0"/>
              <w:adjustRightInd/>
              <w:snapToGrid/>
              <w:spacing w:after="0" w:line="560" w:lineRule="exact"/>
              <w:jc w:val="center"/>
              <w:rPr>
                <w:rFonts w:hint="eastAsia" w:ascii="黑体" w:hAnsi="黑体" w:eastAsia="黑体" w:cs="仿宋_GB2312"/>
                <w:b w:val="0"/>
                <w:bCs/>
                <w:color w:val="000000"/>
                <w:szCs w:val="24"/>
              </w:rPr>
            </w:pPr>
            <w:r>
              <w:rPr>
                <w:rFonts w:hint="eastAsia" w:ascii="黑体" w:hAnsi="黑体" w:eastAsia="黑体" w:cs="仿宋_GB2312"/>
                <w:b w:val="0"/>
                <w:bCs/>
                <w:color w:val="000000"/>
                <w:szCs w:val="24"/>
              </w:rPr>
              <w:t>人员配备</w:t>
            </w:r>
          </w:p>
        </w:tc>
        <w:tc>
          <w:tcPr>
            <w:tcW w:w="1917" w:type="dxa"/>
            <w:vAlign w:val="center"/>
          </w:tcPr>
          <w:p>
            <w:pPr>
              <w:pStyle w:val="14"/>
              <w:widowControl w:val="0"/>
              <w:adjustRightInd/>
              <w:snapToGrid/>
              <w:spacing w:after="0" w:line="560" w:lineRule="exact"/>
              <w:jc w:val="center"/>
              <w:rPr>
                <w:rFonts w:hint="eastAsia" w:ascii="黑体" w:hAnsi="黑体" w:eastAsia="黑体" w:cs="仿宋_GB2312"/>
                <w:b w:val="0"/>
                <w:bCs/>
                <w:color w:val="000000"/>
                <w:szCs w:val="24"/>
              </w:rPr>
            </w:pPr>
            <w:r>
              <w:rPr>
                <w:rFonts w:hint="eastAsia" w:ascii="黑体" w:hAnsi="黑体" w:eastAsia="黑体" w:cs="仿宋_GB2312"/>
                <w:b w:val="0"/>
                <w:bCs/>
                <w:color w:val="000000"/>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vAlign w:val="center"/>
          </w:tcPr>
          <w:p>
            <w:pPr>
              <w:pStyle w:val="14"/>
              <w:widowControl w:val="0"/>
              <w:adjustRightInd/>
              <w:snapToGrid/>
              <w:spacing w:after="0" w:line="560" w:lineRule="exact"/>
              <w:jc w:val="center"/>
              <w:rPr>
                <w:rFonts w:hint="eastAsia" w:ascii="黑体" w:hAnsi="黑体" w:eastAsia="黑体" w:cs="仿宋_GB2312"/>
                <w:b w:val="0"/>
                <w:bCs/>
                <w:color w:val="000000"/>
                <w:szCs w:val="24"/>
              </w:rPr>
            </w:pPr>
            <w:r>
              <w:rPr>
                <w:rFonts w:hint="eastAsia" w:ascii="黑体" w:hAnsi="黑体" w:eastAsia="黑体" w:cs="仿宋_GB2312"/>
                <w:b w:val="0"/>
                <w:bCs/>
                <w:color w:val="000000"/>
                <w:szCs w:val="24"/>
              </w:rPr>
              <w:t>分值</w:t>
            </w:r>
          </w:p>
        </w:tc>
        <w:tc>
          <w:tcPr>
            <w:tcW w:w="1883" w:type="dxa"/>
            <w:vAlign w:val="center"/>
          </w:tcPr>
          <w:p>
            <w:pPr>
              <w:pStyle w:val="14"/>
              <w:widowControl w:val="0"/>
              <w:adjustRightInd/>
              <w:snapToGrid/>
              <w:spacing w:after="0" w:line="560" w:lineRule="exact"/>
              <w:jc w:val="center"/>
              <w:rPr>
                <w:rFonts w:hint="eastAsia" w:ascii="黑体" w:hAnsi="黑体" w:eastAsia="黑体" w:cs="仿宋_GB2312"/>
                <w:b w:val="0"/>
                <w:bCs/>
                <w:color w:val="000000"/>
                <w:szCs w:val="24"/>
              </w:rPr>
            </w:pPr>
            <w:r>
              <w:rPr>
                <w:rFonts w:hint="eastAsia" w:ascii="黑体" w:hAnsi="黑体" w:eastAsia="黑体" w:cs="仿宋_GB2312"/>
                <w:b w:val="0"/>
                <w:bCs/>
                <w:color w:val="000000"/>
                <w:szCs w:val="24"/>
              </w:rPr>
              <w:t>20分</w:t>
            </w:r>
          </w:p>
        </w:tc>
        <w:tc>
          <w:tcPr>
            <w:tcW w:w="1681" w:type="dxa"/>
            <w:vAlign w:val="center"/>
          </w:tcPr>
          <w:p>
            <w:pPr>
              <w:pStyle w:val="14"/>
              <w:widowControl w:val="0"/>
              <w:adjustRightInd/>
              <w:snapToGrid/>
              <w:spacing w:after="0" w:line="560" w:lineRule="exact"/>
              <w:jc w:val="center"/>
              <w:rPr>
                <w:rFonts w:hint="eastAsia" w:ascii="黑体" w:hAnsi="黑体" w:eastAsia="黑体" w:cs="仿宋_GB2312"/>
                <w:b w:val="0"/>
                <w:bCs/>
                <w:color w:val="000000"/>
                <w:szCs w:val="24"/>
              </w:rPr>
            </w:pPr>
            <w:r>
              <w:rPr>
                <w:rFonts w:hint="eastAsia" w:ascii="黑体" w:hAnsi="黑体" w:eastAsia="黑体" w:cs="仿宋_GB2312"/>
                <w:b w:val="0"/>
                <w:bCs/>
                <w:color w:val="000000"/>
                <w:szCs w:val="24"/>
              </w:rPr>
              <w:t>40分</w:t>
            </w:r>
          </w:p>
        </w:tc>
        <w:tc>
          <w:tcPr>
            <w:tcW w:w="1724" w:type="dxa"/>
            <w:vAlign w:val="center"/>
          </w:tcPr>
          <w:p>
            <w:pPr>
              <w:pStyle w:val="14"/>
              <w:widowControl w:val="0"/>
              <w:adjustRightInd/>
              <w:snapToGrid/>
              <w:spacing w:after="0" w:line="560" w:lineRule="exact"/>
              <w:jc w:val="center"/>
              <w:rPr>
                <w:rFonts w:hint="eastAsia" w:ascii="黑体" w:hAnsi="黑体" w:eastAsia="黑体" w:cs="仿宋_GB2312"/>
                <w:b w:val="0"/>
                <w:bCs/>
                <w:color w:val="000000"/>
                <w:szCs w:val="24"/>
              </w:rPr>
            </w:pPr>
            <w:r>
              <w:rPr>
                <w:rFonts w:hint="eastAsia" w:ascii="黑体" w:hAnsi="黑体" w:eastAsia="黑体" w:cs="仿宋_GB2312"/>
                <w:b w:val="0"/>
                <w:bCs/>
                <w:color w:val="000000"/>
                <w:szCs w:val="24"/>
              </w:rPr>
              <w:t>20分</w:t>
            </w:r>
          </w:p>
        </w:tc>
        <w:tc>
          <w:tcPr>
            <w:tcW w:w="1917" w:type="dxa"/>
            <w:vAlign w:val="center"/>
          </w:tcPr>
          <w:p>
            <w:pPr>
              <w:pStyle w:val="14"/>
              <w:widowControl w:val="0"/>
              <w:adjustRightInd/>
              <w:snapToGrid/>
              <w:spacing w:after="0" w:line="560" w:lineRule="exact"/>
              <w:jc w:val="center"/>
              <w:rPr>
                <w:rFonts w:hint="eastAsia" w:ascii="黑体" w:hAnsi="黑体" w:eastAsia="黑体" w:cs="仿宋_GB2312"/>
                <w:b w:val="0"/>
                <w:bCs/>
                <w:color w:val="000000"/>
                <w:szCs w:val="24"/>
              </w:rPr>
            </w:pPr>
            <w:r>
              <w:rPr>
                <w:rFonts w:hint="eastAsia" w:ascii="黑体" w:hAnsi="黑体" w:eastAsia="黑体" w:cs="仿宋_GB2312"/>
                <w:b w:val="0"/>
                <w:bCs/>
                <w:color w:val="000000"/>
                <w:szCs w:val="24"/>
              </w:rPr>
              <w:t>20分</w:t>
            </w:r>
          </w:p>
        </w:tc>
      </w:tr>
    </w:tbl>
    <w:p>
      <w:pPr>
        <w:pStyle w:val="14"/>
        <w:spacing w:after="0" w:line="560" w:lineRule="exact"/>
        <w:ind w:firstLine="640" w:firstLineChars="200"/>
        <w:jc w:val="both"/>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（三）评分标准。</w:t>
      </w:r>
    </w:p>
    <w:p>
      <w:pPr>
        <w:spacing w:after="0" w:line="560" w:lineRule="exact"/>
        <w:ind w:firstLine="642" w:firstLineChars="200"/>
        <w:jc w:val="both"/>
        <w:rPr>
          <w:rFonts w:ascii="仿宋_GB2312" w:eastAsia="仿宋_GB2312"/>
          <w:b/>
          <w:bCs/>
          <w:color w:val="000000"/>
          <w:sz w:val="32"/>
          <w:szCs w:val="32"/>
        </w:rPr>
      </w:pPr>
      <w:r>
        <w:rPr>
          <w:rFonts w:hint="eastAsia" w:ascii="仿宋_GB2312" w:eastAsia="仿宋_GB2312"/>
          <w:b/>
          <w:bCs/>
          <w:color w:val="000000"/>
          <w:sz w:val="32"/>
          <w:szCs w:val="32"/>
        </w:rPr>
        <w:t>1.商务能力</w:t>
      </w:r>
    </w:p>
    <w:tbl>
      <w:tblPr>
        <w:tblStyle w:val="7"/>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01"/>
        <w:gridCol w:w="3969"/>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516" w:type="dxa"/>
            <w:gridSpan w:val="3"/>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项目</w:t>
            </w:r>
          </w:p>
        </w:tc>
        <w:tc>
          <w:tcPr>
            <w:tcW w:w="2547"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2" w:hRule="atLeast"/>
        </w:trPr>
        <w:tc>
          <w:tcPr>
            <w:tcW w:w="846" w:type="dxa"/>
            <w:vMerge w:val="restart"/>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商务能力评分20分</w:t>
            </w:r>
          </w:p>
        </w:tc>
        <w:tc>
          <w:tcPr>
            <w:tcW w:w="1701"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资质（5分）</w:t>
            </w:r>
          </w:p>
        </w:tc>
        <w:tc>
          <w:tcPr>
            <w:tcW w:w="3969"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具备金融机构自律管理相关资质，提供资质证明得5分。</w:t>
            </w:r>
          </w:p>
        </w:tc>
        <w:tc>
          <w:tcPr>
            <w:tcW w:w="2547"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1.要求提供有效的证明材料作为得分依据；2.以上资料均要求提供复印件，并加盖公章，原件备查；评分中出现无证明资料或专家无法凭所提供资料判断是否得分的情况，一律作不得分处理。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2" w:hRule="atLeast"/>
        </w:trPr>
        <w:tc>
          <w:tcPr>
            <w:tcW w:w="846" w:type="dxa"/>
            <w:vMerge w:val="continue"/>
            <w:vAlign w:val="center"/>
          </w:tcPr>
          <w:p>
            <w:pPr>
              <w:spacing w:after="0" w:line="560" w:lineRule="exact"/>
              <w:jc w:val="both"/>
              <w:rPr>
                <w:rFonts w:hint="eastAsia" w:ascii="黑体" w:hAnsi="黑体" w:eastAsia="黑体" w:cs="仿宋_GB2312"/>
                <w:bCs/>
                <w:color w:val="000000"/>
                <w:sz w:val="24"/>
                <w:szCs w:val="24"/>
              </w:rPr>
            </w:pPr>
          </w:p>
        </w:tc>
        <w:tc>
          <w:tcPr>
            <w:tcW w:w="1701"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经验（10分）</w:t>
            </w:r>
          </w:p>
        </w:tc>
        <w:tc>
          <w:tcPr>
            <w:tcW w:w="3969"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具有金融发展及风险处置经验，每提供一项以往类似项目得2分、本项最高得分为10分。</w:t>
            </w:r>
          </w:p>
        </w:tc>
        <w:tc>
          <w:tcPr>
            <w:tcW w:w="2547"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1.要求提供有效的证明材料作为得分依据；2.以上资料均要求提供复印件，并加盖公章，原件备查；评分中出现无证明资料或专家无法凭所提供资料判断是否得分的情况，一律作不得分处理。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trPr>
        <w:tc>
          <w:tcPr>
            <w:tcW w:w="846" w:type="dxa"/>
            <w:vMerge w:val="continue"/>
            <w:vAlign w:val="center"/>
          </w:tcPr>
          <w:p>
            <w:pPr>
              <w:spacing w:after="0" w:line="560" w:lineRule="exact"/>
              <w:jc w:val="both"/>
              <w:rPr>
                <w:rFonts w:hint="eastAsia" w:ascii="黑体" w:hAnsi="黑体" w:eastAsia="黑体" w:cs="仿宋_GB2312"/>
                <w:bCs/>
                <w:color w:val="000000"/>
                <w:sz w:val="24"/>
                <w:szCs w:val="24"/>
              </w:rPr>
            </w:pPr>
          </w:p>
        </w:tc>
        <w:tc>
          <w:tcPr>
            <w:tcW w:w="1701"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诚信管理情况(5分）</w:t>
            </w:r>
          </w:p>
        </w:tc>
        <w:tc>
          <w:tcPr>
            <w:tcW w:w="3969"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符合国家法规政策关于诚信管理的要求，至投标截止时间，投标人没有在信用中国网或中国政府采购网或深圳市政府采购监督管理网或深圳公共资源交易中心市区政府采购统一平台或“国家企业信用信息公示系统”等官网中列入“失信被执行人、重大税收违法案件当事人名单、政府采购严重违法失信行为记录名单”。如未提供有效证明则本项不得分。</w:t>
            </w:r>
          </w:p>
        </w:tc>
        <w:tc>
          <w:tcPr>
            <w:tcW w:w="2547"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提供官网查询记录、声明承诺函等佐证材料。并加盖公章，未提供有效证明材料的不得分。</w:t>
            </w:r>
          </w:p>
        </w:tc>
      </w:tr>
    </w:tbl>
    <w:p>
      <w:pPr>
        <w:spacing w:after="0" w:line="560" w:lineRule="exact"/>
        <w:ind w:firstLine="642" w:firstLineChars="200"/>
        <w:jc w:val="both"/>
        <w:rPr>
          <w:rFonts w:ascii="仿宋_GB2312" w:eastAsia="仿宋_GB2312"/>
          <w:b/>
          <w:bCs/>
          <w:color w:val="000000"/>
          <w:sz w:val="32"/>
          <w:szCs w:val="32"/>
        </w:rPr>
      </w:pPr>
      <w:r>
        <w:rPr>
          <w:rFonts w:hint="eastAsia" w:ascii="仿宋_GB2312" w:eastAsia="仿宋_GB2312"/>
          <w:b/>
          <w:bCs/>
          <w:color w:val="000000"/>
          <w:sz w:val="32"/>
          <w:szCs w:val="32"/>
        </w:rPr>
        <w:t>2.技术能力</w:t>
      </w:r>
    </w:p>
    <w:tbl>
      <w:tblPr>
        <w:tblStyle w:val="7"/>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01"/>
        <w:gridCol w:w="2126"/>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673" w:type="dxa"/>
            <w:gridSpan w:val="3"/>
            <w:vAlign w:val="center"/>
          </w:tcPr>
          <w:p>
            <w:pPr>
              <w:spacing w:after="0" w:line="560" w:lineRule="exact"/>
              <w:jc w:val="both"/>
              <w:rPr>
                <w:rFonts w:hint="eastAsia" w:ascii="黑体" w:hAnsi="黑体" w:eastAsia="黑体" w:cs="仿宋_GB2312"/>
                <w:b/>
                <w:color w:val="000000"/>
                <w:sz w:val="24"/>
                <w:szCs w:val="24"/>
              </w:rPr>
            </w:pPr>
            <w:r>
              <w:rPr>
                <w:rFonts w:hint="eastAsia" w:ascii="黑体" w:hAnsi="黑体" w:eastAsia="黑体" w:cs="仿宋_GB2312"/>
                <w:b/>
                <w:color w:val="000000"/>
                <w:sz w:val="24"/>
                <w:szCs w:val="24"/>
              </w:rPr>
              <w:t>项目</w:t>
            </w:r>
          </w:p>
        </w:tc>
        <w:tc>
          <w:tcPr>
            <w:tcW w:w="4402" w:type="dxa"/>
            <w:vAlign w:val="center"/>
          </w:tcPr>
          <w:p>
            <w:pPr>
              <w:spacing w:after="0" w:line="560" w:lineRule="exact"/>
              <w:jc w:val="both"/>
              <w:rPr>
                <w:rFonts w:hint="eastAsia" w:ascii="黑体" w:hAnsi="黑体" w:eastAsia="黑体" w:cs="仿宋_GB2312"/>
                <w:b/>
                <w:color w:val="000000"/>
                <w:sz w:val="24"/>
                <w:szCs w:val="24"/>
              </w:rPr>
            </w:pPr>
            <w:r>
              <w:rPr>
                <w:rFonts w:hint="eastAsia" w:ascii="黑体" w:hAnsi="黑体" w:eastAsia="黑体" w:cs="仿宋_GB2312"/>
                <w:b/>
                <w:color w:val="00000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846" w:type="dxa"/>
            <w:vMerge w:val="restart"/>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技术能力评分40分</w:t>
            </w:r>
          </w:p>
        </w:tc>
        <w:tc>
          <w:tcPr>
            <w:tcW w:w="1701"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方案（15分）</w:t>
            </w:r>
          </w:p>
        </w:tc>
        <w:tc>
          <w:tcPr>
            <w:tcW w:w="2126"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项目方案（工作措施、工作方法、工作手段、工作流程）</w:t>
            </w:r>
          </w:p>
        </w:tc>
        <w:tc>
          <w:tcPr>
            <w:tcW w:w="4402"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优：方案周全完整、表述清晰，有具体贴合项目实际的工作措施、工作方法、工作手段、工作流程，可操作性强；得15分。</w:t>
            </w:r>
          </w:p>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良：方案完整，有具体的工作措施、工作方法、工作手段、工作流程，可操作性较好；得12分。</w:t>
            </w:r>
          </w:p>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中：方案较基本，有工作措施和工作方法，可操作性一般；得8分。</w:t>
            </w:r>
          </w:p>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差：方案无工作措施、工作方法、工作手段、工作流程等保障，不具备可操作性；不得分。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trPr>
        <w:tc>
          <w:tcPr>
            <w:tcW w:w="846" w:type="dxa"/>
            <w:vMerge w:val="continue"/>
            <w:vAlign w:val="center"/>
          </w:tcPr>
          <w:p>
            <w:pPr>
              <w:spacing w:after="0" w:line="560" w:lineRule="exact"/>
              <w:jc w:val="both"/>
              <w:rPr>
                <w:rFonts w:hint="eastAsia" w:ascii="黑体" w:hAnsi="黑体" w:eastAsia="黑体" w:cs="仿宋_GB2312"/>
                <w:bCs/>
                <w:color w:val="000000"/>
                <w:sz w:val="24"/>
                <w:szCs w:val="24"/>
              </w:rPr>
            </w:pPr>
          </w:p>
        </w:tc>
        <w:tc>
          <w:tcPr>
            <w:tcW w:w="1701"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重难点分析（15分）</w:t>
            </w:r>
          </w:p>
        </w:tc>
        <w:tc>
          <w:tcPr>
            <w:tcW w:w="2126"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项目重点难点分析、应对措施及相关的合理化建议</w:t>
            </w:r>
          </w:p>
        </w:tc>
        <w:tc>
          <w:tcPr>
            <w:tcW w:w="4402"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优：项目重难点分析具体、应对措施及建议切中要点；得15分。</w:t>
            </w:r>
          </w:p>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良：项目重难点分析得当、应对措施及建议较好；得12分。</w:t>
            </w:r>
          </w:p>
          <w:p>
            <w:pPr>
              <w:spacing w:after="0" w:line="560" w:lineRule="exact"/>
              <w:jc w:val="both"/>
              <w:rPr>
                <w:rFonts w:eastAsia="黑体" w:cs="仿宋_GB2312"/>
                <w:bCs/>
                <w:color w:val="000000"/>
                <w:sz w:val="24"/>
                <w:szCs w:val="24"/>
              </w:rPr>
            </w:pPr>
            <w:r>
              <w:rPr>
                <w:rFonts w:hint="eastAsia" w:ascii="黑体" w:hAnsi="黑体" w:eastAsia="黑体" w:cs="仿宋_GB2312"/>
                <w:bCs/>
                <w:color w:val="000000"/>
                <w:sz w:val="24"/>
                <w:szCs w:val="24"/>
              </w:rPr>
              <w:t>中：项目重难点分析尚可、应对措施及建议一般；得8分。</w:t>
            </w:r>
          </w:p>
          <w:p>
            <w:pPr>
              <w:spacing w:after="0" w:line="560" w:lineRule="exact"/>
              <w:jc w:val="both"/>
            </w:pPr>
            <w:r>
              <w:rPr>
                <w:rFonts w:hint="eastAsia" w:ascii="黑体" w:hAnsi="黑体" w:eastAsia="黑体" w:cs="仿宋_GB2312"/>
                <w:bCs/>
                <w:color w:val="000000"/>
                <w:sz w:val="24"/>
                <w:szCs w:val="24"/>
              </w:rPr>
              <w:t>差：无项目重难点分析，应对措施及建议无操作性；不得分。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846" w:type="dxa"/>
            <w:vMerge w:val="continue"/>
            <w:vAlign w:val="center"/>
          </w:tcPr>
          <w:p>
            <w:pPr>
              <w:spacing w:after="0" w:line="560" w:lineRule="exact"/>
              <w:jc w:val="both"/>
              <w:rPr>
                <w:rFonts w:hint="eastAsia" w:ascii="黑体" w:hAnsi="黑体" w:eastAsia="黑体" w:cs="仿宋_GB2312"/>
                <w:bCs/>
                <w:color w:val="000000"/>
                <w:sz w:val="24"/>
                <w:szCs w:val="24"/>
              </w:rPr>
            </w:pPr>
          </w:p>
        </w:tc>
        <w:tc>
          <w:tcPr>
            <w:tcW w:w="1701"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成果（5分）</w:t>
            </w:r>
          </w:p>
        </w:tc>
        <w:tc>
          <w:tcPr>
            <w:tcW w:w="2126" w:type="dxa"/>
            <w:vAlign w:val="center"/>
          </w:tcPr>
          <w:p>
            <w:pPr>
              <w:spacing w:after="0" w:line="560" w:lineRule="exact"/>
              <w:jc w:val="both"/>
              <w:rPr>
                <w:rFonts w:hint="eastAsia" w:ascii="黑体" w:hAnsi="黑体" w:eastAsia="黑体"/>
                <w:sz w:val="24"/>
                <w:szCs w:val="24"/>
              </w:rPr>
            </w:pPr>
            <w:r>
              <w:rPr>
                <w:rFonts w:ascii="黑体" w:hAnsi="黑体" w:eastAsia="黑体"/>
                <w:sz w:val="24"/>
                <w:szCs w:val="24"/>
              </w:rPr>
              <w:t>项目预期效果与项目需求的切合程度</w:t>
            </w:r>
          </w:p>
        </w:tc>
        <w:tc>
          <w:tcPr>
            <w:tcW w:w="4402"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优：项目预期效果与项目需求切合程度高；得5分。</w:t>
            </w:r>
          </w:p>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良：项目预期效果与项目需求切合程度较高；得4分。</w:t>
            </w:r>
          </w:p>
          <w:p>
            <w:pPr>
              <w:spacing w:after="0" w:line="560" w:lineRule="exact"/>
              <w:jc w:val="both"/>
              <w:rPr>
                <w:rFonts w:eastAsia="黑体" w:cs="仿宋_GB2312"/>
                <w:bCs/>
                <w:color w:val="000000"/>
                <w:sz w:val="24"/>
                <w:szCs w:val="24"/>
              </w:rPr>
            </w:pPr>
            <w:r>
              <w:rPr>
                <w:rFonts w:hint="eastAsia" w:ascii="黑体" w:hAnsi="黑体" w:eastAsia="黑体" w:cs="仿宋_GB2312"/>
                <w:bCs/>
                <w:color w:val="000000"/>
                <w:sz w:val="24"/>
                <w:szCs w:val="24"/>
              </w:rPr>
              <w:t>中：项目预期效果与项目需求切合程度一般；得3分。</w:t>
            </w:r>
          </w:p>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差：项目预期效果与项目需求无切合点；不得分。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trPr>
        <w:tc>
          <w:tcPr>
            <w:tcW w:w="846" w:type="dxa"/>
            <w:vMerge w:val="continue"/>
            <w:vAlign w:val="center"/>
          </w:tcPr>
          <w:p>
            <w:pPr>
              <w:spacing w:after="0" w:line="560" w:lineRule="exact"/>
              <w:jc w:val="both"/>
              <w:rPr>
                <w:rFonts w:hint="eastAsia" w:ascii="黑体" w:hAnsi="黑体" w:eastAsia="黑体" w:cs="仿宋_GB2312"/>
                <w:bCs/>
                <w:color w:val="000000"/>
                <w:sz w:val="24"/>
                <w:szCs w:val="24"/>
              </w:rPr>
            </w:pPr>
          </w:p>
        </w:tc>
        <w:tc>
          <w:tcPr>
            <w:tcW w:w="1701" w:type="dxa"/>
            <w:vAlign w:val="center"/>
          </w:tcPr>
          <w:p>
            <w:pPr>
              <w:spacing w:after="0" w:line="560" w:lineRule="exact"/>
              <w:jc w:val="both"/>
              <w:rPr>
                <w:rFonts w:hint="eastAsia" w:ascii="黑体" w:hAnsi="黑体" w:eastAsia="黑体" w:cs="仿宋_GB2312"/>
                <w:bCs/>
                <w:color w:val="000000"/>
                <w:sz w:val="24"/>
                <w:szCs w:val="24"/>
              </w:rPr>
            </w:pPr>
          </w:p>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服务承诺（5分）</w:t>
            </w:r>
          </w:p>
          <w:p>
            <w:pPr>
              <w:spacing w:after="0" w:line="560" w:lineRule="exact"/>
              <w:jc w:val="both"/>
              <w:rPr>
                <w:rFonts w:hint="eastAsia" w:ascii="黑体" w:hAnsi="黑体" w:eastAsia="黑体" w:cs="仿宋_GB2312"/>
                <w:bCs/>
                <w:color w:val="000000"/>
                <w:sz w:val="24"/>
                <w:szCs w:val="24"/>
              </w:rPr>
            </w:pPr>
          </w:p>
        </w:tc>
        <w:tc>
          <w:tcPr>
            <w:tcW w:w="2126"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项目完成后的服务承诺和违约承诺</w:t>
            </w:r>
          </w:p>
        </w:tc>
        <w:tc>
          <w:tcPr>
            <w:tcW w:w="4402"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优：服务承诺现实性、明确性、利益、承诺性好；得5分。</w:t>
            </w:r>
          </w:p>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良：服务承诺现实性、明确性、利益性、承诺性较好；得4分。</w:t>
            </w:r>
          </w:p>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中：服务承诺现实性、明确性、利益性、承诺性一般；得3分。</w:t>
            </w:r>
          </w:p>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差：服务承诺现实性、明确性、利益性、承诺性差，或未提供服务承诺；不得分。</w:t>
            </w:r>
          </w:p>
        </w:tc>
      </w:tr>
    </w:tbl>
    <w:p>
      <w:pPr>
        <w:spacing w:after="0" w:line="560" w:lineRule="exact"/>
        <w:ind w:firstLine="642" w:firstLineChars="200"/>
        <w:jc w:val="both"/>
        <w:rPr>
          <w:rFonts w:ascii="仿宋_GB2312" w:eastAsia="仿宋_GB2312"/>
          <w:b/>
          <w:bCs/>
          <w:color w:val="000000"/>
          <w:sz w:val="32"/>
          <w:szCs w:val="32"/>
        </w:rPr>
      </w:pPr>
      <w:r>
        <w:rPr>
          <w:rFonts w:hint="eastAsia" w:ascii="仿宋_GB2312" w:eastAsia="仿宋_GB2312"/>
          <w:b/>
          <w:bCs/>
          <w:color w:val="000000"/>
          <w:sz w:val="32"/>
          <w:szCs w:val="32"/>
        </w:rPr>
        <w:t>3.人员配备</w:t>
      </w:r>
    </w:p>
    <w:p>
      <w:pPr>
        <w:spacing w:after="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结合项目实际情况，供应商需组建由不少于4名专业人员组成的项目团队，保障项目顺利实施。定标小组参照设计方案，对投标单位配备的后台支撑工作人员和金融专业人士的专业能力和工作能力进行综合评价，满分20分。</w:t>
      </w:r>
    </w:p>
    <w:tbl>
      <w:tblPr>
        <w:tblStyle w:val="7"/>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01"/>
        <w:gridCol w:w="3685"/>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232" w:type="dxa"/>
            <w:gridSpan w:val="3"/>
            <w:vAlign w:val="center"/>
          </w:tcPr>
          <w:p>
            <w:pPr>
              <w:spacing w:after="0" w:line="560" w:lineRule="exact"/>
              <w:jc w:val="both"/>
              <w:rPr>
                <w:rFonts w:hint="eastAsia" w:ascii="黑体" w:hAnsi="黑体" w:eastAsia="黑体" w:cs="仿宋_GB2312"/>
                <w:b/>
                <w:color w:val="000000"/>
                <w:sz w:val="24"/>
                <w:szCs w:val="24"/>
              </w:rPr>
            </w:pPr>
            <w:r>
              <w:rPr>
                <w:rFonts w:hint="eastAsia" w:ascii="黑体" w:hAnsi="黑体" w:eastAsia="黑体" w:cs="仿宋_GB2312"/>
                <w:b/>
                <w:color w:val="000000"/>
                <w:sz w:val="24"/>
                <w:szCs w:val="24"/>
              </w:rPr>
              <w:t>项目</w:t>
            </w:r>
          </w:p>
        </w:tc>
        <w:tc>
          <w:tcPr>
            <w:tcW w:w="2843" w:type="dxa"/>
            <w:vAlign w:val="center"/>
          </w:tcPr>
          <w:p>
            <w:pPr>
              <w:spacing w:after="0" w:line="560" w:lineRule="exact"/>
              <w:jc w:val="both"/>
              <w:rPr>
                <w:rFonts w:hint="eastAsia" w:ascii="黑体" w:hAnsi="黑体" w:eastAsia="黑体" w:cs="仿宋_GB2312"/>
                <w:b/>
                <w:color w:val="000000"/>
                <w:sz w:val="24"/>
                <w:szCs w:val="24"/>
              </w:rPr>
            </w:pPr>
            <w:r>
              <w:rPr>
                <w:rFonts w:hint="eastAsia" w:ascii="黑体" w:hAnsi="黑体" w:eastAsia="黑体" w:cs="仿宋_GB2312"/>
                <w:b/>
                <w:color w:val="00000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846" w:type="dxa"/>
            <w:vMerge w:val="restart"/>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人员配备评分20分</w:t>
            </w:r>
          </w:p>
        </w:tc>
        <w:tc>
          <w:tcPr>
            <w:tcW w:w="1701"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项目负责人（仅限1人）（本项目最高得分8分）</w:t>
            </w:r>
          </w:p>
        </w:tc>
        <w:tc>
          <w:tcPr>
            <w:tcW w:w="3685"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项目负责人满足下述各小项要求且能提供有效证明文件的，得相应分；未能提供有效证明文件的，该小项得0分：</w:t>
            </w:r>
          </w:p>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1.具有经济管理相关专业，得3分；拥有硕士或以上学历，得3分。</w:t>
            </w:r>
          </w:p>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2.具有政府部门委托的金融发展及风险处置相关服务项目负责人经验，得2分。</w:t>
            </w:r>
          </w:p>
        </w:tc>
        <w:tc>
          <w:tcPr>
            <w:tcW w:w="2843"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提供以下证明材料以供评审：</w:t>
            </w:r>
          </w:p>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本项目拟派项目负责人需提供学历证书或毕业证书、专业技术职称证书等证明文件。</w:t>
            </w:r>
          </w:p>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注：以上所有复印件均须加盖投标人公章，未提供有效证明材料的不得分。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trPr>
        <w:tc>
          <w:tcPr>
            <w:tcW w:w="846" w:type="dxa"/>
            <w:vMerge w:val="continue"/>
            <w:vAlign w:val="center"/>
          </w:tcPr>
          <w:p>
            <w:pPr>
              <w:spacing w:after="0" w:line="560" w:lineRule="exact"/>
              <w:jc w:val="both"/>
              <w:rPr>
                <w:rFonts w:hint="eastAsia" w:ascii="黑体" w:hAnsi="黑体" w:eastAsia="黑体" w:cs="仿宋_GB2312"/>
                <w:bCs/>
                <w:color w:val="000000"/>
                <w:sz w:val="24"/>
                <w:szCs w:val="24"/>
              </w:rPr>
            </w:pPr>
          </w:p>
        </w:tc>
        <w:tc>
          <w:tcPr>
            <w:tcW w:w="1701"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项目团队人员（不含项目负责人）（本项最高得12分）</w:t>
            </w:r>
          </w:p>
        </w:tc>
        <w:tc>
          <w:tcPr>
            <w:tcW w:w="3685"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项目团队人员（不含项目负责人）满足下述各小项要求且能提供有效证明文件的，得相应分：</w:t>
            </w:r>
          </w:p>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1.每有一名具有经济管理相关专业，得2分；本小项最高得6分；</w:t>
            </w:r>
          </w:p>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2.每有一名拥有硕士或以上学历，得2分；本小项最高得6分。</w:t>
            </w:r>
          </w:p>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3.项目团队如少于3人，本项不得分。</w:t>
            </w:r>
          </w:p>
        </w:tc>
        <w:tc>
          <w:tcPr>
            <w:tcW w:w="2843" w:type="dxa"/>
            <w:vAlign w:val="center"/>
          </w:tcPr>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提供以下证明材料以供评审：</w:t>
            </w:r>
          </w:p>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项目团队人员需提供学历证书或毕业证书、专业技术职称证书等证明文件。</w:t>
            </w:r>
          </w:p>
          <w:p>
            <w:pPr>
              <w:spacing w:after="0" w:line="560" w:lineRule="exact"/>
              <w:jc w:val="both"/>
              <w:rPr>
                <w:rFonts w:hint="eastAsia" w:ascii="黑体" w:hAnsi="黑体" w:eastAsia="黑体" w:cs="仿宋_GB2312"/>
                <w:bCs/>
                <w:color w:val="000000"/>
                <w:sz w:val="24"/>
                <w:szCs w:val="24"/>
              </w:rPr>
            </w:pPr>
            <w:r>
              <w:rPr>
                <w:rFonts w:hint="eastAsia" w:ascii="黑体" w:hAnsi="黑体" w:eastAsia="黑体" w:cs="仿宋_GB2312"/>
                <w:bCs/>
                <w:color w:val="000000"/>
                <w:sz w:val="24"/>
                <w:szCs w:val="24"/>
              </w:rPr>
              <w:t>注：以上所有复印件均须加盖投标人公章，未提供有效证明材料的不得分。</w:t>
            </w:r>
          </w:p>
        </w:tc>
      </w:tr>
    </w:tbl>
    <w:p>
      <w:pPr>
        <w:spacing w:after="0" w:line="560" w:lineRule="exact"/>
        <w:ind w:firstLine="640" w:firstLineChars="200"/>
        <w:jc w:val="both"/>
        <w:rPr>
          <w:rFonts w:ascii="仿宋_GB2312" w:eastAsia="仿宋_GB2312"/>
          <w:color w:val="000000"/>
          <w:sz w:val="32"/>
          <w:szCs w:val="32"/>
        </w:rPr>
      </w:pPr>
    </w:p>
    <w:p>
      <w:pPr>
        <w:spacing w:after="0" w:line="560" w:lineRule="exact"/>
        <w:ind w:firstLine="642" w:firstLineChars="200"/>
        <w:jc w:val="both"/>
        <w:rPr>
          <w:rFonts w:ascii="仿宋_GB2312" w:eastAsia="仿宋_GB2312"/>
          <w:color w:val="000000"/>
          <w:sz w:val="32"/>
          <w:szCs w:val="32"/>
        </w:rPr>
      </w:pPr>
      <w:r>
        <w:rPr>
          <w:rFonts w:hint="eastAsia" w:ascii="仿宋_GB2312" w:eastAsia="仿宋_GB2312"/>
          <w:b/>
          <w:bCs/>
          <w:color w:val="000000"/>
          <w:sz w:val="32"/>
          <w:szCs w:val="32"/>
        </w:rPr>
        <w:t>4.报价</w:t>
      </w:r>
    </w:p>
    <w:p>
      <w:pPr>
        <w:spacing w:after="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以本次投标人所报的有效报价中的最低价作为基准报价。投标人报价得分＝（基准价/投标人报价）*20分。</w:t>
      </w:r>
    </w:p>
    <w:p>
      <w:pPr>
        <w:spacing w:after="0" w:line="560" w:lineRule="exact"/>
        <w:ind w:firstLine="640" w:firstLineChars="200"/>
        <w:jc w:val="both"/>
        <w:rPr>
          <w:rFonts w:ascii="仿宋_GB2312" w:eastAsia="仿宋_GB2312"/>
          <w:color w:val="000000"/>
          <w:sz w:val="32"/>
          <w:szCs w:val="32"/>
        </w:rPr>
      </w:pPr>
    </w:p>
    <w:p>
      <w:pPr>
        <w:spacing w:after="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附件：投标及履约承诺函</w:t>
      </w:r>
    </w:p>
    <w:p>
      <w:pPr>
        <w:pStyle w:val="2"/>
        <w:ind w:firstLine="562"/>
        <w:rPr>
          <w:rFonts w:hint="eastAsia"/>
        </w:rPr>
      </w:pPr>
      <w:r>
        <w:br w:type="page"/>
      </w:r>
    </w:p>
    <w:p>
      <w:pPr>
        <w:spacing w:after="0" w:line="560" w:lineRule="exact"/>
        <w:jc w:val="both"/>
        <w:rPr>
          <w:rFonts w:hint="eastAsia" w:ascii="黑体" w:hAnsi="黑体" w:eastAsia="黑体"/>
          <w:color w:val="000000"/>
          <w:sz w:val="32"/>
          <w:szCs w:val="32"/>
        </w:rPr>
      </w:pPr>
      <w:r>
        <w:rPr>
          <w:rFonts w:hint="eastAsia" w:ascii="黑体" w:hAnsi="黑体" w:eastAsia="黑体"/>
          <w:color w:val="000000"/>
          <w:sz w:val="32"/>
          <w:szCs w:val="32"/>
        </w:rPr>
        <w:t>附件</w:t>
      </w:r>
    </w:p>
    <w:p>
      <w:pPr>
        <w:spacing w:after="0" w:line="560" w:lineRule="exact"/>
        <w:jc w:val="center"/>
        <w:rPr>
          <w:rFonts w:ascii="仿宋_GB2312" w:eastAsia="仿宋_GB2312"/>
          <w:b/>
          <w:bCs/>
          <w:color w:val="000000"/>
          <w:sz w:val="32"/>
          <w:szCs w:val="32"/>
        </w:rPr>
      </w:pPr>
      <w:r>
        <w:rPr>
          <w:rFonts w:hint="eastAsia" w:ascii="仿宋_GB2312" w:eastAsia="仿宋_GB2312"/>
          <w:b/>
          <w:bCs/>
          <w:color w:val="000000"/>
          <w:sz w:val="40"/>
          <w:szCs w:val="40"/>
        </w:rPr>
        <w:t>投标及履约承诺函</w:t>
      </w:r>
    </w:p>
    <w:p>
      <w:pPr>
        <w:spacing w:after="0" w:line="560" w:lineRule="exact"/>
        <w:ind w:firstLine="560" w:firstLineChars="200"/>
        <w:jc w:val="both"/>
        <w:rPr>
          <w:rFonts w:ascii="仿宋_GB2312" w:eastAsia="仿宋_GB2312"/>
          <w:color w:val="000000"/>
          <w:sz w:val="28"/>
          <w:szCs w:val="28"/>
        </w:rPr>
      </w:pPr>
      <w:r>
        <w:rPr>
          <w:rFonts w:hint="eastAsia" w:ascii="仿宋_GB2312" w:eastAsia="仿宋_GB2312"/>
          <w:color w:val="000000"/>
          <w:sz w:val="28"/>
          <w:szCs w:val="28"/>
        </w:rPr>
        <w:t>我单位承诺：</w:t>
      </w:r>
    </w:p>
    <w:p>
      <w:pPr>
        <w:spacing w:after="0" w:line="560" w:lineRule="exact"/>
        <w:ind w:firstLine="560" w:firstLineChars="200"/>
        <w:jc w:val="both"/>
        <w:rPr>
          <w:rFonts w:ascii="仿宋_GB2312" w:eastAsia="仿宋_GB2312"/>
          <w:color w:val="000000"/>
          <w:sz w:val="28"/>
          <w:szCs w:val="28"/>
        </w:rPr>
      </w:pPr>
      <w:r>
        <w:rPr>
          <w:rFonts w:hint="eastAsia" w:ascii="仿宋_GB2312" w:eastAsia="仿宋_GB2312"/>
          <w:color w:val="000000"/>
          <w:sz w:val="28"/>
          <w:szCs w:val="28"/>
        </w:rPr>
        <w:t>1.依法缴纳税收和社会保障资金。具备项目所必需的人员和专业技术能力。参加政府采购活动前三年内在经营活动中没有重大违法记录。</w:t>
      </w:r>
    </w:p>
    <w:p>
      <w:pPr>
        <w:spacing w:after="0" w:line="560" w:lineRule="exact"/>
        <w:ind w:firstLine="560" w:firstLineChars="200"/>
        <w:jc w:val="both"/>
        <w:rPr>
          <w:rFonts w:ascii="仿宋_GB2312" w:eastAsia="仿宋_GB2312"/>
          <w:color w:val="000000"/>
          <w:sz w:val="28"/>
          <w:szCs w:val="28"/>
        </w:rPr>
      </w:pPr>
      <w:r>
        <w:rPr>
          <w:rFonts w:hint="eastAsia" w:ascii="仿宋_GB2312" w:eastAsia="仿宋_GB2312"/>
          <w:color w:val="000000"/>
          <w:sz w:val="28"/>
          <w:szCs w:val="28"/>
        </w:rPr>
        <w:t>2.对本招标项目所提供的服务未侵犯知识产权。</w:t>
      </w:r>
    </w:p>
    <w:p>
      <w:pPr>
        <w:spacing w:after="0" w:line="560" w:lineRule="exact"/>
        <w:ind w:firstLine="560" w:firstLineChars="200"/>
        <w:jc w:val="both"/>
        <w:rPr>
          <w:rFonts w:ascii="仿宋_GB2312" w:eastAsia="仿宋_GB2312"/>
          <w:color w:val="000000"/>
          <w:sz w:val="28"/>
          <w:szCs w:val="28"/>
        </w:rPr>
      </w:pPr>
      <w:r>
        <w:rPr>
          <w:rFonts w:hint="eastAsia" w:ascii="仿宋_GB2312" w:eastAsia="仿宋_GB2312"/>
          <w:color w:val="000000"/>
          <w:sz w:val="28"/>
          <w:szCs w:val="28"/>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spacing w:after="0" w:line="560" w:lineRule="exact"/>
        <w:ind w:firstLine="560" w:firstLineChars="200"/>
        <w:jc w:val="both"/>
        <w:rPr>
          <w:rFonts w:ascii="仿宋_GB2312" w:eastAsia="仿宋_GB2312"/>
          <w:color w:val="000000"/>
          <w:sz w:val="28"/>
          <w:szCs w:val="28"/>
        </w:rPr>
      </w:pPr>
      <w:r>
        <w:rPr>
          <w:rFonts w:hint="eastAsia" w:ascii="仿宋_GB2312" w:eastAsia="仿宋_GB2312"/>
          <w:color w:val="000000"/>
          <w:sz w:val="28"/>
          <w:szCs w:val="28"/>
        </w:rPr>
        <w:t>4.如果中标，做到守信，不偷工减料，依照本项目招标文件需求内容、签署的采购合同及在投标中所作的一切承诺履约。项目验收达到全部指标合格，力争优良。</w:t>
      </w:r>
    </w:p>
    <w:p>
      <w:pPr>
        <w:spacing w:after="0" w:line="560" w:lineRule="exact"/>
        <w:ind w:firstLine="560" w:firstLineChars="200"/>
        <w:jc w:val="both"/>
        <w:rPr>
          <w:rFonts w:ascii="仿宋_GB2312" w:eastAsia="仿宋_GB2312"/>
          <w:color w:val="000000"/>
          <w:sz w:val="28"/>
          <w:szCs w:val="28"/>
        </w:rPr>
      </w:pPr>
      <w:r>
        <w:rPr>
          <w:rFonts w:hint="eastAsia" w:ascii="仿宋_GB2312" w:eastAsia="仿宋_GB2312"/>
          <w:color w:val="000000"/>
          <w:sz w:val="28"/>
          <w:szCs w:val="28"/>
        </w:rPr>
        <w:t>5.我单位已认真阅读本项目需求，我单位承诺按时递交标书。</w:t>
      </w:r>
    </w:p>
    <w:p>
      <w:pPr>
        <w:spacing w:after="0" w:line="560" w:lineRule="exact"/>
        <w:ind w:firstLine="560" w:firstLineChars="200"/>
        <w:jc w:val="both"/>
        <w:rPr>
          <w:rFonts w:ascii="仿宋_GB2312" w:eastAsia="仿宋_GB2312"/>
          <w:color w:val="000000"/>
          <w:sz w:val="28"/>
          <w:szCs w:val="28"/>
        </w:rPr>
      </w:pPr>
      <w:r>
        <w:rPr>
          <w:rFonts w:hint="eastAsia" w:ascii="仿宋_GB2312" w:eastAsia="仿宋_GB2312"/>
          <w:color w:val="000000"/>
          <w:sz w:val="28"/>
          <w:szCs w:val="28"/>
        </w:rPr>
        <w:t>6.我单位承诺不非法转包或分包。</w:t>
      </w:r>
    </w:p>
    <w:p>
      <w:pPr>
        <w:spacing w:after="0" w:line="560" w:lineRule="exact"/>
        <w:ind w:firstLine="560" w:firstLineChars="200"/>
        <w:jc w:val="both"/>
        <w:rPr>
          <w:rFonts w:ascii="仿宋_GB2312" w:eastAsia="仿宋_GB2312"/>
          <w:color w:val="000000"/>
          <w:sz w:val="28"/>
          <w:szCs w:val="28"/>
        </w:rPr>
      </w:pPr>
      <w:r>
        <w:rPr>
          <w:rFonts w:hint="eastAsia" w:ascii="仿宋_GB2312" w:eastAsia="仿宋_GB2312"/>
          <w:color w:val="000000"/>
          <w:sz w:val="28"/>
          <w:szCs w:val="28"/>
        </w:rPr>
        <w:t>以上承诺，如有违反，愿依照国家相关法律处理，并承担由此给采购人带来的损失。</w:t>
      </w:r>
    </w:p>
    <w:p>
      <w:pPr>
        <w:spacing w:after="0" w:line="560" w:lineRule="exact"/>
        <w:ind w:firstLine="560" w:firstLineChars="200"/>
        <w:jc w:val="both"/>
        <w:rPr>
          <w:rFonts w:ascii="仿宋_GB2312" w:eastAsia="仿宋_GB2312"/>
          <w:color w:val="000000"/>
          <w:sz w:val="28"/>
          <w:szCs w:val="28"/>
        </w:rPr>
      </w:pPr>
      <w:r>
        <w:rPr>
          <w:rFonts w:hint="eastAsia" w:ascii="仿宋_GB2312" w:eastAsia="仿宋_GB2312"/>
          <w:color w:val="000000"/>
          <w:sz w:val="28"/>
          <w:szCs w:val="28"/>
        </w:rPr>
        <w:t xml:space="preserve">承诺单位： </w:t>
      </w:r>
    </w:p>
    <w:p>
      <w:pPr>
        <w:spacing w:after="0" w:line="560" w:lineRule="exact"/>
        <w:ind w:firstLine="560" w:firstLineChars="200"/>
        <w:jc w:val="both"/>
        <w:rPr>
          <w:rFonts w:ascii="仿宋_GB2312" w:eastAsia="仿宋_GB2312"/>
          <w:color w:val="000000"/>
          <w:sz w:val="28"/>
          <w:szCs w:val="28"/>
        </w:rPr>
      </w:pPr>
      <w:r>
        <w:rPr>
          <w:rFonts w:hint="eastAsia" w:ascii="仿宋_GB2312" w:eastAsia="仿宋_GB2312"/>
          <w:color w:val="000000"/>
          <w:sz w:val="28"/>
          <w:szCs w:val="28"/>
        </w:rPr>
        <w:t>单位地址：</w:t>
      </w:r>
    </w:p>
    <w:p>
      <w:pPr>
        <w:spacing w:after="0" w:line="560" w:lineRule="exact"/>
        <w:ind w:firstLine="560" w:firstLineChars="200"/>
        <w:jc w:val="both"/>
        <w:rPr>
          <w:rFonts w:ascii="仿宋_GB2312" w:eastAsia="仿宋_GB2312"/>
          <w:color w:val="000000"/>
          <w:sz w:val="28"/>
          <w:szCs w:val="28"/>
        </w:rPr>
      </w:pPr>
      <w:r>
        <w:rPr>
          <w:rFonts w:hint="eastAsia" w:ascii="仿宋_GB2312" w:eastAsia="仿宋_GB2312"/>
          <w:color w:val="000000"/>
          <w:sz w:val="28"/>
          <w:szCs w:val="28"/>
        </w:rPr>
        <w:t xml:space="preserve">法定代表人或其委托代理人： </w:t>
      </w:r>
    </w:p>
    <w:p>
      <w:pPr>
        <w:spacing w:after="0" w:line="560" w:lineRule="exact"/>
        <w:ind w:firstLine="560" w:firstLineChars="200"/>
        <w:jc w:val="both"/>
        <w:rPr>
          <w:rFonts w:ascii="仿宋_GB2312" w:eastAsia="仿宋_GB2312"/>
          <w:color w:val="000000"/>
          <w:sz w:val="28"/>
          <w:szCs w:val="28"/>
        </w:rPr>
      </w:pPr>
      <w:r>
        <w:rPr>
          <w:rFonts w:hint="eastAsia" w:ascii="仿宋_GB2312" w:eastAsia="仿宋_GB2312"/>
          <w:color w:val="000000"/>
          <w:sz w:val="28"/>
          <w:szCs w:val="28"/>
        </w:rPr>
        <w:t>联系电话：</w:t>
      </w:r>
    </w:p>
    <w:p>
      <w:pPr>
        <w:spacing w:after="0" w:line="560" w:lineRule="exact"/>
        <w:ind w:firstLine="560" w:firstLineChars="200"/>
        <w:jc w:val="both"/>
        <w:rPr>
          <w:rFonts w:ascii="仿宋_GB2312" w:eastAsia="仿宋_GB2312"/>
          <w:color w:val="000000"/>
          <w:sz w:val="32"/>
          <w:szCs w:val="32"/>
        </w:rPr>
      </w:pPr>
      <w:r>
        <w:rPr>
          <w:rFonts w:hint="eastAsia" w:ascii="仿宋_GB2312" w:eastAsia="仿宋_GB2312"/>
          <w:color w:val="000000"/>
          <w:sz w:val="28"/>
          <w:szCs w:val="28"/>
        </w:rPr>
        <w:t>日期：</w:t>
      </w:r>
      <w:r>
        <w:rPr>
          <w:rFonts w:hint="eastAsia" w:ascii="仿宋_GB2312" w:eastAsia="仿宋_GB2312"/>
          <w:color w:val="000000"/>
          <w:sz w:val="28"/>
          <w:szCs w:val="28"/>
        </w:rPr>
        <w:tab/>
      </w:r>
      <w:r>
        <w:rPr>
          <w:rFonts w:hint="eastAsia" w:ascii="仿宋_GB2312" w:eastAsia="仿宋_GB2312"/>
          <w:color w:val="000000"/>
          <w:sz w:val="28"/>
          <w:szCs w:val="28"/>
        </w:rPr>
        <w:t xml:space="preserve">  年</w:t>
      </w:r>
      <w:r>
        <w:rPr>
          <w:rFonts w:hint="eastAsia" w:ascii="仿宋_GB2312" w:eastAsia="仿宋_GB2312"/>
          <w:color w:val="000000"/>
          <w:sz w:val="28"/>
          <w:szCs w:val="28"/>
        </w:rPr>
        <w:tab/>
      </w:r>
      <w:r>
        <w:rPr>
          <w:rFonts w:hint="eastAsia" w:ascii="仿宋_GB2312" w:eastAsia="仿宋_GB2312"/>
          <w:color w:val="000000"/>
          <w:sz w:val="28"/>
          <w:szCs w:val="28"/>
        </w:rPr>
        <w:t xml:space="preserve">  月</w:t>
      </w:r>
      <w:r>
        <w:rPr>
          <w:rFonts w:hint="eastAsia" w:ascii="仿宋_GB2312" w:eastAsia="仿宋_GB2312"/>
          <w:color w:val="000000"/>
          <w:sz w:val="28"/>
          <w:szCs w:val="28"/>
        </w:rPr>
        <w:tab/>
      </w:r>
      <w:r>
        <w:rPr>
          <w:rFonts w:hint="eastAsia" w:ascii="仿宋_GB2312" w:eastAsia="仿宋_GB2312"/>
          <w:color w:val="000000"/>
          <w:sz w:val="28"/>
          <w:szCs w:val="28"/>
        </w:rPr>
        <w:t xml:space="preserve">  日</w:t>
      </w:r>
      <w:bookmarkStart w:id="0" w:name="（二）投标及邮寄地址：深圳市龙华区龙华街道清泉路7号富康行政服务办公区19层A1"/>
      <w:bookmarkEnd w:id="0"/>
    </w:p>
    <w:sectPr>
      <w:footerReference r:id="rId10"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325880" cy="1828800"/>
              <wp:effectExtent l="0" t="0" r="15240" b="0"/>
              <wp:wrapNone/>
              <wp:docPr id="914894889" name="文本框 914894889"/>
              <wp:cNvGraphicFramePr/>
              <a:graphic xmlns:a="http://schemas.openxmlformats.org/drawingml/2006/main">
                <a:graphicData uri="http://schemas.microsoft.com/office/word/2010/wordprocessingShape">
                  <wps:wsp>
                    <wps:cNvSpPr txBox="1"/>
                    <wps:spPr>
                      <a:xfrm>
                        <a:off x="0" y="0"/>
                        <a:ext cx="1325880" cy="1828800"/>
                      </a:xfrm>
                      <a:prstGeom prst="rect">
                        <a:avLst/>
                      </a:prstGeom>
                      <a:noFill/>
                      <a:ln w="6350">
                        <a:noFill/>
                      </a:ln>
                      <a:effectLst/>
                    </wps:spPr>
                    <wps:txbx>
                      <w:txbxContent>
                        <w:p>
                          <w:pPr>
                            <w:rPr>
                              <w:rFonts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04.4pt;mso-position-horizontal:outside;mso-position-horizontal-relative:margin;z-index:251660288;mso-width-relative:page;mso-height-relative:page;" filled="f" stroked="f" coordsize="21600,21600" o:gfxdata="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5uhlXtMAAAAFAQAA&#10;DwAAAAAAAAABACAAAAA4AAAAZHJzL2Rvd25yZXYueG1sUEsBAhQAFAAAAAgAh07iQPAiEU5BAgAA&#10;dQQAAA4AAAAAAAAAAQAgAAAAOAEAAGRycy9lMm9Eb2MueG1sUEsFBgAAAAAGAAYAWQEAAOsFAAAA&#10;AA==&#10;">
              <v:fill on="f" focussize="0,0"/>
              <v:stroke on="f" weight="0.5pt"/>
              <v:imagedata o:title=""/>
              <o:lock v:ext="edit" aspectratio="f"/>
              <v:textbox inset="0mm,0mm,0mm,0mm" style="mso-fit-shape-to-text:t;">
                <w:txbxContent>
                  <w:p>
                    <w:pPr>
                      <w:rPr>
                        <w:rFonts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rPr>
                        <w:rFonts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isplayBackgroundShape w:val="1"/>
  <w:embedTrueTypeFonts/>
  <w:saveSubsetFonts/>
  <w:bordersDoNotSurroundHeader w:val="1"/>
  <w:bordersDoNotSurroundFooter w:val="1"/>
  <w:trackRevisions w:val="1"/>
  <w:documentProtection w:enforcement="0"/>
  <w:defaultTabStop w:val="720"/>
  <w:noPunctuationKerning w:val="1"/>
  <w:characterSpacingControl w:val="doNotCompress"/>
  <w:footnotePr>
    <w:footnote w:id="0"/>
    <w:footnote w:id="1"/>
  </w:foot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wZGYxNDJiNDJmN2U3YzdmNzYyYWJiYjY5YzUyMjYifQ=="/>
  </w:docVars>
  <w:rsids>
    <w:rsidRoot w:val="00D31D50"/>
    <w:rsid w:val="0002495C"/>
    <w:rsid w:val="00044B36"/>
    <w:rsid w:val="00062801"/>
    <w:rsid w:val="00063920"/>
    <w:rsid w:val="00066DA1"/>
    <w:rsid w:val="00077179"/>
    <w:rsid w:val="00084907"/>
    <w:rsid w:val="000918C7"/>
    <w:rsid w:val="00092A3A"/>
    <w:rsid w:val="000A4BEB"/>
    <w:rsid w:val="000F3D50"/>
    <w:rsid w:val="00113CAA"/>
    <w:rsid w:val="00135857"/>
    <w:rsid w:val="00140A97"/>
    <w:rsid w:val="00197D52"/>
    <w:rsid w:val="00197EAA"/>
    <w:rsid w:val="001C64BB"/>
    <w:rsid w:val="001E0FF4"/>
    <w:rsid w:val="001E60F9"/>
    <w:rsid w:val="001E7186"/>
    <w:rsid w:val="001F7A52"/>
    <w:rsid w:val="00233AB3"/>
    <w:rsid w:val="00273CAF"/>
    <w:rsid w:val="002B27F8"/>
    <w:rsid w:val="002B3A02"/>
    <w:rsid w:val="002C5F9D"/>
    <w:rsid w:val="003119A6"/>
    <w:rsid w:val="0031527F"/>
    <w:rsid w:val="00323B43"/>
    <w:rsid w:val="00390F87"/>
    <w:rsid w:val="003B024C"/>
    <w:rsid w:val="003C595B"/>
    <w:rsid w:val="003D37D8"/>
    <w:rsid w:val="003E7B29"/>
    <w:rsid w:val="003F1032"/>
    <w:rsid w:val="003F51D6"/>
    <w:rsid w:val="004040D7"/>
    <w:rsid w:val="00426133"/>
    <w:rsid w:val="0043051F"/>
    <w:rsid w:val="004358AB"/>
    <w:rsid w:val="00457C5C"/>
    <w:rsid w:val="00484A8A"/>
    <w:rsid w:val="004A5955"/>
    <w:rsid w:val="004C7973"/>
    <w:rsid w:val="0053195E"/>
    <w:rsid w:val="00561736"/>
    <w:rsid w:val="00563459"/>
    <w:rsid w:val="00564A73"/>
    <w:rsid w:val="00565B0E"/>
    <w:rsid w:val="00576CC3"/>
    <w:rsid w:val="00583938"/>
    <w:rsid w:val="005A01C2"/>
    <w:rsid w:val="00624CB5"/>
    <w:rsid w:val="006423AD"/>
    <w:rsid w:val="00664973"/>
    <w:rsid w:val="00670F69"/>
    <w:rsid w:val="006822B0"/>
    <w:rsid w:val="006C0AA6"/>
    <w:rsid w:val="006D03B6"/>
    <w:rsid w:val="006D46A1"/>
    <w:rsid w:val="00724725"/>
    <w:rsid w:val="0076615D"/>
    <w:rsid w:val="007B1357"/>
    <w:rsid w:val="007D2968"/>
    <w:rsid w:val="007D7388"/>
    <w:rsid w:val="007E4A68"/>
    <w:rsid w:val="008109F0"/>
    <w:rsid w:val="00855F83"/>
    <w:rsid w:val="00870C40"/>
    <w:rsid w:val="00872D80"/>
    <w:rsid w:val="008A2124"/>
    <w:rsid w:val="008B729A"/>
    <w:rsid w:val="008B7726"/>
    <w:rsid w:val="008E007E"/>
    <w:rsid w:val="0090022E"/>
    <w:rsid w:val="009008F2"/>
    <w:rsid w:val="009351E8"/>
    <w:rsid w:val="00967F59"/>
    <w:rsid w:val="0098653F"/>
    <w:rsid w:val="009947F4"/>
    <w:rsid w:val="009F5C75"/>
    <w:rsid w:val="00A131C0"/>
    <w:rsid w:val="00A17CAC"/>
    <w:rsid w:val="00A24419"/>
    <w:rsid w:val="00A35588"/>
    <w:rsid w:val="00A4423D"/>
    <w:rsid w:val="00A53286"/>
    <w:rsid w:val="00A54145"/>
    <w:rsid w:val="00A6627F"/>
    <w:rsid w:val="00A7018D"/>
    <w:rsid w:val="00A961A6"/>
    <w:rsid w:val="00AA6209"/>
    <w:rsid w:val="00B01A1F"/>
    <w:rsid w:val="00B317ED"/>
    <w:rsid w:val="00B7586E"/>
    <w:rsid w:val="00B77D38"/>
    <w:rsid w:val="00BB1970"/>
    <w:rsid w:val="00BE109F"/>
    <w:rsid w:val="00BF452E"/>
    <w:rsid w:val="00C01BF6"/>
    <w:rsid w:val="00C02A0E"/>
    <w:rsid w:val="00C11627"/>
    <w:rsid w:val="00C25FD8"/>
    <w:rsid w:val="00C46BC4"/>
    <w:rsid w:val="00C607F3"/>
    <w:rsid w:val="00C755F3"/>
    <w:rsid w:val="00CA4ED7"/>
    <w:rsid w:val="00CA6948"/>
    <w:rsid w:val="00CB1423"/>
    <w:rsid w:val="00D304BB"/>
    <w:rsid w:val="00D31D50"/>
    <w:rsid w:val="00D82247"/>
    <w:rsid w:val="00DE20BE"/>
    <w:rsid w:val="00E14A7B"/>
    <w:rsid w:val="00E85B9C"/>
    <w:rsid w:val="00EA065A"/>
    <w:rsid w:val="00EC692B"/>
    <w:rsid w:val="00EE6777"/>
    <w:rsid w:val="00EE7128"/>
    <w:rsid w:val="00F052BE"/>
    <w:rsid w:val="00F10571"/>
    <w:rsid w:val="00F407D8"/>
    <w:rsid w:val="00F54A5C"/>
    <w:rsid w:val="00F5743C"/>
    <w:rsid w:val="00F57548"/>
    <w:rsid w:val="00F803C0"/>
    <w:rsid w:val="00F93340"/>
    <w:rsid w:val="00FC2548"/>
    <w:rsid w:val="00FD704C"/>
    <w:rsid w:val="00FF28C8"/>
    <w:rsid w:val="019E77AA"/>
    <w:rsid w:val="06360036"/>
    <w:rsid w:val="064F49BC"/>
    <w:rsid w:val="06DE58F6"/>
    <w:rsid w:val="08F8463E"/>
    <w:rsid w:val="094F6713"/>
    <w:rsid w:val="09975A22"/>
    <w:rsid w:val="0A663D03"/>
    <w:rsid w:val="0C7B74CD"/>
    <w:rsid w:val="0D28436F"/>
    <w:rsid w:val="0D506095"/>
    <w:rsid w:val="109A6A16"/>
    <w:rsid w:val="118C2386"/>
    <w:rsid w:val="1215324F"/>
    <w:rsid w:val="15C23D18"/>
    <w:rsid w:val="16F815A2"/>
    <w:rsid w:val="18506F46"/>
    <w:rsid w:val="18FE21B3"/>
    <w:rsid w:val="195A7B6F"/>
    <w:rsid w:val="1DE62D42"/>
    <w:rsid w:val="1EFFD909"/>
    <w:rsid w:val="1F640F31"/>
    <w:rsid w:val="1FF26E98"/>
    <w:rsid w:val="204B70C3"/>
    <w:rsid w:val="206A7BBF"/>
    <w:rsid w:val="20811019"/>
    <w:rsid w:val="23AD2783"/>
    <w:rsid w:val="248063B9"/>
    <w:rsid w:val="2492630C"/>
    <w:rsid w:val="24B5761D"/>
    <w:rsid w:val="258A0A5E"/>
    <w:rsid w:val="27FE0A66"/>
    <w:rsid w:val="281C06E1"/>
    <w:rsid w:val="2AD167C0"/>
    <w:rsid w:val="2D0028F8"/>
    <w:rsid w:val="2D3275D9"/>
    <w:rsid w:val="2D923592"/>
    <w:rsid w:val="2E3A0AA3"/>
    <w:rsid w:val="2E9A4AB0"/>
    <w:rsid w:val="32E82E36"/>
    <w:rsid w:val="3356097E"/>
    <w:rsid w:val="34333F44"/>
    <w:rsid w:val="378479A8"/>
    <w:rsid w:val="37E85CBC"/>
    <w:rsid w:val="38750739"/>
    <w:rsid w:val="39102EB8"/>
    <w:rsid w:val="39E53CF3"/>
    <w:rsid w:val="3A873BF2"/>
    <w:rsid w:val="3B493564"/>
    <w:rsid w:val="3B616BC8"/>
    <w:rsid w:val="3BD655B0"/>
    <w:rsid w:val="3CCE312E"/>
    <w:rsid w:val="3E6975AE"/>
    <w:rsid w:val="414238C1"/>
    <w:rsid w:val="4230676C"/>
    <w:rsid w:val="423835EC"/>
    <w:rsid w:val="445C0CDF"/>
    <w:rsid w:val="458812BE"/>
    <w:rsid w:val="469518A2"/>
    <w:rsid w:val="4B3356A0"/>
    <w:rsid w:val="4D90023B"/>
    <w:rsid w:val="4EEC4498"/>
    <w:rsid w:val="4F950FD4"/>
    <w:rsid w:val="4FFE7338"/>
    <w:rsid w:val="50B13FBA"/>
    <w:rsid w:val="50C506D9"/>
    <w:rsid w:val="51195384"/>
    <w:rsid w:val="5144458D"/>
    <w:rsid w:val="516B167A"/>
    <w:rsid w:val="52402B85"/>
    <w:rsid w:val="529F70EF"/>
    <w:rsid w:val="55356C66"/>
    <w:rsid w:val="56EF3454"/>
    <w:rsid w:val="582E3CAD"/>
    <w:rsid w:val="58530C5F"/>
    <w:rsid w:val="58925579"/>
    <w:rsid w:val="5B5C1B49"/>
    <w:rsid w:val="5B8345F6"/>
    <w:rsid w:val="5D3572A6"/>
    <w:rsid w:val="5D7F6C45"/>
    <w:rsid w:val="5E3B3A6B"/>
    <w:rsid w:val="5EBB1C94"/>
    <w:rsid w:val="5EC30C18"/>
    <w:rsid w:val="5F181044"/>
    <w:rsid w:val="5FBF0C1A"/>
    <w:rsid w:val="60691695"/>
    <w:rsid w:val="60BC7EC8"/>
    <w:rsid w:val="61477CED"/>
    <w:rsid w:val="6199330F"/>
    <w:rsid w:val="63324951"/>
    <w:rsid w:val="65031260"/>
    <w:rsid w:val="676B45C4"/>
    <w:rsid w:val="6A153D15"/>
    <w:rsid w:val="6AFFE342"/>
    <w:rsid w:val="6B6A3D72"/>
    <w:rsid w:val="6DAC66FF"/>
    <w:rsid w:val="6E8179A8"/>
    <w:rsid w:val="73A90D55"/>
    <w:rsid w:val="776E513F"/>
    <w:rsid w:val="77A74B88"/>
    <w:rsid w:val="79E02660"/>
    <w:rsid w:val="7B0513F6"/>
    <w:rsid w:val="7B766538"/>
    <w:rsid w:val="7C5957F3"/>
    <w:rsid w:val="7D832446"/>
    <w:rsid w:val="7F5D01BE"/>
    <w:rsid w:val="BFDEBBA4"/>
    <w:rsid w:val="DEFDC147"/>
    <w:rsid w:val="EF7DAA36"/>
    <w:rsid w:val="FEFE9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widowControl w:val="0"/>
      <w:spacing w:after="0" w:line="560" w:lineRule="exact"/>
      <w:ind w:firstLine="640" w:firstLineChars="200"/>
      <w:outlineLvl w:val="0"/>
    </w:pPr>
    <w:rPr>
      <w:rFonts w:ascii="黑体" w:hAnsi="黑体" w:eastAsia="仿宋"/>
      <w:b/>
      <w:kern w:val="2"/>
      <w:sz w:val="28"/>
      <w:szCs w:val="32"/>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lock Text"/>
    <w:basedOn w:val="1"/>
    <w:qFormat/>
    <w:uiPriority w:val="0"/>
    <w:pPr>
      <w:tabs>
        <w:tab w:val="left" w:pos="426"/>
      </w:tabs>
      <w:spacing w:after="120"/>
      <w:ind w:left="1440" w:leftChars="700" w:right="1440" w:rightChars="700"/>
    </w:pPr>
  </w:style>
  <w:style w:type="paragraph" w:styleId="4">
    <w:name w:val="footer"/>
    <w:basedOn w:val="1"/>
    <w:unhideWhenUsed/>
    <w:qFormat/>
    <w:uiPriority w:val="99"/>
    <w:pPr>
      <w:tabs>
        <w:tab w:val="center" w:pos="4153"/>
        <w:tab w:val="right" w:pos="8306"/>
      </w:tabs>
    </w:pPr>
    <w:rPr>
      <w:sz w:val="18"/>
      <w:szCs w:val="18"/>
    </w:rPr>
  </w:style>
  <w:style w:type="paragraph" w:styleId="5">
    <w:name w:val="header"/>
    <w:basedOn w:val="1"/>
    <w:link w:val="15"/>
    <w:unhideWhenUsed/>
    <w:qFormat/>
    <w:uiPriority w:val="99"/>
    <w:pPr>
      <w:tabs>
        <w:tab w:val="center" w:pos="4153"/>
        <w:tab w:val="right" w:pos="8306"/>
      </w:tabs>
      <w:jc w:val="center"/>
    </w:pPr>
    <w:rPr>
      <w:sz w:val="18"/>
      <w:szCs w:val="18"/>
    </w:rPr>
  </w:style>
  <w:style w:type="paragraph" w:styleId="6">
    <w:name w:val="Title"/>
    <w:basedOn w:val="1"/>
    <w:next w:val="1"/>
    <w:qFormat/>
    <w:uiPriority w:val="10"/>
    <w:pPr>
      <w:spacing w:before="240" w:after="60"/>
      <w:jc w:val="center"/>
      <w:outlineLvl w:val="0"/>
    </w:pPr>
    <w:rPr>
      <w:rFonts w:ascii="等线 Light" w:hAnsi="等线 Light" w:eastAsia="宋体"/>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Emphasis"/>
    <w:basedOn w:val="9"/>
    <w:qFormat/>
    <w:uiPriority w:val="20"/>
    <w:rPr>
      <w:i/>
    </w:rPr>
  </w:style>
  <w:style w:type="character" w:styleId="12">
    <w:name w:val="Hyperlink"/>
    <w:basedOn w:val="9"/>
    <w:unhideWhenUsed/>
    <w:qFormat/>
    <w:uiPriority w:val="99"/>
    <w:rPr>
      <w:color w:val="0000FF" w:themeColor="hyperlink"/>
      <w:u w:val="single"/>
      <w14:textFill>
        <w14:solidFill>
          <w14:schemeClr w14:val="hlink"/>
        </w14:solidFill>
      </w14:textFill>
    </w:rPr>
  </w:style>
  <w:style w:type="character" w:customStyle="1" w:styleId="13">
    <w:name w:val="font41"/>
    <w:basedOn w:val="9"/>
    <w:qFormat/>
    <w:uiPriority w:val="0"/>
    <w:rPr>
      <w:rFonts w:hint="eastAsia" w:ascii="方正仿宋_GBK" w:hAnsi="方正仿宋_GBK" w:eastAsia="方正仿宋_GBK" w:cs="方正仿宋_GBK"/>
      <w:color w:val="000000"/>
      <w:sz w:val="24"/>
      <w:szCs w:val="24"/>
      <w:u w:val="none"/>
    </w:rPr>
  </w:style>
  <w:style w:type="paragraph" w:customStyle="1" w:styleId="14">
    <w:name w:val="USE 1"/>
    <w:basedOn w:val="1"/>
    <w:qFormat/>
    <w:uiPriority w:val="0"/>
    <w:pPr>
      <w:spacing w:line="200" w:lineRule="atLeast"/>
    </w:pPr>
    <w:rPr>
      <w:rFonts w:ascii="宋体" w:hAnsi="宋体"/>
      <w:b/>
      <w:sz w:val="24"/>
      <w:szCs w:val="28"/>
    </w:rPr>
  </w:style>
  <w:style w:type="character" w:customStyle="1" w:styleId="15">
    <w:name w:val="页眉 字符"/>
    <w:basedOn w:val="9"/>
    <w:link w:val="5"/>
    <w:qFormat/>
    <w:uiPriority w:val="99"/>
    <w:rPr>
      <w:rFonts w:ascii="Tahoma" w:hAnsi="Tahoma" w:eastAsia="微软雅黑"/>
      <w:sz w:val="18"/>
      <w:szCs w:val="18"/>
    </w:rPr>
  </w:style>
  <w:style w:type="paragraph" w:customStyle="1" w:styleId="16">
    <w:name w:val="修订1"/>
    <w:hidden/>
    <w:unhideWhenUsed/>
    <w:qFormat/>
    <w:uiPriority w:val="99"/>
    <w:rPr>
      <w:rFonts w:ascii="Tahoma" w:hAnsi="Tahoma" w:eastAsia="微软雅黑" w:cs="Times New Roman"/>
      <w:sz w:val="22"/>
      <w:szCs w:val="22"/>
      <w:lang w:val="en-US" w:eastAsia="zh-CN" w:bidi="ar-SA"/>
    </w:rPr>
  </w:style>
  <w:style w:type="character" w:customStyle="1" w:styleId="17">
    <w:name w:val="未处理的提及1"/>
    <w:basedOn w:val="9"/>
    <w:semiHidden/>
    <w:unhideWhenUsed/>
    <w:qFormat/>
    <w:uiPriority w:val="99"/>
    <w:rPr>
      <w:color w:val="605E5C"/>
      <w:shd w:val="clear" w:color="auto" w:fill="E1DFDD"/>
    </w:rPr>
  </w:style>
  <w:style w:type="paragraph" w:customStyle="1" w:styleId="18">
    <w:name w:val="修订2"/>
    <w:hidden/>
    <w:unhideWhenUsed/>
    <w:qFormat/>
    <w:uiPriority w:val="99"/>
    <w:rPr>
      <w:rFonts w:ascii="Tahoma" w:hAnsi="Tahoma" w:eastAsia="微软雅黑" w:cs="Times New Roman"/>
      <w:sz w:val="22"/>
      <w:szCs w:val="22"/>
      <w:lang w:val="en-US" w:eastAsia="zh-CN" w:bidi="ar-SA"/>
    </w:rPr>
  </w:style>
  <w:style w:type="paragraph" w:customStyle="1" w:styleId="19">
    <w:name w:val="修订3"/>
    <w:hidden/>
    <w:unhideWhenUsed/>
    <w:qFormat/>
    <w:uiPriority w:val="99"/>
    <w:rPr>
      <w:rFonts w:ascii="Tahoma" w:hAnsi="Tahoma" w:eastAsia="微软雅黑" w:cs="Times New Roman"/>
      <w:sz w:val="22"/>
      <w:szCs w:val="22"/>
      <w:lang w:val="en-US" w:eastAsia="zh-CN" w:bidi="ar-SA"/>
    </w:rPr>
  </w:style>
  <w:style w:type="table" w:customStyle="1" w:styleId="20">
    <w:name w:val="网格型1"/>
    <w:basedOn w:val="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Revision"/>
    <w:hidden/>
    <w:unhideWhenUsed/>
    <w:uiPriority w:val="99"/>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675</Words>
  <Characters>3854</Characters>
  <Lines>32</Lines>
  <Paragraphs>9</Paragraphs>
  <TotalTime>5</TotalTime>
  <ScaleCrop>false</ScaleCrop>
  <LinksUpToDate>false</LinksUpToDate>
  <CharactersWithSpaces>4520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2024-12-31T09:37:00Z</dcterms:created>
  <dc:creator>Administrator</dc:creator>
  <cp:lastModifiedBy>oyh</cp:lastModifiedBy>
  <cp:lastPrinted>2024-12-16T10:33:00Z</cp:lastPrinted>
  <dcterms:modified xsi:type="dcterms:W3CDTF">2024-12-31T14:22:23Z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028C690B78FDB6129F8D73674B9F9B68</vt:lpwstr>
  </property>
</Properties>
</file>