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ind w:firstLine="0" w:firstLineChars="0"/>
        <w:textAlignment w:val="auto"/>
        <w:rPr>
          <w:rFonts w:hint="eastAsia" w:ascii="黑体" w:hAnsi="黑体" w:eastAsia="黑体" w:cs="黑体"/>
          <w:lang w:val="en-US" w:eastAsia="zh-CN"/>
        </w:rPr>
      </w:pPr>
      <w:r>
        <w:rPr>
          <w:rFonts w:hint="eastAsia" w:ascii="黑体" w:hAnsi="黑体" w:eastAsia="黑体" w:cs="黑体"/>
          <w:lang w:val="en-US" w:eastAsia="zh-CN"/>
        </w:rPr>
        <w:t>附件</w:t>
      </w:r>
    </w:p>
    <w:p>
      <w:pPr>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700" w:lineRule="exact"/>
        <w:ind w:firstLine="0" w:firstLineChars="0"/>
        <w:jc w:val="center"/>
        <w:textAlignment w:val="auto"/>
        <w:rPr>
          <w:rFonts w:hint="eastAsia" w:ascii="宋体" w:hAnsi="宋体" w:eastAsia="仿宋_GB2312" w:cs="Arial"/>
          <w:b/>
          <w:bCs/>
          <w:sz w:val="44"/>
          <w:szCs w:val="44"/>
          <w:lang w:eastAsia="zh-CN"/>
        </w:rPr>
      </w:pPr>
      <w:r>
        <w:rPr>
          <w:rFonts w:hint="eastAsia" w:ascii="宋体" w:hAnsi="宋体" w:cs="Arial"/>
          <w:b/>
          <w:bCs/>
          <w:sz w:val="44"/>
          <w:szCs w:val="44"/>
          <w:lang w:eastAsia="zh-CN"/>
        </w:rPr>
        <w:t>2025年度龙华区政府投资项目后评价工作</w:t>
      </w:r>
    </w:p>
    <w:p>
      <w:pPr>
        <w:spacing w:line="360" w:lineRule="auto"/>
        <w:ind w:left="640" w:leftChars="200"/>
        <w:jc w:val="center"/>
        <w:rPr>
          <w:rFonts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黑体" w:hAnsi="宋体" w:eastAsia="黑体"/>
          <w:b/>
          <w:b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黑体" w:hAnsi="宋体" w:eastAsia="黑体"/>
          <w:b/>
          <w:bCs/>
          <w:sz w:val="72"/>
          <w:szCs w:val="72"/>
        </w:rPr>
      </w:pPr>
      <w:r>
        <w:rPr>
          <w:rFonts w:hint="eastAsia" w:ascii="黑体" w:hAnsi="黑体" w:eastAsia="黑体"/>
          <w:b/>
          <w:bCs/>
          <w:sz w:val="72"/>
          <w:szCs w:val="72"/>
        </w:rPr>
        <w:t>招</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黑体" w:hAnsi="宋体" w:eastAsia="黑体"/>
          <w:b/>
          <w:bCs/>
          <w:sz w:val="72"/>
          <w:szCs w:val="72"/>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黑体" w:hAnsi="宋体" w:eastAsia="黑体"/>
          <w:b/>
          <w:bCs/>
          <w:sz w:val="72"/>
          <w:szCs w:val="72"/>
        </w:rPr>
      </w:pPr>
      <w:r>
        <w:rPr>
          <w:rFonts w:hint="eastAsia" w:ascii="黑体" w:hAnsi="黑体" w:eastAsia="黑体"/>
          <w:b/>
          <w:bCs/>
          <w:sz w:val="72"/>
          <w:szCs w:val="72"/>
        </w:rPr>
        <w:t>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黑体" w:hAnsi="宋体" w:eastAsia="黑体"/>
          <w:b/>
          <w:bCs/>
          <w:sz w:val="48"/>
          <w:szCs w:val="48"/>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ascii="黑体" w:hAnsi="宋体" w:eastAsia="黑体"/>
          <w:b/>
          <w:bCs/>
          <w:sz w:val="72"/>
          <w:szCs w:val="72"/>
        </w:rPr>
      </w:pPr>
      <w:r>
        <w:rPr>
          <w:rFonts w:hint="eastAsia" w:ascii="黑体" w:hAnsi="黑体" w:eastAsia="黑体"/>
          <w:b/>
          <w:bCs/>
          <w:sz w:val="72"/>
          <w:szCs w:val="72"/>
        </w:rPr>
        <w:t>书</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b w:val="0"/>
          <w:bCs w:val="0"/>
          <w:sz w:val="32"/>
          <w:szCs w:val="32"/>
          <w:lang w:val="en"/>
        </w:rPr>
      </w:pPr>
      <w:r>
        <w:rPr>
          <w:rFonts w:hint="eastAsia" w:ascii="黑体" w:hAnsi="黑体" w:eastAsia="黑体" w:cs="黑体"/>
          <w:b w:val="0"/>
          <w:bCs w:val="0"/>
          <w:sz w:val="32"/>
          <w:szCs w:val="32"/>
        </w:rPr>
        <w:t>深圳市龙华区发展和改革局</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黑体" w:hAnsi="黑体" w:eastAsia="黑体" w:cs="黑体"/>
          <w:b w:val="0"/>
          <w:bCs w:val="0"/>
          <w:color w:val="FF0000"/>
          <w:sz w:val="32"/>
          <w:szCs w:val="32"/>
        </w:rPr>
      </w:pPr>
      <w:r>
        <w:rPr>
          <w:rFonts w:hint="eastAsia" w:ascii="黑体" w:hAnsi="黑体" w:eastAsia="黑体" w:cs="黑体"/>
          <w:b w:val="0"/>
          <w:bCs w:val="0"/>
          <w:sz w:val="32"/>
          <w:szCs w:val="32"/>
          <w:lang w:val="en-US" w:eastAsia="zh-CN"/>
        </w:rPr>
        <w:t>2025</w:t>
      </w:r>
      <w:r>
        <w:rPr>
          <w:rFonts w:hint="eastAsia" w:ascii="黑体" w:hAnsi="黑体" w:eastAsia="黑体" w:cs="黑体"/>
          <w:b w:val="0"/>
          <w:bCs w:val="0"/>
          <w:sz w:val="32"/>
          <w:szCs w:val="32"/>
        </w:rPr>
        <w:t>年</w:t>
      </w:r>
      <w:r>
        <w:rPr>
          <w:rFonts w:hint="eastAsia" w:ascii="黑体" w:hAnsi="黑体" w:eastAsia="黑体" w:cs="黑体"/>
          <w:b w:val="0"/>
          <w:bCs w:val="0"/>
          <w:color w:val="auto"/>
          <w:sz w:val="32"/>
          <w:szCs w:val="32"/>
          <w:highlight w:val="none"/>
          <w:lang w:val="en-US" w:eastAsia="zh-CN"/>
        </w:rPr>
        <w:t>3</w:t>
      </w:r>
      <w:r>
        <w:rPr>
          <w:rFonts w:hint="eastAsia" w:ascii="黑体" w:hAnsi="黑体" w:eastAsia="黑体" w:cs="黑体"/>
          <w:b w:val="0"/>
          <w:bCs w:val="0"/>
          <w:color w:val="auto"/>
          <w:sz w:val="32"/>
          <w:szCs w:val="32"/>
          <w:highlight w:val="none"/>
        </w:rPr>
        <w:t>月</w:t>
      </w:r>
    </w:p>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ascii="宋体" w:hAnsi="宋体" w:cs="宋体"/>
          <w:b/>
          <w:bCs/>
          <w:sz w:val="44"/>
          <w:szCs w:val="44"/>
        </w:rPr>
      </w:pPr>
    </w:p>
    <w:p>
      <w:pPr>
        <w:pStyle w:val="9"/>
        <w:sectPr>
          <w:footerReference r:id="rId5" w:type="default"/>
          <w:pgSz w:w="11906" w:h="16838"/>
          <w:pgMar w:top="1400" w:right="1797" w:bottom="1089" w:left="1797"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宋体" w:hAnsi="宋体" w:eastAsia="仿宋_GB2312" w:cs="Arial"/>
          <w:b/>
          <w:bCs/>
          <w:sz w:val="44"/>
          <w:szCs w:val="44"/>
          <w:lang w:val="en-US" w:eastAsia="zh-CN"/>
        </w:rPr>
      </w:pPr>
      <w:r>
        <w:rPr>
          <w:rFonts w:hint="eastAsia" w:ascii="宋体" w:hAnsi="宋体" w:cs="Arial"/>
          <w:b/>
          <w:bCs/>
          <w:sz w:val="44"/>
          <w:szCs w:val="44"/>
          <w:lang w:eastAsia="zh-CN"/>
        </w:rPr>
        <w:t>2025年度龙华区政府投资项目后评价工作</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Arial"/>
          <w:b/>
          <w:bCs/>
          <w:sz w:val="44"/>
          <w:szCs w:val="44"/>
        </w:rPr>
      </w:pPr>
      <w:r>
        <w:rPr>
          <w:rFonts w:hint="eastAsia" w:ascii="宋体" w:hAnsi="宋体" w:cs="Arial"/>
          <w:b/>
          <w:bCs/>
          <w:sz w:val="44"/>
          <w:szCs w:val="44"/>
        </w:rPr>
        <w:t>项目招标书</w:t>
      </w:r>
    </w:p>
    <w:p>
      <w:pPr>
        <w:bidi w:val="0"/>
      </w:pPr>
    </w:p>
    <w:p>
      <w:pPr>
        <w:bidi w:val="0"/>
        <w:rPr>
          <w:rFonts w:hint="eastAsia" w:ascii="黑体" w:hAnsi="黑体" w:eastAsia="黑体" w:cs="黑体"/>
        </w:rPr>
      </w:pPr>
      <w:r>
        <w:rPr>
          <w:rFonts w:hint="eastAsia" w:ascii="黑体" w:hAnsi="黑体" w:eastAsia="黑体" w:cs="黑体"/>
        </w:rPr>
        <w:t>一、项目概况</w:t>
      </w:r>
    </w:p>
    <w:p>
      <w:pPr>
        <w:bidi w:val="0"/>
      </w:pPr>
      <w:r>
        <w:rPr>
          <w:rFonts w:hint="eastAsia"/>
        </w:rPr>
        <w:t>（一）项目名称：</w:t>
      </w:r>
      <w:r>
        <w:rPr>
          <w:rFonts w:hint="eastAsia"/>
          <w:lang w:eastAsia="zh-CN"/>
        </w:rPr>
        <w:t>2025年度龙华区政府投资项目后评价工作</w:t>
      </w:r>
      <w:r>
        <w:rPr>
          <w:rFonts w:hint="eastAsia"/>
        </w:rPr>
        <w:t>。</w:t>
      </w:r>
    </w:p>
    <w:p>
      <w:pPr>
        <w:bidi w:val="0"/>
        <w:rPr>
          <w:rFonts w:hint="eastAsia"/>
        </w:rPr>
      </w:pPr>
      <w:r>
        <w:rPr>
          <w:rFonts w:hint="eastAsia"/>
        </w:rPr>
        <w:t>（二）服务期限：自合同签订之日起</w:t>
      </w:r>
      <w:r>
        <w:rPr>
          <w:rFonts w:hint="eastAsia"/>
          <w:lang w:val="en-US" w:eastAsia="zh-CN"/>
        </w:rPr>
        <w:t>10</w:t>
      </w:r>
      <w:r>
        <w:rPr>
          <w:rFonts w:hint="eastAsia"/>
        </w:rPr>
        <w:t>个月。</w:t>
      </w:r>
    </w:p>
    <w:p>
      <w:pPr>
        <w:bidi w:val="0"/>
        <w:rPr>
          <w:rFonts w:hint="eastAsia"/>
        </w:rPr>
      </w:pPr>
      <w:r>
        <w:rPr>
          <w:rFonts w:hint="eastAsia"/>
        </w:rPr>
        <w:t>（三）项目预算：预算金额不超过</w:t>
      </w:r>
      <w:r>
        <w:rPr>
          <w:rFonts w:hint="eastAsia"/>
          <w:lang w:val="en-US" w:eastAsia="zh-CN"/>
        </w:rPr>
        <w:t>84.88</w:t>
      </w:r>
      <w:r>
        <w:rPr>
          <w:rFonts w:hint="eastAsia"/>
        </w:rPr>
        <w:t>万元。</w:t>
      </w:r>
    </w:p>
    <w:p>
      <w:pPr>
        <w:bidi w:val="0"/>
        <w:rPr>
          <w:rFonts w:hint="eastAsia" w:ascii="黑体" w:hAnsi="黑体" w:eastAsia="黑体" w:cs="黑体"/>
        </w:rPr>
      </w:pPr>
      <w:r>
        <w:rPr>
          <w:rFonts w:hint="eastAsia" w:ascii="黑体" w:hAnsi="黑体" w:eastAsia="黑体" w:cs="黑体"/>
        </w:rPr>
        <w:t>二、项目内容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Cs/>
          <w:kern w:val="32"/>
          <w:sz w:val="32"/>
          <w:szCs w:val="32"/>
          <w:lang w:val="en-US" w:eastAsia="zh-CN" w:bidi="ar-SA"/>
        </w:rPr>
      </w:pPr>
      <w:r>
        <w:rPr>
          <w:rFonts w:hint="eastAsia" w:ascii="仿宋_GB2312" w:hAnsi="仿宋_GB2312" w:eastAsia="仿宋_GB2312" w:cs="仿宋_GB2312"/>
          <w:bCs/>
          <w:kern w:val="32"/>
          <w:sz w:val="32"/>
          <w:szCs w:val="32"/>
          <w:lang w:val="en-US" w:eastAsia="zh-CN" w:bidi="ar-SA"/>
        </w:rPr>
        <w:t>根据项目实施工作需要，由具备特定专业能力的人员组成工作组，开展</w:t>
      </w:r>
      <w:r>
        <w:rPr>
          <w:rFonts w:hint="eastAsia" w:hAnsi="仿宋_GB2312" w:cs="仿宋_GB2312"/>
          <w:bCs/>
          <w:kern w:val="32"/>
          <w:sz w:val="32"/>
          <w:szCs w:val="32"/>
          <w:lang w:val="en-US" w:eastAsia="zh-CN" w:bidi="ar-SA"/>
        </w:rPr>
        <w:t>2个领域共</w:t>
      </w:r>
      <w:r>
        <w:rPr>
          <w:rFonts w:hint="eastAsia" w:hAnsi="宋体"/>
          <w:sz w:val="32"/>
          <w:szCs w:val="32"/>
          <w:highlight w:val="none"/>
          <w:lang w:val="en-US" w:eastAsia="zh-CN"/>
        </w:rPr>
        <w:t>6</w:t>
      </w:r>
      <w:r>
        <w:rPr>
          <w:rFonts w:hint="eastAsia" w:ascii="仿宋_GB2312" w:hAnsi="宋体" w:eastAsia="仿宋_GB2312"/>
          <w:sz w:val="32"/>
          <w:szCs w:val="32"/>
          <w:highlight w:val="none"/>
          <w:lang w:val="en-US" w:eastAsia="zh-CN"/>
        </w:rPr>
        <w:t>个</w:t>
      </w:r>
      <w:r>
        <w:rPr>
          <w:rFonts w:hint="eastAsia" w:ascii="仿宋_GB2312" w:hAnsi="仿宋_GB2312" w:eastAsia="仿宋_GB2312" w:cs="仿宋_GB2312"/>
          <w:bCs/>
          <w:kern w:val="32"/>
          <w:sz w:val="32"/>
          <w:szCs w:val="32"/>
          <w:highlight w:val="none"/>
          <w:lang w:val="en-US" w:eastAsia="zh-CN" w:bidi="ar-SA"/>
        </w:rPr>
        <w:t>已建成的政府投资项目</w:t>
      </w:r>
      <w:r>
        <w:rPr>
          <w:rFonts w:hint="eastAsia" w:hAnsi="仿宋_GB2312" w:cs="仿宋_GB2312"/>
          <w:bCs/>
          <w:kern w:val="32"/>
          <w:sz w:val="32"/>
          <w:szCs w:val="32"/>
          <w:lang w:val="en-US" w:eastAsia="zh-CN" w:bidi="ar-SA"/>
        </w:rPr>
        <w:t>后评价，完成后评价工作相关的工作事项，主要包括工作</w:t>
      </w:r>
      <w:r>
        <w:rPr>
          <w:rFonts w:hint="eastAsia" w:ascii="仿宋_GB2312" w:hAnsi="仿宋_GB2312" w:eastAsia="仿宋_GB2312" w:cs="仿宋_GB2312"/>
          <w:bCs/>
          <w:kern w:val="32"/>
          <w:sz w:val="32"/>
          <w:szCs w:val="32"/>
          <w:lang w:val="en-US" w:eastAsia="zh-CN" w:bidi="ar-SA"/>
        </w:rPr>
        <w:t>方案编制</w:t>
      </w:r>
      <w:r>
        <w:rPr>
          <w:rFonts w:hint="eastAsia" w:hAnsi="仿宋_GB2312" w:cs="仿宋_GB2312"/>
          <w:bCs/>
          <w:kern w:val="32"/>
          <w:sz w:val="32"/>
          <w:szCs w:val="32"/>
          <w:lang w:val="en-US" w:eastAsia="zh-CN" w:bidi="ar-SA"/>
        </w:rPr>
        <w:t>、</w:t>
      </w:r>
      <w:r>
        <w:rPr>
          <w:rFonts w:hint="eastAsia" w:ascii="仿宋_GB2312" w:hAnsi="仿宋_GB2312" w:eastAsia="仿宋_GB2312" w:cs="仿宋_GB2312"/>
          <w:bCs/>
          <w:kern w:val="32"/>
          <w:sz w:val="32"/>
          <w:szCs w:val="32"/>
          <w:lang w:val="en-US" w:eastAsia="zh-CN" w:bidi="ar-SA"/>
        </w:rPr>
        <w:t>明确</w:t>
      </w:r>
      <w:r>
        <w:rPr>
          <w:rFonts w:hint="eastAsia" w:hAnsi="仿宋_GB2312" w:cs="仿宋_GB2312"/>
          <w:bCs/>
          <w:kern w:val="32"/>
          <w:sz w:val="32"/>
          <w:szCs w:val="32"/>
          <w:lang w:val="en-US" w:eastAsia="zh-CN" w:bidi="ar-SA"/>
        </w:rPr>
        <w:t>后评价</w:t>
      </w:r>
      <w:r>
        <w:rPr>
          <w:rFonts w:hint="eastAsia" w:ascii="仿宋_GB2312" w:hAnsi="仿宋_GB2312" w:eastAsia="仿宋_GB2312" w:cs="仿宋_GB2312"/>
          <w:bCs/>
          <w:kern w:val="32"/>
          <w:sz w:val="32"/>
          <w:szCs w:val="32"/>
          <w:lang w:val="en-US" w:eastAsia="zh-CN" w:bidi="ar-SA"/>
        </w:rPr>
        <w:t>目标及内容，制定工作计划</w:t>
      </w:r>
      <w:r>
        <w:rPr>
          <w:rFonts w:hint="eastAsia" w:hAnsi="仿宋_GB2312" w:cs="仿宋_GB2312"/>
          <w:bCs/>
          <w:kern w:val="32"/>
          <w:sz w:val="32"/>
          <w:szCs w:val="32"/>
          <w:lang w:val="en-US" w:eastAsia="zh-CN" w:bidi="ar-SA"/>
        </w:rPr>
        <w:t>、开展项目调研及社会调查、编制后评价报告等。后评价主要内容如下：</w:t>
      </w:r>
    </w:p>
    <w:p>
      <w:pPr>
        <w:numPr>
          <w:ilvl w:val="0"/>
          <w:numId w:val="1"/>
        </w:numPr>
        <w:bidi w:val="0"/>
        <w:rPr>
          <w:rFonts w:hint="eastAsia" w:ascii="楷体" w:hAnsi="楷体" w:eastAsia="楷体" w:cs="楷体"/>
          <w:lang w:val="en-US" w:eastAsia="zh-CN"/>
        </w:rPr>
      </w:pPr>
      <w:r>
        <w:rPr>
          <w:rFonts w:hint="eastAsia" w:ascii="楷体" w:hAnsi="楷体" w:eastAsia="楷体" w:cs="楷体"/>
          <w:lang w:val="en-US" w:eastAsia="zh-CN"/>
        </w:rPr>
        <w:t>项目投资决策评价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kern w:val="32"/>
          <w:sz w:val="32"/>
          <w:szCs w:val="32"/>
          <w:lang w:val="en-US" w:eastAsia="zh-CN" w:bidi="ar-SA"/>
        </w:rPr>
      </w:pPr>
      <w:r>
        <w:rPr>
          <w:rFonts w:hint="eastAsia" w:ascii="仿宋_GB2312" w:hAnsi="仿宋_GB2312" w:eastAsia="仿宋_GB2312" w:cs="仿宋_GB2312"/>
          <w:bCs/>
          <w:kern w:val="32"/>
          <w:sz w:val="32"/>
          <w:szCs w:val="32"/>
          <w:lang w:val="en-US" w:eastAsia="zh-CN" w:bidi="ar-SA"/>
        </w:rPr>
        <w:t>主要是对照项目建议书、可行性研究报告、初步设计概算及其他已批复的文件，重点对规划衔接、项目布局、建设方案、建设规模与标准、资金安排等有关决策事项与项目实际情况进行对比分析与评价，提出相应对策建议。</w:t>
      </w:r>
    </w:p>
    <w:p>
      <w:pPr>
        <w:numPr>
          <w:ilvl w:val="0"/>
          <w:numId w:val="1"/>
        </w:numPr>
        <w:bidi w:val="0"/>
        <w:rPr>
          <w:rFonts w:hint="eastAsia" w:ascii="楷体" w:hAnsi="楷体" w:eastAsia="楷体" w:cs="楷体"/>
          <w:lang w:val="en-US" w:eastAsia="zh-CN"/>
        </w:rPr>
      </w:pPr>
      <w:r>
        <w:rPr>
          <w:rFonts w:hint="eastAsia" w:ascii="楷体" w:hAnsi="楷体" w:eastAsia="楷体" w:cs="楷体"/>
          <w:lang w:val="en-US" w:eastAsia="zh-CN"/>
        </w:rPr>
        <w:t>项目建设管理评价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kern w:val="32"/>
          <w:sz w:val="32"/>
          <w:szCs w:val="32"/>
          <w:lang w:val="en-US" w:eastAsia="zh-CN" w:bidi="ar-SA"/>
        </w:rPr>
      </w:pPr>
      <w:r>
        <w:rPr>
          <w:rFonts w:hint="eastAsia" w:ascii="仿宋_GB2312" w:hAnsi="仿宋_GB2312" w:eastAsia="仿宋_GB2312" w:cs="仿宋_GB2312"/>
          <w:bCs/>
          <w:kern w:val="32"/>
          <w:sz w:val="32"/>
          <w:szCs w:val="32"/>
          <w:lang w:val="en-US" w:eastAsia="zh-CN" w:bidi="ar-SA"/>
        </w:rPr>
        <w:t>主要是对建设计划实施，组织管理，合同执行，投资、质量和进度控制，项目结（决）算，安全生产，竣工验收，档案管理等事项，与国内外同行业项目建设管理水平进行对比分析和评价，提出意见和建议。</w:t>
      </w:r>
    </w:p>
    <w:p>
      <w:pPr>
        <w:numPr>
          <w:ilvl w:val="0"/>
          <w:numId w:val="1"/>
        </w:numPr>
        <w:bidi w:val="0"/>
        <w:rPr>
          <w:rFonts w:hint="eastAsia" w:ascii="楷体" w:hAnsi="楷体" w:eastAsia="楷体" w:cs="楷体"/>
          <w:lang w:val="en-US" w:eastAsia="zh-CN"/>
        </w:rPr>
      </w:pPr>
      <w:r>
        <w:rPr>
          <w:rFonts w:hint="eastAsia" w:ascii="楷体" w:hAnsi="楷体" w:eastAsia="楷体" w:cs="楷体"/>
          <w:lang w:val="en-US" w:eastAsia="zh-CN"/>
        </w:rPr>
        <w:t>项目效益评价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kern w:val="32"/>
          <w:sz w:val="32"/>
          <w:szCs w:val="32"/>
          <w:lang w:val="en-US" w:eastAsia="zh-CN" w:bidi="ar-SA"/>
        </w:rPr>
      </w:pPr>
      <w:r>
        <w:rPr>
          <w:rFonts w:hint="eastAsia" w:ascii="仿宋_GB2312" w:hAnsi="仿宋_GB2312" w:eastAsia="仿宋_GB2312" w:cs="仿宋_GB2312"/>
          <w:bCs/>
          <w:kern w:val="32"/>
          <w:sz w:val="32"/>
          <w:szCs w:val="32"/>
        </w:rPr>
        <w:t>分析和评价项目建设和运营所产生的实际效果，为项目可持续性评价提供依据，包括技术效益评价、经济效益评价、社会效益评价和环境效益评价等</w:t>
      </w:r>
      <w:r>
        <w:rPr>
          <w:rFonts w:hint="eastAsia" w:ascii="仿宋_GB2312" w:hAnsi="仿宋_GB2312" w:eastAsia="仿宋_GB2312" w:cs="仿宋_GB2312"/>
          <w:bCs/>
          <w:kern w:val="32"/>
          <w:sz w:val="32"/>
          <w:szCs w:val="32"/>
          <w:lang w:val="en-US" w:eastAsia="zh-CN"/>
        </w:rPr>
        <w:t>内容</w:t>
      </w:r>
      <w:r>
        <w:rPr>
          <w:rFonts w:hint="eastAsia" w:ascii="仿宋_GB2312" w:hAnsi="仿宋_GB2312" w:eastAsia="仿宋_GB2312" w:cs="仿宋_GB2312"/>
          <w:bCs/>
          <w:kern w:val="32"/>
          <w:sz w:val="32"/>
          <w:szCs w:val="32"/>
          <w:lang w:val="en-US" w:eastAsia="zh-CN" w:bidi="ar-SA"/>
        </w:rPr>
        <w:t>；并</w:t>
      </w:r>
      <w:r>
        <w:rPr>
          <w:rFonts w:hint="eastAsia" w:ascii="仿宋_GB2312" w:hAnsi="仿宋_GB2312" w:eastAsia="仿宋_GB2312" w:cs="仿宋_GB2312"/>
          <w:bCs/>
          <w:kern w:val="32"/>
          <w:sz w:val="32"/>
          <w:szCs w:val="32"/>
          <w:lang w:val="en-US" w:eastAsia="zh-CN"/>
        </w:rPr>
        <w:t>对项目目标及项目可持续运行能力进行分析评价，</w:t>
      </w:r>
      <w:r>
        <w:rPr>
          <w:rFonts w:hint="eastAsia" w:ascii="仿宋_GB2312" w:hAnsi="仿宋_GB2312" w:eastAsia="仿宋_GB2312" w:cs="仿宋_GB2312"/>
          <w:bCs/>
          <w:kern w:val="32"/>
          <w:sz w:val="32"/>
          <w:szCs w:val="32"/>
          <w:lang w:val="en-US" w:eastAsia="zh-CN" w:bidi="ar-SA"/>
        </w:rPr>
        <w:t>提出建议，促进提高项目综合效益。</w:t>
      </w:r>
    </w:p>
    <w:p>
      <w:pPr>
        <w:numPr>
          <w:ilvl w:val="0"/>
          <w:numId w:val="1"/>
        </w:numPr>
        <w:bidi w:val="0"/>
        <w:rPr>
          <w:rFonts w:hint="eastAsia" w:ascii="楷体" w:hAnsi="楷体" w:eastAsia="楷体" w:cs="楷体"/>
          <w:bCs/>
          <w:kern w:val="32"/>
          <w:sz w:val="32"/>
          <w:szCs w:val="32"/>
          <w:lang w:val="en-US" w:eastAsia="zh-CN" w:bidi="ar-SA"/>
        </w:rPr>
      </w:pPr>
      <w:r>
        <w:rPr>
          <w:rFonts w:hint="eastAsia" w:ascii="楷体" w:hAnsi="楷体" w:eastAsia="楷体" w:cs="楷体"/>
          <w:bCs/>
          <w:kern w:val="32"/>
          <w:sz w:val="32"/>
          <w:szCs w:val="32"/>
          <w:lang w:val="en-US" w:eastAsia="zh-CN" w:bidi="ar-SA"/>
        </w:rPr>
        <w:t>项目目标和可持续性评价</w:t>
      </w:r>
    </w:p>
    <w:p>
      <w:pPr>
        <w:spacing w:beforeLines="0" w:afterLines="0"/>
        <w:ind w:firstLine="640" w:firstLineChars="200"/>
        <w:jc w:val="left"/>
        <w:rPr>
          <w:rFonts w:hint="eastAsia" w:ascii="仿宋_GB2312" w:hAnsi="仿宋_GB2312" w:eastAsia="仿宋_GB2312" w:cs="仿宋_GB2312"/>
          <w:bCs/>
          <w:kern w:val="32"/>
          <w:sz w:val="32"/>
          <w:szCs w:val="32"/>
          <w:lang w:val="en-US" w:eastAsia="zh-CN"/>
        </w:rPr>
      </w:pPr>
      <w:r>
        <w:rPr>
          <w:rFonts w:hint="eastAsia" w:ascii="仿宋_GB2312" w:hAnsi="仿宋_GB2312" w:eastAsia="仿宋_GB2312" w:cs="仿宋_GB2312"/>
          <w:bCs/>
          <w:kern w:val="32"/>
          <w:sz w:val="32"/>
          <w:szCs w:val="32"/>
          <w:lang w:val="en-US" w:eastAsia="zh-CN"/>
        </w:rPr>
        <w:t>对项目目标及项目可持续运行能力进行分析评价。分析和评价项目预设目标的合理性和可操作性，判断项目立项时设定的各项目标的实现程度。</w:t>
      </w:r>
      <w:r>
        <w:rPr>
          <w:rFonts w:hint="eastAsia" w:ascii="FangSong_GB2312" w:hAnsi="FangSong_GB2312" w:eastAsia="FangSong_GB2312"/>
          <w:sz w:val="32"/>
          <w:szCs w:val="24"/>
        </w:rPr>
        <w:t>分析和评价项目能否依靠自身能力持续运营（行）和发展，项目产生的外部效益能否具有长期可持续性，</w:t>
      </w:r>
      <w:r>
        <w:rPr>
          <w:rFonts w:hint="eastAsia" w:ascii="FangSong_GB2312" w:hAnsi="FangSong_GB2312" w:eastAsia="FangSong_GB2312"/>
          <w:sz w:val="32"/>
          <w:szCs w:val="24"/>
          <w:lang w:val="en-US" w:eastAsia="zh-CN"/>
        </w:rPr>
        <w:t>视情况</w:t>
      </w:r>
      <w:r>
        <w:rPr>
          <w:rFonts w:hint="eastAsia" w:ascii="FangSong_GB2312" w:hAnsi="FangSong_GB2312" w:eastAsia="FangSong_GB2312"/>
          <w:sz w:val="32"/>
          <w:szCs w:val="24"/>
        </w:rPr>
        <w:t>从内部可持续性和外部可持续性两方面进行评价</w:t>
      </w:r>
      <w:r>
        <w:rPr>
          <w:rFonts w:hint="eastAsia" w:ascii="仿宋_GB2312" w:hAnsi="仿宋_GB2312" w:eastAsia="仿宋_GB2312" w:cs="仿宋_GB2312"/>
          <w:bCs/>
          <w:kern w:val="32"/>
          <w:sz w:val="32"/>
          <w:szCs w:val="32"/>
          <w:lang w:val="en-US" w:eastAsia="zh-CN"/>
        </w:rPr>
        <w:t>。</w:t>
      </w:r>
    </w:p>
    <w:p>
      <w:pPr>
        <w:numPr>
          <w:ilvl w:val="0"/>
          <w:numId w:val="1"/>
        </w:numPr>
        <w:bidi w:val="0"/>
        <w:rPr>
          <w:rFonts w:hint="eastAsia" w:ascii="楷体" w:hAnsi="楷体" w:eastAsia="楷体" w:cs="楷体"/>
          <w:bCs/>
          <w:kern w:val="32"/>
          <w:sz w:val="32"/>
          <w:szCs w:val="32"/>
          <w:lang w:val="en-US" w:eastAsia="zh-CN" w:bidi="ar-SA"/>
        </w:rPr>
      </w:pPr>
      <w:r>
        <w:rPr>
          <w:rFonts w:hint="eastAsia" w:ascii="楷体" w:hAnsi="楷体" w:eastAsia="楷体" w:cs="楷体"/>
          <w:bCs/>
          <w:kern w:val="32"/>
          <w:sz w:val="32"/>
          <w:szCs w:val="32"/>
          <w:lang w:val="en-US" w:eastAsia="zh-CN" w:bidi="ar-SA"/>
        </w:rPr>
        <w:t>项目后评价成果</w:t>
      </w:r>
    </w:p>
    <w:p>
      <w:pPr>
        <w:spacing w:beforeLines="0" w:afterLines="0"/>
        <w:ind w:firstLine="640" w:firstLineChars="200"/>
        <w:jc w:val="left"/>
        <w:rPr>
          <w:rFonts w:hint="eastAsia" w:ascii="仿宋_GB2312" w:hAnsi="仿宋_GB2312" w:eastAsia="仿宋_GB2312" w:cs="仿宋_GB2312"/>
          <w:sz w:val="32"/>
          <w:szCs w:val="32"/>
          <w:lang w:val="en-US" w:eastAsia="zh-CN"/>
        </w:rPr>
      </w:pPr>
      <w:r>
        <w:rPr>
          <w:rFonts w:hint="eastAsia" w:ascii="FangSong_GB2312" w:hAnsi="FangSong_GB2312" w:eastAsia="FangSong_GB2312" w:cstheme="minorBidi"/>
          <w:sz w:val="32"/>
          <w:szCs w:val="24"/>
          <w:lang w:val="en-US" w:eastAsia="zh-CN"/>
        </w:rPr>
        <w:t>总结</w:t>
      </w:r>
      <w:r>
        <w:rPr>
          <w:rFonts w:hint="eastAsia" w:ascii="FangSong_GB2312" w:hAnsi="FangSong_GB2312" w:eastAsia="FangSong_GB2312" w:cstheme="minorBidi"/>
          <w:sz w:val="32"/>
          <w:szCs w:val="24"/>
        </w:rPr>
        <w:t>项目投资决策、建设与运营管理、项目效益等方面的经验教训及相关建议</w:t>
      </w:r>
      <w:r>
        <w:rPr>
          <w:rFonts w:hint="eastAsia" w:ascii="FangSong_GB2312" w:hAnsi="FangSong_GB2312" w:eastAsia="FangSong_GB2312" w:cstheme="minorBidi"/>
          <w:sz w:val="32"/>
          <w:szCs w:val="24"/>
          <w:lang w:eastAsia="zh-CN"/>
        </w:rPr>
        <w:t>，并形成相应的专题后评价报告和单个项目后评价报告。</w:t>
      </w:r>
    </w:p>
    <w:p>
      <w:pPr>
        <w:bidi w:val="0"/>
        <w:rPr>
          <w:rFonts w:hint="eastAsia" w:ascii="黑体" w:hAnsi="黑体" w:eastAsia="黑体" w:cs="黑体"/>
        </w:rPr>
      </w:pPr>
      <w:r>
        <w:rPr>
          <w:rFonts w:hint="eastAsia" w:ascii="黑体" w:hAnsi="黑体" w:eastAsia="黑体" w:cs="黑体"/>
        </w:rPr>
        <w:t>三、项目技术要求</w:t>
      </w:r>
    </w:p>
    <w:p>
      <w:pPr>
        <w:bidi w:val="0"/>
        <w:rPr>
          <w:rFonts w:hint="eastAsia"/>
        </w:rPr>
      </w:pPr>
      <w:r>
        <w:rPr>
          <w:rFonts w:hint="eastAsia"/>
        </w:rPr>
        <w:t>（一）</w:t>
      </w:r>
      <w:r>
        <w:rPr>
          <w:rFonts w:hint="eastAsia"/>
          <w:lang w:val="en-US" w:eastAsia="zh-CN"/>
        </w:rPr>
        <w:t>政府投资项目后评价工作</w:t>
      </w:r>
      <w:r>
        <w:rPr>
          <w:rFonts w:hint="eastAsia"/>
        </w:rPr>
        <w:t>应遵循国家颁布的有关法律、法规及政策要求，符合相关的技术规范和标准。</w:t>
      </w:r>
    </w:p>
    <w:p>
      <w:pPr>
        <w:bidi w:val="0"/>
        <w:rPr>
          <w:rFonts w:hint="eastAsia"/>
        </w:rPr>
      </w:pPr>
      <w:r>
        <w:rPr>
          <w:rFonts w:hint="eastAsia"/>
        </w:rPr>
        <w:t>（二）</w:t>
      </w:r>
      <w:r>
        <w:rPr>
          <w:rFonts w:hint="eastAsia"/>
          <w:lang w:val="en-US" w:eastAsia="zh-CN"/>
        </w:rPr>
        <w:t>项目开展</w:t>
      </w:r>
      <w:r>
        <w:rPr>
          <w:rFonts w:hint="eastAsia"/>
        </w:rPr>
        <w:t>过程中应当进行深入调查研究，充分把握</w:t>
      </w:r>
      <w:r>
        <w:rPr>
          <w:rFonts w:hint="eastAsia"/>
          <w:lang w:val="en-US" w:eastAsia="zh-CN"/>
        </w:rPr>
        <w:t>政府投资项目在投资决策、建设管理、项目实施效果、项目目标和可持续性方面存在的问题及薄弱环节，针对性编制工作方案及后评价工作大纲</w:t>
      </w:r>
      <w:r>
        <w:rPr>
          <w:rFonts w:hint="eastAsia"/>
        </w:rPr>
        <w:t>。</w:t>
      </w:r>
    </w:p>
    <w:p>
      <w:pPr>
        <w:bidi w:val="0"/>
        <w:rPr>
          <w:rFonts w:hint="eastAsia"/>
        </w:rPr>
      </w:pPr>
      <w:r>
        <w:rPr>
          <w:rFonts w:hint="eastAsia"/>
        </w:rPr>
        <w:t>（三）</w:t>
      </w:r>
      <w:r>
        <w:rPr>
          <w:rFonts w:hint="eastAsia"/>
          <w:lang w:val="en-US" w:eastAsia="zh-CN"/>
        </w:rPr>
        <w:t>项目总结报告内容</w:t>
      </w:r>
      <w:r>
        <w:rPr>
          <w:rFonts w:hint="eastAsia"/>
        </w:rPr>
        <w:t>完整、内容全面、材料丰富</w:t>
      </w:r>
      <w:r>
        <w:rPr>
          <w:rFonts w:hint="eastAsia"/>
          <w:lang w:eastAsia="zh-CN"/>
        </w:rPr>
        <w:t>，</w:t>
      </w:r>
      <w:r>
        <w:rPr>
          <w:rFonts w:hint="eastAsia"/>
        </w:rPr>
        <w:t>客观中立</w:t>
      </w:r>
      <w:r>
        <w:rPr>
          <w:rFonts w:hint="eastAsia"/>
          <w:lang w:val="en-US" w:eastAsia="zh-CN"/>
        </w:rPr>
        <w:t>的评价政府投资项目实施</w:t>
      </w:r>
      <w:r>
        <w:rPr>
          <w:rFonts w:hint="eastAsia"/>
        </w:rPr>
        <w:t>的效果和成果</w:t>
      </w:r>
      <w:r>
        <w:rPr>
          <w:rFonts w:hint="eastAsia"/>
          <w:lang w:eastAsia="zh-CN"/>
        </w:rPr>
        <w:t>，</w:t>
      </w:r>
      <w:r>
        <w:rPr>
          <w:rFonts w:hint="eastAsia"/>
          <w:lang w:val="en-US" w:eastAsia="zh-CN"/>
        </w:rPr>
        <w:t>通过</w:t>
      </w:r>
      <w:r>
        <w:rPr>
          <w:rFonts w:hint="eastAsia" w:ascii="仿宋_GB2312" w:hAnsi="仿宋_GB2312" w:eastAsia="仿宋_GB2312" w:cs="仿宋_GB2312"/>
          <w:bCs/>
          <w:kern w:val="32"/>
          <w:sz w:val="32"/>
          <w:szCs w:val="32"/>
          <w:lang w:val="en-US" w:eastAsia="zh-CN" w:bidi="ar-SA"/>
        </w:rPr>
        <w:t>对比分析，找出差距及原因，总结项目决策和建设管理过程中的经验教训，提出相应对策建议，并反馈到项目参与各方，</w:t>
      </w:r>
      <w:r>
        <w:rPr>
          <w:rFonts w:hint="eastAsia"/>
          <w:lang w:eastAsia="zh-CN"/>
        </w:rPr>
        <w:t>为进一步</w:t>
      </w:r>
      <w:r>
        <w:rPr>
          <w:rFonts w:hint="eastAsia" w:ascii="仿宋_GB2312" w:hAnsi="仿宋_GB2312" w:eastAsia="仿宋_GB2312" w:cs="仿宋_GB2312"/>
          <w:bCs/>
          <w:kern w:val="32"/>
          <w:sz w:val="32"/>
          <w:szCs w:val="32"/>
          <w:lang w:val="en-US" w:eastAsia="zh-CN" w:bidi="ar-SA"/>
        </w:rPr>
        <w:t>形成良性项目决策机制</w:t>
      </w:r>
      <w:r>
        <w:rPr>
          <w:rFonts w:hint="eastAsia"/>
          <w:lang w:eastAsia="zh-CN"/>
        </w:rPr>
        <w:t>提供</w:t>
      </w:r>
      <w:r>
        <w:rPr>
          <w:rFonts w:hint="eastAsia"/>
          <w:lang w:val="en-US" w:eastAsia="zh-CN"/>
        </w:rPr>
        <w:t>有</w:t>
      </w:r>
      <w:r>
        <w:rPr>
          <w:rFonts w:hint="eastAsia"/>
          <w:lang w:eastAsia="zh-CN"/>
        </w:rPr>
        <w:t>价值</w:t>
      </w:r>
      <w:r>
        <w:rPr>
          <w:rFonts w:hint="eastAsia"/>
          <w:lang w:val="en-US" w:eastAsia="zh-CN"/>
        </w:rPr>
        <w:t>的</w:t>
      </w:r>
      <w:r>
        <w:rPr>
          <w:rFonts w:hint="eastAsia"/>
          <w:lang w:eastAsia="zh-CN"/>
        </w:rPr>
        <w:t>参考</w:t>
      </w:r>
      <w:r>
        <w:rPr>
          <w:rFonts w:hint="eastAsia"/>
        </w:rPr>
        <w:t>。</w:t>
      </w:r>
    </w:p>
    <w:p>
      <w:pPr>
        <w:bidi w:val="0"/>
        <w:rPr>
          <w:rFonts w:hint="eastAsia" w:ascii="黑体" w:hAnsi="黑体" w:eastAsia="黑体" w:cs="黑体"/>
        </w:rPr>
      </w:pPr>
      <w:r>
        <w:rPr>
          <w:rFonts w:hint="eastAsia" w:ascii="黑体" w:hAnsi="黑体" w:eastAsia="黑体" w:cs="黑体"/>
        </w:rPr>
        <w:t>四、项目成果交付要求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hAnsi="仿宋_GB2312" w:cs="仿宋_GB2312"/>
          <w:sz w:val="32"/>
          <w:szCs w:val="32"/>
          <w:lang w:val="en-US" w:eastAsia="zh-CN"/>
        </w:rPr>
        <w:t>6个项目后评价报告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hAnsi="仿宋_GB2312" w:cs="仿宋_GB2312"/>
          <w:sz w:val="32"/>
          <w:szCs w:val="32"/>
          <w:lang w:eastAsia="zh-CN"/>
        </w:rPr>
        <w:t>专题报告</w:t>
      </w:r>
      <w:r>
        <w:rPr>
          <w:rFonts w:hint="eastAsia" w:hAnsi="仿宋_GB2312" w:cs="仿宋_GB2312"/>
          <w:sz w:val="32"/>
          <w:szCs w:val="32"/>
          <w:lang w:val="en-US" w:eastAsia="zh-CN"/>
        </w:rPr>
        <w:t>2份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hAnsi="仿宋_GB2312" w:cs="仿宋_GB2312"/>
          <w:sz w:val="32"/>
          <w:szCs w:val="32"/>
          <w:lang w:val="en-US" w:eastAsia="zh-CN"/>
        </w:rPr>
      </w:pPr>
      <w:r>
        <w:rPr>
          <w:rFonts w:hint="eastAsia" w:ascii="仿宋_GB2312" w:hAnsi="仿宋_GB2312" w:eastAsia="仿宋_GB2312" w:cs="仿宋_GB2312"/>
          <w:sz w:val="32"/>
          <w:szCs w:val="32"/>
        </w:rPr>
        <w:t>（</w:t>
      </w:r>
      <w:r>
        <w:rPr>
          <w:rFonts w:hint="eastAsia" w:hAnsi="仿宋_GB2312" w:cs="仿宋_GB2312"/>
          <w:sz w:val="32"/>
          <w:szCs w:val="32"/>
          <w:lang w:eastAsia="zh-CN"/>
        </w:rPr>
        <w:t>三</w:t>
      </w:r>
      <w:r>
        <w:rPr>
          <w:rFonts w:hint="eastAsia" w:ascii="仿宋_GB2312" w:hAnsi="仿宋_GB2312" w:eastAsia="仿宋_GB2312" w:cs="仿宋_GB2312"/>
          <w:sz w:val="32"/>
          <w:szCs w:val="32"/>
        </w:rPr>
        <w:t>）</w:t>
      </w:r>
      <w:r>
        <w:rPr>
          <w:rFonts w:hint="eastAsia" w:hAnsi="仿宋_GB2312" w:cs="仿宋_GB2312"/>
          <w:sz w:val="32"/>
          <w:szCs w:val="32"/>
          <w:lang w:eastAsia="zh-CN"/>
        </w:rPr>
        <w:t>市级、区级</w:t>
      </w:r>
      <w:r>
        <w:rPr>
          <w:rFonts w:hint="default" w:ascii="仿宋_GB2312" w:hAnsi="仿宋_GB2312" w:eastAsia="仿宋_GB2312" w:cs="仿宋_GB2312"/>
          <w:sz w:val="32"/>
          <w:szCs w:val="32"/>
          <w:lang w:val="en-US" w:eastAsia="zh-CN"/>
        </w:rPr>
        <w:t>信息稿件</w:t>
      </w:r>
      <w:r>
        <w:rPr>
          <w:rFonts w:hint="eastAsia" w:hAnsi="仿宋_GB2312" w:cs="仿宋_GB2312"/>
          <w:sz w:val="32"/>
          <w:szCs w:val="32"/>
          <w:lang w:val="en-US" w:eastAsia="zh-CN"/>
        </w:rPr>
        <w:t>各1</w:t>
      </w:r>
      <w:r>
        <w:rPr>
          <w:rFonts w:hint="default" w:ascii="仿宋_GB2312" w:hAnsi="仿宋_GB2312" w:eastAsia="仿宋_GB2312" w:cs="仿宋_GB2312"/>
          <w:sz w:val="32"/>
          <w:szCs w:val="32"/>
          <w:lang w:val="en-US" w:eastAsia="zh-CN"/>
        </w:rPr>
        <w:t>篇</w:t>
      </w:r>
      <w:r>
        <w:rPr>
          <w:rFonts w:hint="eastAsia"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kern w:val="32"/>
          <w:sz w:val="32"/>
          <w:szCs w:val="32"/>
          <w:lang w:val="en-US" w:eastAsia="zh-CN" w:bidi="ar-SA"/>
        </w:rPr>
      </w:pPr>
      <w:r>
        <w:rPr>
          <w:rFonts w:hint="eastAsia" w:ascii="仿宋_GB2312" w:hAnsi="仿宋_GB2312" w:eastAsia="仿宋_GB2312" w:cs="仿宋_GB2312"/>
          <w:bCs/>
          <w:kern w:val="32"/>
          <w:sz w:val="32"/>
          <w:szCs w:val="32"/>
          <w:lang w:val="en-US" w:eastAsia="zh-CN" w:bidi="ar-SA"/>
        </w:rPr>
        <w:t>项目后评价报告内容和深度需符合《国家发展改革重大项目后评价管理办法》（发改评督规〔</w:t>
      </w:r>
      <w:r>
        <w:rPr>
          <w:rFonts w:hint="eastAsia" w:hAnsi="仿宋_GB2312" w:cs="仿宋_GB2312"/>
          <w:bCs/>
          <w:kern w:val="32"/>
          <w:sz w:val="32"/>
          <w:szCs w:val="32"/>
          <w:lang w:val="en-US" w:eastAsia="zh-CN" w:bidi="ar-SA"/>
        </w:rPr>
        <w:t>2024</w:t>
      </w:r>
      <w:r>
        <w:rPr>
          <w:rFonts w:hint="eastAsia" w:ascii="仿宋_GB2312" w:hAnsi="仿宋_GB2312" w:eastAsia="仿宋_GB2312" w:cs="仿宋_GB2312"/>
          <w:bCs/>
          <w:kern w:val="32"/>
          <w:sz w:val="32"/>
          <w:szCs w:val="32"/>
          <w:lang w:val="en-US" w:eastAsia="zh-CN" w:bidi="ar-SA"/>
        </w:rPr>
        <w:t>〕1103号）、《深圳市政府投资项目后评价管理办法》（深发改规〔2023〕11号）《深圳市龙华区政府投资项目后评价管理办法》（</w:t>
      </w:r>
      <w:r>
        <w:rPr>
          <w:rFonts w:hint="eastAsia" w:hAnsi="仿宋_GB2312" w:cs="仿宋_GB2312"/>
          <w:bCs/>
          <w:kern w:val="32"/>
          <w:sz w:val="32"/>
          <w:szCs w:val="32"/>
          <w:lang w:val="en-US" w:eastAsia="zh-CN" w:bidi="ar-SA"/>
        </w:rPr>
        <w:t>深龙华府办规〔2024〕23号</w:t>
      </w:r>
      <w:r>
        <w:rPr>
          <w:rFonts w:hint="eastAsia" w:ascii="仿宋_GB2312" w:hAnsi="仿宋_GB2312" w:eastAsia="仿宋_GB2312" w:cs="仿宋_GB2312"/>
          <w:bCs/>
          <w:kern w:val="32"/>
          <w:sz w:val="32"/>
          <w:szCs w:val="32"/>
          <w:lang w:val="en-US" w:eastAsia="zh-CN" w:bidi="ar-SA"/>
        </w:rPr>
        <w:t>）等相关文件要求。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kern w:val="32"/>
          <w:sz w:val="32"/>
          <w:szCs w:val="32"/>
          <w:lang w:val="en-US" w:eastAsia="zh-CN" w:bidi="ar-SA"/>
        </w:rPr>
      </w:pPr>
      <w:r>
        <w:rPr>
          <w:rFonts w:hint="eastAsia" w:ascii="仿宋_GB2312" w:hAnsi="仿宋_GB2312" w:eastAsia="仿宋_GB2312" w:cs="仿宋_GB2312"/>
          <w:bCs/>
          <w:kern w:val="32"/>
          <w:sz w:val="32"/>
          <w:szCs w:val="32"/>
          <w:lang w:val="en-US" w:eastAsia="zh-CN" w:bidi="ar-SA"/>
        </w:rPr>
        <w:t>后评价报告主要聚焦于项目决策过程评价、项目实施过程评价、项目效果和效益评价、项目目标和可持续性评价等方面，提出总体评价结论、经验教训和改进工作建议。</w:t>
      </w:r>
    </w:p>
    <w:p>
      <w:pPr>
        <w:bidi w:val="0"/>
        <w:rPr>
          <w:rFonts w:hint="eastAsia" w:ascii="黑体" w:hAnsi="黑体" w:eastAsia="黑体" w:cs="黑体"/>
        </w:rPr>
      </w:pPr>
      <w:r>
        <w:rPr>
          <w:rFonts w:hint="eastAsia" w:ascii="黑体" w:hAnsi="黑体" w:eastAsia="黑体" w:cs="黑体"/>
        </w:rPr>
        <w:t>五、项目保密要求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中标人应当对其在项目开展过程中所知悉的国家秘密、商业秘密和技术秘密负有保密责任，建立并实施相应的保密措施，具体保密要求如下：</w:t>
      </w:r>
    </w:p>
    <w:p>
      <w:pPr>
        <w:bidi w:val="0"/>
        <w:rPr>
          <w:rFonts w:hint="eastAsia"/>
        </w:rPr>
      </w:pPr>
      <w:r>
        <w:rPr>
          <w:rFonts w:hint="eastAsia"/>
        </w:rPr>
        <w:t>（一）中标人不得利用所获取、掌握的采购人及其他政府部门的任何保密内容从事采购人及其他政府部门授权工作以外的任何事情，不得披露、允许第三方使用。</w:t>
      </w:r>
    </w:p>
    <w:p>
      <w:pPr>
        <w:bidi w:val="0"/>
        <w:rPr>
          <w:rFonts w:hint="eastAsia"/>
        </w:rPr>
      </w:pPr>
      <w:r>
        <w:rPr>
          <w:rFonts w:hint="eastAsia"/>
        </w:rPr>
        <w:t>（二）中标人按照采购人要求完成项目后，须立即将项目成果提交采购人存档，未经采购人许可，不得向第三方披露。</w:t>
      </w:r>
    </w:p>
    <w:p>
      <w:pPr>
        <w:bidi w:val="0"/>
        <w:rPr>
          <w:rFonts w:hint="eastAsia"/>
        </w:rPr>
      </w:pPr>
      <w:r>
        <w:rPr>
          <w:rFonts w:hint="eastAsia"/>
        </w:rPr>
        <w:t>（三）中标人应建立相应的保密制度，明确项目开展过程中各环节的保密性要求，确保相关资料和信息的保密性。</w:t>
      </w:r>
    </w:p>
    <w:p>
      <w:pPr>
        <w:bidi w:val="0"/>
        <w:rPr>
          <w:rFonts w:hint="eastAsia" w:ascii="黑体" w:hAnsi="黑体" w:eastAsia="黑体" w:cs="黑体"/>
        </w:rPr>
      </w:pPr>
      <w:r>
        <w:rPr>
          <w:rFonts w:hint="eastAsia" w:ascii="黑体" w:hAnsi="黑体" w:eastAsia="黑体" w:cs="黑体"/>
        </w:rPr>
        <w:t>六、投标资格要求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一）在中华人民共和国境内注册，具有独立法人资格或是具有独立承担民事责任的能力的其它组织。以分公司名义参与项目投标的，须提供总公司出具的愿为其参与本项目投标的行为以及履约等行为承担民事责任的加盖总公司公章的授权函。</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（二）列入全国投资项目在线审批监管平台及中国工程咨询协会工程咨询单位备案名单内。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（三）具有良好的商业信誉和健全的财务会计制度。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（四）具有履行合同所必需的设备和专业技术能力。</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（五）有依法缴纳税收和社会保障资金的良好记录。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（六）参加政府采购活动前三年内，在经营活动中没有重大违法记录。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仿宋_GB2312"/>
          <w:b w:val="0"/>
          <w:bCs w:val="0"/>
          <w:color w:val="auto"/>
          <w:sz w:val="32"/>
          <w:szCs w:val="32"/>
          <w:lang w:val="en-US" w:eastAsia="zh-CN"/>
        </w:rPr>
      </w:pPr>
      <w:r>
        <w:rPr>
          <w:rFonts w:hint="eastAsia" w:ascii="仿宋_GB2312" w:hAnsi="Calibri" w:eastAsia="仿宋_GB2312" w:cs="仿宋_GB2312"/>
          <w:b w:val="0"/>
          <w:bCs w:val="0"/>
          <w:color w:val="auto"/>
          <w:sz w:val="32"/>
          <w:szCs w:val="32"/>
          <w:lang w:val="en-US" w:eastAsia="zh-CN"/>
        </w:rPr>
        <w:t>（七）熟悉政府工作流程及要点，具有相关工作经验。</w:t>
      </w:r>
    </w:p>
    <w:p>
      <w:pPr>
        <w:bidi w:val="0"/>
        <w:rPr>
          <w:rFonts w:hint="eastAsia"/>
        </w:rPr>
      </w:pPr>
      <w:r>
        <w:rPr>
          <w:rFonts w:hint="eastAsia" w:ascii="仿宋_GB2312" w:hAnsi="Calibri" w:eastAsia="仿宋_GB2312" w:cs="仿宋_GB2312"/>
          <w:b w:val="0"/>
          <w:bCs w:val="0"/>
          <w:color w:val="auto"/>
          <w:sz w:val="32"/>
          <w:szCs w:val="32"/>
          <w:lang w:val="en-US" w:eastAsia="zh-CN"/>
        </w:rPr>
        <w:t>（八）法律、行政法规规定的其他条件</w:t>
      </w:r>
      <w:r>
        <w:rPr>
          <w:rFonts w:hint="eastAsia"/>
        </w:rPr>
        <w:t>。</w:t>
      </w:r>
    </w:p>
    <w:p>
      <w:pPr>
        <w:bidi w:val="0"/>
        <w:rPr>
          <w:rFonts w:hint="eastAsia" w:ascii="黑体" w:hAnsi="黑体" w:eastAsia="黑体" w:cs="黑体"/>
        </w:rPr>
      </w:pPr>
      <w:r>
        <w:rPr>
          <w:rFonts w:hint="eastAsia" w:ascii="黑体" w:hAnsi="黑体" w:eastAsia="黑体" w:cs="黑体"/>
        </w:rPr>
        <w:t>七、投标时间、地点及联系人</w:t>
      </w:r>
    </w:p>
    <w:p>
      <w:pPr>
        <w:bidi w:val="0"/>
        <w:rPr>
          <w:rFonts w:hint="eastAsia"/>
        </w:rPr>
      </w:pPr>
      <w:r>
        <w:rPr>
          <w:rFonts w:hint="eastAsia"/>
        </w:rPr>
        <w:t>（一）投标时间：</w:t>
      </w:r>
      <w:r>
        <w:rPr>
          <w:rFonts w:hint="eastAsia"/>
          <w:lang w:val="en-US" w:eastAsia="zh-CN"/>
        </w:rPr>
        <w:t>2025</w:t>
      </w:r>
      <w:r>
        <w:rPr>
          <w:rFonts w:hint="eastAsia"/>
        </w:rPr>
        <w:t>年</w:t>
      </w:r>
      <w:r>
        <w:rPr>
          <w:rFonts w:hint="eastAsia"/>
          <w:lang w:val="en-US" w:eastAsia="zh-CN"/>
        </w:rPr>
        <w:t>3</w:t>
      </w:r>
      <w:r>
        <w:rPr>
          <w:rFonts w:hint="eastAsia"/>
        </w:rPr>
        <w:t>月</w:t>
      </w:r>
      <w:r>
        <w:rPr>
          <w:rFonts w:hint="eastAsia"/>
          <w:lang w:val="en-US" w:eastAsia="zh-CN"/>
        </w:rPr>
        <w:t>4</w:t>
      </w:r>
      <w:r>
        <w:rPr>
          <w:rFonts w:hint="eastAsia"/>
        </w:rPr>
        <w:t>日至</w:t>
      </w:r>
      <w:r>
        <w:rPr>
          <w:rFonts w:hint="eastAsia"/>
          <w:lang w:val="en-US" w:eastAsia="zh-CN"/>
        </w:rPr>
        <w:t>2025</w:t>
      </w:r>
      <w:r>
        <w:rPr>
          <w:rFonts w:hint="eastAsia"/>
        </w:rPr>
        <w:t>年</w:t>
      </w:r>
      <w:r>
        <w:rPr>
          <w:rFonts w:hint="eastAsia"/>
          <w:lang w:val="en-US" w:eastAsia="zh-CN"/>
        </w:rPr>
        <w:t>3</w:t>
      </w:r>
      <w:r>
        <w:rPr>
          <w:rFonts w:hint="eastAsia"/>
        </w:rPr>
        <w:t>月</w:t>
      </w:r>
      <w:r>
        <w:rPr>
          <w:rFonts w:hint="eastAsia"/>
          <w:lang w:val="en-US" w:eastAsia="zh-CN"/>
        </w:rPr>
        <w:t>6</w:t>
      </w:r>
      <w:r>
        <w:rPr>
          <w:rFonts w:hint="eastAsia"/>
        </w:rPr>
        <w:t>日，每日上午9:00-12:00，下午2:00-5:45（节假日除外）。逾期未投标将不再受理。</w:t>
      </w:r>
    </w:p>
    <w:p>
      <w:pPr>
        <w:bidi w:val="0"/>
        <w:rPr>
          <w:rFonts w:hint="eastAsia"/>
        </w:rPr>
      </w:pPr>
      <w:r>
        <w:rPr>
          <w:rFonts w:hint="eastAsia"/>
        </w:rPr>
        <w:t>（二）投标地点：深圳市龙华区龙华街道清泉路7号富康行政服务办公区</w:t>
      </w:r>
      <w:r>
        <w:rPr>
          <w:rFonts w:hint="eastAsia"/>
          <w:lang w:val="en-US" w:eastAsia="zh-CN"/>
        </w:rPr>
        <w:t>19</w:t>
      </w:r>
      <w:r>
        <w:rPr>
          <w:rFonts w:hint="eastAsia"/>
          <w:lang w:eastAsia="zh-CN"/>
        </w:rPr>
        <w:t>楼</w:t>
      </w:r>
      <w:r>
        <w:rPr>
          <w:rFonts w:hint="eastAsia"/>
          <w:lang w:val="en-US" w:eastAsia="zh-CN"/>
        </w:rPr>
        <w:t>A1902，</w:t>
      </w:r>
      <w:r>
        <w:rPr>
          <w:rFonts w:hint="eastAsia"/>
        </w:rPr>
        <w:t>深圳市龙华区发展和改革局</w:t>
      </w:r>
      <w:r>
        <w:rPr>
          <w:rFonts w:hint="eastAsia"/>
          <w:lang w:eastAsia="zh-CN"/>
        </w:rPr>
        <w:t>办公室</w:t>
      </w:r>
      <w:r>
        <w:rPr>
          <w:rFonts w:hint="eastAsia"/>
        </w:rPr>
        <w:t>。</w:t>
      </w:r>
    </w:p>
    <w:p>
      <w:pPr>
        <w:bidi w:val="0"/>
        <w:rPr>
          <w:rFonts w:hint="default"/>
          <w:lang w:val="en-US" w:eastAsia="zh-CN"/>
        </w:rPr>
      </w:pPr>
      <w:r>
        <w:rPr>
          <w:rFonts w:hint="eastAsia"/>
        </w:rPr>
        <w:t>（三）联系</w:t>
      </w:r>
      <w:r>
        <w:rPr>
          <w:rFonts w:hint="eastAsia"/>
          <w:lang w:eastAsia="zh-CN"/>
        </w:rPr>
        <w:t>人及</w:t>
      </w:r>
      <w:r>
        <w:rPr>
          <w:rFonts w:hint="eastAsia"/>
        </w:rPr>
        <w:t>电话：</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焦沁冰，0755-2333</w:t>
      </w:r>
      <w:r>
        <w:rPr>
          <w:rFonts w:hint="eastAsia" w:hAnsi="Times New Roman" w:cs="Times New Roman"/>
          <w:bCs/>
          <w:color w:val="0D0D0D" w:themeColor="text1" w:themeTint="F2"/>
          <w:sz w:val="32"/>
          <w:szCs w:val="32"/>
          <w:highlight w:val="none"/>
          <w:lang w:val="en-US" w:eastAsia="zh-CN"/>
          <w14:textFill>
            <w14:solidFill>
              <w14:schemeClr w14:val="tx1">
                <w14:lumMod w14:val="95000"/>
                <w14:lumOff w14:val="5000"/>
              </w14:schemeClr>
            </w14:solidFill>
          </w14:textFill>
        </w:rPr>
        <w:t>85</w:t>
      </w:r>
      <w:r>
        <w:rPr>
          <w:rFonts w:hint="eastAsia" w:ascii="仿宋_GB2312" w:hAnsi="Times New Roman" w:eastAsia="仿宋_GB2312" w:cs="Times New Roman"/>
          <w:bCs/>
          <w:color w:val="0D0D0D" w:themeColor="text1" w:themeTint="F2"/>
          <w:sz w:val="32"/>
          <w:szCs w:val="32"/>
          <w:highlight w:val="none"/>
          <w14:textFill>
            <w14:solidFill>
              <w14:schemeClr w14:val="tx1">
                <w14:lumMod w14:val="95000"/>
                <w14:lumOff w14:val="5000"/>
              </w14:schemeClr>
            </w14:solidFill>
          </w14:textFill>
        </w:rPr>
        <w:t>10</w:t>
      </w:r>
    </w:p>
    <w:p>
      <w:pPr>
        <w:bidi w:val="0"/>
        <w:rPr>
          <w:rFonts w:hint="eastAsia" w:ascii="黑体" w:hAnsi="黑体" w:eastAsia="黑体" w:cs="黑体"/>
        </w:rPr>
      </w:pPr>
      <w:r>
        <w:rPr>
          <w:rFonts w:hint="eastAsia" w:ascii="黑体" w:hAnsi="黑体" w:eastAsia="黑体" w:cs="黑体"/>
        </w:rPr>
        <w:t>八、投标文件递交内容</w:t>
      </w:r>
    </w:p>
    <w:p>
      <w:pPr>
        <w:bidi w:val="0"/>
        <w:rPr>
          <w:rFonts w:hint="eastAsia"/>
          <w:lang w:val="en-US" w:eastAsia="zh-CN"/>
        </w:rPr>
      </w:pPr>
      <w:r>
        <w:rPr>
          <w:rFonts w:hint="eastAsia"/>
          <w:lang w:val="en-US" w:eastAsia="zh-CN"/>
        </w:rPr>
        <w:t>（一）投标单位简介、投标人营业执照及相关证照（提供加盖公章的复印件，原件备查）。</w:t>
      </w:r>
    </w:p>
    <w:p>
      <w:pPr>
        <w:bidi w:val="0"/>
        <w:rPr>
          <w:rFonts w:hint="eastAsia"/>
          <w:lang w:val="en-US" w:eastAsia="zh-CN"/>
        </w:rPr>
      </w:pPr>
      <w:r>
        <w:rPr>
          <w:rFonts w:hint="eastAsia"/>
          <w:lang w:val="en-US" w:eastAsia="zh-CN"/>
        </w:rPr>
        <w:t>（二）法定代表人证明书及授权委托书（原件加盖公章）。</w:t>
      </w:r>
    </w:p>
    <w:p>
      <w:pPr>
        <w:bidi w:val="0"/>
        <w:rPr>
          <w:rFonts w:hint="eastAsia"/>
          <w:lang w:val="en-US" w:eastAsia="zh-CN"/>
        </w:rPr>
      </w:pPr>
      <w:r>
        <w:rPr>
          <w:rFonts w:hint="eastAsia"/>
          <w:lang w:val="en-US" w:eastAsia="zh-CN"/>
        </w:rPr>
        <w:t>（三）法定代表人及受委托人身份证复印件（复印件加盖公章）。</w:t>
      </w:r>
    </w:p>
    <w:p>
      <w:pPr>
        <w:bidi w:val="0"/>
        <w:rPr>
          <w:rFonts w:hint="eastAsia"/>
          <w:lang w:val="en-US" w:eastAsia="zh-CN"/>
        </w:rPr>
      </w:pPr>
      <w:r>
        <w:rPr>
          <w:rFonts w:hint="eastAsia"/>
          <w:lang w:val="en-US" w:eastAsia="zh-CN"/>
        </w:rPr>
        <w:t>（四）项目方案及报价单（原件加盖公章）。</w:t>
      </w:r>
    </w:p>
    <w:p>
      <w:pPr>
        <w:bidi w:val="0"/>
        <w:rPr>
          <w:rFonts w:hint="eastAsia"/>
          <w:lang w:val="en-US" w:eastAsia="zh-CN"/>
        </w:rPr>
      </w:pPr>
      <w:r>
        <w:rPr>
          <w:rFonts w:hint="eastAsia"/>
          <w:lang w:val="en-US" w:eastAsia="zh-CN"/>
        </w:rPr>
        <w:t>（五）投标人相关领域/项目经验证明材料（复印件加盖公章）。</w:t>
      </w:r>
    </w:p>
    <w:p>
      <w:pPr>
        <w:bidi w:val="0"/>
        <w:rPr>
          <w:rFonts w:hint="eastAsia"/>
          <w:lang w:val="en-US" w:eastAsia="zh-CN"/>
        </w:rPr>
      </w:pPr>
      <w:r>
        <w:rPr>
          <w:rFonts w:hint="eastAsia"/>
          <w:lang w:val="en-US" w:eastAsia="zh-CN"/>
        </w:rPr>
        <w:t>（六）投标人无重大违法记录声明函（原件加盖公章，格式自拟）。</w:t>
      </w:r>
    </w:p>
    <w:p>
      <w:pPr>
        <w:bidi w:val="0"/>
        <w:rPr>
          <w:rFonts w:hint="eastAsia"/>
          <w:lang w:val="en-US" w:eastAsia="zh-CN"/>
        </w:rPr>
      </w:pPr>
      <w:r>
        <w:rPr>
          <w:rFonts w:hint="eastAsia"/>
          <w:lang w:val="en-US" w:eastAsia="zh-CN"/>
        </w:rPr>
        <w:t>（七）投标及履约承诺函原件（格式见附件）。</w:t>
      </w:r>
    </w:p>
    <w:p>
      <w:pPr>
        <w:bidi w:val="0"/>
        <w:rPr>
          <w:rFonts w:hint="eastAsia"/>
          <w:lang w:val="en-US" w:eastAsia="zh-CN"/>
        </w:rPr>
      </w:pPr>
      <w:r>
        <w:rPr>
          <w:rFonts w:hint="eastAsia"/>
          <w:lang w:val="en-US" w:eastAsia="zh-CN"/>
        </w:rPr>
        <w:t>（八）投标人认为有必要提供的其它材料。</w:t>
      </w:r>
    </w:p>
    <w:p>
      <w:pPr>
        <w:bidi w:val="0"/>
        <w:rPr>
          <w:rFonts w:hint="eastAsia"/>
          <w:lang w:val="en-US" w:eastAsia="zh-CN"/>
        </w:rPr>
      </w:pPr>
      <w:r>
        <w:rPr>
          <w:rFonts w:hint="eastAsia"/>
          <w:lang w:val="en-US" w:eastAsia="zh-CN"/>
        </w:rPr>
        <w:t>投标文件一式五份，整套纸质材料密封并加盖骑缝章，封面注明投标人的名称、地址、联系人及手机号码。</w:t>
      </w:r>
    </w:p>
    <w:p>
      <w:pPr>
        <w:bidi w:val="0"/>
        <w:rPr>
          <w:rFonts w:hint="eastAsia" w:ascii="黑体" w:hAnsi="黑体" w:eastAsia="黑体" w:cs="黑体"/>
        </w:rPr>
      </w:pPr>
      <w:r>
        <w:rPr>
          <w:rFonts w:hint="eastAsia" w:ascii="黑体" w:hAnsi="黑体" w:eastAsia="黑体" w:cs="黑体"/>
        </w:rPr>
        <w:t>九、重要提示</w:t>
      </w:r>
    </w:p>
    <w:p>
      <w:pPr>
        <w:bidi w:val="0"/>
        <w:rPr>
          <w:rFonts w:hint="eastAsia"/>
          <w:lang w:val="en-US" w:eastAsia="zh-CN"/>
        </w:rPr>
      </w:pPr>
      <w:r>
        <w:rPr>
          <w:rFonts w:hint="eastAsia"/>
          <w:lang w:val="en-US" w:eastAsia="zh-CN"/>
        </w:rPr>
        <w:t>投标单位有下列情况之一的，其投标将被拒绝或作无效投标处理：</w:t>
      </w:r>
    </w:p>
    <w:p>
      <w:pPr>
        <w:bidi w:val="0"/>
        <w:rPr>
          <w:rFonts w:hint="eastAsia"/>
          <w:lang w:val="en-US" w:eastAsia="zh-CN"/>
        </w:rPr>
      </w:pPr>
      <w:r>
        <w:rPr>
          <w:rFonts w:hint="eastAsia"/>
          <w:lang w:val="en-US" w:eastAsia="zh-CN"/>
        </w:rPr>
        <w:t>（一）未在规定时间内将投标文件送达规定地点的。</w:t>
      </w:r>
    </w:p>
    <w:p>
      <w:pPr>
        <w:bidi w:val="0"/>
        <w:rPr>
          <w:rFonts w:hint="eastAsia"/>
          <w:lang w:val="en-US" w:eastAsia="zh-CN"/>
        </w:rPr>
      </w:pPr>
      <w:r>
        <w:rPr>
          <w:rFonts w:hint="eastAsia"/>
          <w:lang w:val="en-US" w:eastAsia="zh-CN"/>
        </w:rPr>
        <w:t>（二）投标人不具备投标资格要求，或未提交相应资格证明材料。</w:t>
      </w:r>
    </w:p>
    <w:p>
      <w:pPr>
        <w:bidi w:val="0"/>
        <w:rPr>
          <w:rFonts w:hint="eastAsia"/>
          <w:lang w:val="en-US" w:eastAsia="zh-CN"/>
        </w:rPr>
      </w:pPr>
      <w:r>
        <w:rPr>
          <w:rFonts w:hint="eastAsia"/>
          <w:lang w:val="en-US" w:eastAsia="zh-CN"/>
        </w:rPr>
        <w:t>（三）投标文件未按规定密封、签字、盖章。</w:t>
      </w:r>
    </w:p>
    <w:p>
      <w:pPr>
        <w:bidi w:val="0"/>
        <w:rPr>
          <w:rFonts w:hint="eastAsia"/>
          <w:lang w:val="en-US" w:eastAsia="zh-CN"/>
        </w:rPr>
      </w:pPr>
      <w:r>
        <w:rPr>
          <w:rFonts w:hint="eastAsia"/>
          <w:lang w:val="en-US" w:eastAsia="zh-CN"/>
        </w:rPr>
        <w:t>（四）投标文件无法定代表人签字或无法定代表人有效授权委托的。</w:t>
      </w:r>
    </w:p>
    <w:p>
      <w:pPr>
        <w:bidi w:val="0"/>
        <w:rPr>
          <w:rFonts w:hint="eastAsia"/>
          <w:lang w:val="en-US" w:eastAsia="zh-CN"/>
        </w:rPr>
      </w:pPr>
      <w:r>
        <w:rPr>
          <w:rFonts w:hint="eastAsia"/>
          <w:lang w:val="en-US" w:eastAsia="zh-CN"/>
        </w:rPr>
        <w:t>（五）分项报价或投标总价高于预算金额（最高投标限价）的。</w:t>
      </w:r>
    </w:p>
    <w:p>
      <w:pPr>
        <w:bidi w:val="0"/>
        <w:rPr>
          <w:rFonts w:hint="eastAsia"/>
          <w:lang w:val="en-US" w:eastAsia="zh-CN"/>
        </w:rPr>
      </w:pPr>
      <w:r>
        <w:rPr>
          <w:rFonts w:hint="eastAsia"/>
          <w:lang w:val="en-US" w:eastAsia="zh-CN"/>
        </w:rPr>
        <w:t>（六）同一项目出现两个及以上报价，且按规定无法确定哪个是有效报价。</w:t>
      </w:r>
    </w:p>
    <w:p>
      <w:pPr>
        <w:bidi w:val="0"/>
        <w:rPr>
          <w:rFonts w:hint="eastAsia"/>
          <w:lang w:val="en-US" w:eastAsia="zh-CN"/>
        </w:rPr>
      </w:pPr>
      <w:r>
        <w:rPr>
          <w:rFonts w:hint="eastAsia"/>
          <w:lang w:val="en-US" w:eastAsia="zh-CN"/>
        </w:rPr>
        <w:t>（七）评标委员会认为投标单位的报价明显低于其他通过符合性审查投标单位的报价，有可能影响产品质量或者不能诚信履约的，投标单位不能在合理的时间内提供书面说明，或无法提交相关证明材料，投标单位不能证明其报价合理性的。</w:t>
      </w:r>
    </w:p>
    <w:p>
      <w:pPr>
        <w:bidi w:val="0"/>
        <w:rPr>
          <w:rFonts w:hint="eastAsia"/>
          <w:lang w:val="en-US" w:eastAsia="zh-CN"/>
        </w:rPr>
      </w:pPr>
      <w:r>
        <w:rPr>
          <w:rFonts w:hint="eastAsia"/>
          <w:lang w:val="en-US" w:eastAsia="zh-CN"/>
        </w:rPr>
        <w:t>（八）所投服务在质量、技术、方案等方面没有实质性满足招标文件要求。</w:t>
      </w:r>
    </w:p>
    <w:p>
      <w:pPr>
        <w:bidi w:val="0"/>
        <w:rPr>
          <w:rFonts w:hint="eastAsia"/>
          <w:lang w:val="en-US" w:eastAsia="zh-CN"/>
        </w:rPr>
      </w:pPr>
      <w:r>
        <w:rPr>
          <w:rFonts w:hint="eastAsia"/>
          <w:lang w:val="en-US" w:eastAsia="zh-CN"/>
        </w:rPr>
        <w:t>（九）法律、法规规定的其他情形。</w:t>
      </w:r>
    </w:p>
    <w:p>
      <w:pPr>
        <w:bidi w:val="0"/>
        <w:rPr>
          <w:rFonts w:hint="eastAsia" w:ascii="黑体" w:hAnsi="黑体" w:eastAsia="黑体" w:cs="黑体"/>
        </w:rPr>
      </w:pPr>
      <w:r>
        <w:rPr>
          <w:rFonts w:hint="eastAsia" w:ascii="黑体" w:hAnsi="黑体" w:eastAsia="黑体" w:cs="黑体"/>
        </w:rPr>
        <w:t>十、评标方法</w:t>
      </w:r>
    </w:p>
    <w:p>
      <w:pPr>
        <w:bidi w:val="0"/>
        <w:rPr>
          <w:rFonts w:hint="eastAsia" w:ascii="楷体" w:hAnsi="楷体" w:eastAsia="楷体" w:cs="楷体"/>
        </w:rPr>
      </w:pPr>
      <w:r>
        <w:rPr>
          <w:rFonts w:hint="eastAsia" w:ascii="楷体" w:hAnsi="楷体" w:eastAsia="楷体" w:cs="楷体"/>
        </w:rPr>
        <w:t>（一）评分规则</w:t>
      </w:r>
    </w:p>
    <w:p>
      <w:pPr>
        <w:spacing w:line="560" w:lineRule="exact"/>
        <w:ind w:firstLine="640" w:firstLineChars="200"/>
        <w:rPr>
          <w:rFonts w:ascii="黑体" w:hAnsi="黑体" w:eastAsia="黑体" w:cs="仿宋_GB2312"/>
          <w:bCs/>
          <w:color w:val="000000"/>
          <w:sz w:val="32"/>
          <w:szCs w:val="32"/>
        </w:rPr>
      </w:pPr>
      <w:r>
        <w:rPr>
          <w:rFonts w:hint="eastAsia" w:ascii="仿宋_GB2312" w:hAnsi="仿宋_GB2312" w:eastAsia="仿宋_GB2312" w:cs="Times New Roman"/>
          <w:color w:val="000000"/>
          <w:sz w:val="32"/>
          <w:szCs w:val="32"/>
        </w:rPr>
        <w:t>评标采用综合评分法。确定中标供应商按评审后得分由高到低顺序排列。得分相同的，按投标报价由低到高顺序排列。得分且投标报价相同的，按技术或服务方案优劣顺序排列。</w:t>
      </w:r>
    </w:p>
    <w:p>
      <w:pPr>
        <w:numPr>
          <w:ilvl w:val="-1"/>
          <w:numId w:val="0"/>
        </w:numPr>
        <w:bidi w:val="0"/>
        <w:ind w:left="640" w:leftChars="200" w:firstLine="0" w:firstLineChars="0"/>
        <w:rPr>
          <w:rFonts w:hint="eastAsia" w:ascii="楷体" w:hAnsi="楷体" w:eastAsia="楷体" w:cs="楷体"/>
        </w:rPr>
      </w:pPr>
      <w:r>
        <w:rPr>
          <w:rFonts w:hint="eastAsia" w:ascii="楷体" w:hAnsi="楷体" w:eastAsia="楷体" w:cs="楷体"/>
          <w:lang w:eastAsia="zh-CN"/>
        </w:rPr>
        <w:t>（二）</w:t>
      </w:r>
      <w:r>
        <w:rPr>
          <w:rFonts w:hint="eastAsia" w:ascii="楷体" w:hAnsi="楷体" w:eastAsia="楷体" w:cs="楷体"/>
        </w:rPr>
        <w:t>评分权重</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883"/>
        <w:gridCol w:w="1681"/>
        <w:gridCol w:w="172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9"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Cs/>
                <w:color w:val="000000"/>
                <w:szCs w:val="24"/>
              </w:rPr>
            </w:pPr>
            <w:r>
              <w:rPr>
                <w:rFonts w:hint="eastAsia" w:ascii="仿宋_GB2312" w:hAnsi="仿宋_GB2312" w:cs="仿宋_GB2312"/>
                <w:bCs/>
                <w:color w:val="000000"/>
                <w:szCs w:val="24"/>
              </w:rPr>
              <w:t>评分内容</w:t>
            </w:r>
          </w:p>
        </w:tc>
        <w:tc>
          <w:tcPr>
            <w:tcW w:w="1883"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Cs/>
                <w:color w:val="000000"/>
                <w:szCs w:val="24"/>
              </w:rPr>
            </w:pPr>
            <w:r>
              <w:rPr>
                <w:rFonts w:hint="eastAsia" w:ascii="仿宋_GB2312" w:hAnsi="仿宋_GB2312" w:cs="仿宋_GB2312"/>
                <w:bCs/>
                <w:color w:val="000000"/>
                <w:szCs w:val="24"/>
              </w:rPr>
              <w:t>商务能力</w:t>
            </w:r>
          </w:p>
        </w:tc>
        <w:tc>
          <w:tcPr>
            <w:tcW w:w="1681"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Cs/>
                <w:color w:val="000000"/>
                <w:szCs w:val="24"/>
              </w:rPr>
            </w:pPr>
            <w:r>
              <w:rPr>
                <w:rFonts w:hint="eastAsia" w:ascii="仿宋_GB2312" w:hAnsi="仿宋_GB2312" w:cs="仿宋_GB2312"/>
                <w:bCs/>
                <w:color w:val="000000"/>
                <w:szCs w:val="24"/>
              </w:rPr>
              <w:t>技术能力</w:t>
            </w:r>
          </w:p>
        </w:tc>
        <w:tc>
          <w:tcPr>
            <w:tcW w:w="1724"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Cs/>
                <w:color w:val="000000"/>
                <w:szCs w:val="24"/>
              </w:rPr>
            </w:pPr>
            <w:r>
              <w:rPr>
                <w:rFonts w:hint="eastAsia" w:ascii="仿宋_GB2312" w:hAnsi="仿宋_GB2312" w:cs="仿宋_GB2312"/>
                <w:bCs/>
                <w:color w:val="000000"/>
                <w:szCs w:val="24"/>
              </w:rPr>
              <w:t>人员配备</w:t>
            </w:r>
          </w:p>
        </w:tc>
        <w:tc>
          <w:tcPr>
            <w:tcW w:w="1808"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Cs/>
                <w:color w:val="000000"/>
                <w:szCs w:val="24"/>
              </w:rPr>
            </w:pPr>
            <w:r>
              <w:rPr>
                <w:rFonts w:hint="eastAsia" w:ascii="仿宋_GB2312" w:hAnsi="仿宋_GB2312" w:cs="仿宋_GB2312"/>
                <w:bCs/>
                <w:color w:val="000000"/>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9"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 w:val="0"/>
                <w:bCs/>
                <w:color w:val="000000"/>
                <w:szCs w:val="24"/>
              </w:rPr>
            </w:pPr>
            <w:r>
              <w:rPr>
                <w:rFonts w:hint="eastAsia" w:ascii="仿宋_GB2312" w:hAnsi="仿宋_GB2312" w:cs="仿宋_GB2312"/>
                <w:b w:val="0"/>
                <w:bCs/>
                <w:color w:val="000000"/>
                <w:szCs w:val="24"/>
              </w:rPr>
              <w:t>分值</w:t>
            </w:r>
          </w:p>
        </w:tc>
        <w:tc>
          <w:tcPr>
            <w:tcW w:w="1883"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 w:val="0"/>
                <w:bCs/>
                <w:color w:val="000000"/>
                <w:szCs w:val="24"/>
              </w:rPr>
            </w:pPr>
            <w:r>
              <w:rPr>
                <w:rFonts w:hint="eastAsia" w:ascii="仿宋_GB2312" w:hAnsi="仿宋_GB2312" w:cs="仿宋_GB2312"/>
                <w:b w:val="0"/>
                <w:bCs/>
                <w:color w:val="000000"/>
                <w:szCs w:val="24"/>
                <w:lang w:val="en-US" w:eastAsia="zh-CN"/>
              </w:rPr>
              <w:t>20</w:t>
            </w:r>
            <w:r>
              <w:rPr>
                <w:rFonts w:hint="eastAsia" w:ascii="仿宋_GB2312" w:hAnsi="仿宋_GB2312" w:cs="仿宋_GB2312"/>
                <w:b w:val="0"/>
                <w:bCs/>
                <w:color w:val="000000"/>
                <w:szCs w:val="24"/>
              </w:rPr>
              <w:t>分</w:t>
            </w:r>
          </w:p>
        </w:tc>
        <w:tc>
          <w:tcPr>
            <w:tcW w:w="1681"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b w:val="0"/>
                <w:bCs/>
                <w:color w:val="000000"/>
                <w:szCs w:val="24"/>
                <w:lang w:val="en-US" w:eastAsia="zh-CN"/>
              </w:rPr>
            </w:pPr>
            <w:r>
              <w:rPr>
                <w:rFonts w:hint="eastAsia" w:ascii="仿宋_GB2312" w:hAnsi="仿宋_GB2312" w:cs="仿宋_GB2312"/>
                <w:b w:val="0"/>
                <w:bCs/>
                <w:color w:val="000000"/>
                <w:szCs w:val="24"/>
                <w:lang w:val="en-US" w:eastAsia="zh-CN"/>
              </w:rPr>
              <w:t>30</w:t>
            </w:r>
            <w:r>
              <w:rPr>
                <w:rFonts w:hint="eastAsia" w:ascii="仿宋_GB2312" w:hAnsi="仿宋_GB2312" w:cs="仿宋_GB2312"/>
                <w:b w:val="0"/>
                <w:bCs/>
                <w:color w:val="000000"/>
                <w:szCs w:val="24"/>
              </w:rPr>
              <w:t>分</w:t>
            </w:r>
          </w:p>
        </w:tc>
        <w:tc>
          <w:tcPr>
            <w:tcW w:w="1724"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 w:val="0"/>
                <w:bCs/>
                <w:color w:val="000000"/>
                <w:szCs w:val="24"/>
              </w:rPr>
            </w:pPr>
            <w:r>
              <w:rPr>
                <w:rFonts w:hint="eastAsia" w:ascii="仿宋_GB2312" w:hAnsi="仿宋_GB2312" w:cs="仿宋_GB2312"/>
                <w:b w:val="0"/>
                <w:bCs/>
                <w:color w:val="000000"/>
                <w:szCs w:val="24"/>
                <w:lang w:val="en-US" w:eastAsia="zh-CN"/>
              </w:rPr>
              <w:t>30</w:t>
            </w:r>
            <w:r>
              <w:rPr>
                <w:rFonts w:hint="eastAsia" w:ascii="仿宋_GB2312" w:hAnsi="仿宋_GB2312" w:cs="仿宋_GB2312"/>
                <w:b w:val="0"/>
                <w:bCs/>
                <w:color w:val="000000"/>
                <w:szCs w:val="24"/>
              </w:rPr>
              <w:t>分</w:t>
            </w:r>
          </w:p>
        </w:tc>
        <w:tc>
          <w:tcPr>
            <w:tcW w:w="1808" w:type="dxa"/>
            <w:vAlign w:val="center"/>
          </w:tcPr>
          <w:p>
            <w:pPr>
              <w:pStyle w:val="1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cs="仿宋_GB2312"/>
                <w:b w:val="0"/>
                <w:bCs/>
                <w:color w:val="000000"/>
                <w:szCs w:val="24"/>
              </w:rPr>
            </w:pPr>
            <w:r>
              <w:rPr>
                <w:rFonts w:hint="eastAsia" w:ascii="仿宋_GB2312" w:hAnsi="仿宋_GB2312" w:cs="仿宋_GB2312"/>
                <w:b w:val="0"/>
                <w:bCs/>
                <w:color w:val="000000"/>
                <w:szCs w:val="24"/>
                <w:lang w:val="en-US" w:eastAsia="zh-CN"/>
              </w:rPr>
              <w:t>20</w:t>
            </w:r>
            <w:r>
              <w:rPr>
                <w:rFonts w:hint="eastAsia" w:ascii="仿宋_GB2312" w:hAnsi="仿宋_GB2312" w:cs="仿宋_GB2312"/>
                <w:b w:val="0"/>
                <w:bCs/>
                <w:color w:val="000000"/>
                <w:szCs w:val="24"/>
              </w:rPr>
              <w:t>分</w:t>
            </w:r>
          </w:p>
        </w:tc>
      </w:tr>
    </w:tbl>
    <w:p>
      <w:pPr>
        <w:bidi w:val="0"/>
        <w:rPr>
          <w:rFonts w:hint="eastAsia" w:ascii="楷体" w:hAnsi="楷体" w:eastAsia="楷体" w:cs="楷体"/>
        </w:rPr>
      </w:pPr>
      <w:r>
        <w:rPr>
          <w:rFonts w:hint="eastAsia" w:ascii="楷体" w:hAnsi="楷体" w:eastAsia="楷体" w:cs="楷体"/>
        </w:rPr>
        <w:t>（三）评分标准</w:t>
      </w:r>
    </w:p>
    <w:p>
      <w:pPr>
        <w:pStyle w:val="8"/>
        <w:keepNext w:val="0"/>
        <w:keepLines w:val="0"/>
        <w:pageBreakBefore w:val="0"/>
        <w:widowControl w:val="0"/>
        <w:kinsoku/>
        <w:wordWrap/>
        <w:overflowPunct/>
        <w:topLinePunct w:val="0"/>
        <w:autoSpaceDE/>
        <w:autoSpaceDN/>
        <w:bidi w:val="0"/>
        <w:adjustRightInd/>
        <w:snapToGrid/>
        <w:spacing w:after="0"/>
        <w:ind w:left="0" w:leftChars="0" w:right="0" w:righ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Times New Roman"/>
          <w:b/>
          <w:bCs/>
          <w:color w:val="000000"/>
          <w:sz w:val="32"/>
          <w:szCs w:val="32"/>
        </w:rPr>
        <w:t>1.商务能力</w:t>
      </w:r>
    </w:p>
    <w:tbl>
      <w:tblPr>
        <w:tblStyle w:val="14"/>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75"/>
        <w:gridCol w:w="4235"/>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5872" w:type="dxa"/>
            <w:gridSpan w:val="3"/>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w:t>
            </w:r>
          </w:p>
        </w:tc>
        <w:tc>
          <w:tcPr>
            <w:tcW w:w="2864"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商务能力评分</w:t>
            </w:r>
            <w:r>
              <w:rPr>
                <w:rFonts w:hint="eastAsia" w:hAnsi="仿宋_GB2312" w:cs="仿宋_GB2312"/>
                <w:bCs/>
                <w:color w:val="000000"/>
                <w:sz w:val="24"/>
                <w:lang w:val="en-US" w:eastAsia="zh-CN"/>
              </w:rPr>
              <w:t>20</w:t>
            </w:r>
            <w:r>
              <w:rPr>
                <w:rFonts w:hint="eastAsia" w:ascii="仿宋_GB2312" w:hAnsi="仿宋_GB2312" w:eastAsia="仿宋_GB2312" w:cs="仿宋_GB2312"/>
                <w:bCs/>
                <w:color w:val="000000"/>
                <w:sz w:val="24"/>
              </w:rPr>
              <w:t>分</w:t>
            </w: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资质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w:t>
            </w:r>
            <w:r>
              <w:rPr>
                <w:rFonts w:hint="eastAsia" w:hAnsi="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分）</w:t>
            </w:r>
          </w:p>
        </w:tc>
        <w:tc>
          <w:tcPr>
            <w:tcW w:w="423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bCs/>
                <w:color w:val="000000"/>
                <w:sz w:val="24"/>
                <w:szCs w:val="24"/>
              </w:rPr>
            </w:pPr>
            <w:r>
              <w:rPr>
                <w:rFonts w:hint="eastAsia" w:hAnsi="仿宋_GB2312" w:cs="仿宋_GB2312"/>
                <w:bCs/>
                <w:color w:val="000000"/>
                <w:sz w:val="24"/>
                <w:szCs w:val="24"/>
                <w:lang w:val="en-US" w:eastAsia="zh-CN"/>
              </w:rPr>
              <w:t>1.</w:t>
            </w:r>
            <w:r>
              <w:rPr>
                <w:rFonts w:ascii="仿宋_GB2312" w:hAnsi="仿宋_GB2312" w:eastAsia="仿宋_GB2312" w:cs="仿宋_GB2312"/>
                <w:bCs/>
                <w:color w:val="000000"/>
                <w:sz w:val="24"/>
                <w:szCs w:val="24"/>
              </w:rPr>
              <w:t>具备</w:t>
            </w:r>
            <w:r>
              <w:rPr>
                <w:rFonts w:hint="eastAsia" w:hAnsi="仿宋_GB2312" w:cs="仿宋_GB2312"/>
                <w:bCs/>
                <w:color w:val="000000"/>
                <w:sz w:val="24"/>
                <w:szCs w:val="24"/>
                <w:lang w:val="en-US" w:eastAsia="zh-CN"/>
              </w:rPr>
              <w:t>工程咨询综合资信甲级</w:t>
            </w:r>
            <w:r>
              <w:rPr>
                <w:rFonts w:hint="eastAsia" w:ascii="仿宋_GB2312" w:hAnsi="仿宋_GB2312" w:eastAsia="仿宋_GB2312" w:cs="仿宋_GB2312"/>
                <w:bCs/>
                <w:color w:val="000000"/>
                <w:sz w:val="24"/>
                <w:szCs w:val="24"/>
              </w:rPr>
              <w:t>证书</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得</w:t>
            </w:r>
            <w:r>
              <w:rPr>
                <w:rFonts w:hint="eastAsia" w:hAnsi="仿宋_GB2312" w:cs="仿宋_GB2312"/>
                <w:bCs/>
                <w:color w:val="000000"/>
                <w:sz w:val="24"/>
                <w:szCs w:val="24"/>
                <w:lang w:val="en-US" w:eastAsia="zh-CN"/>
              </w:rPr>
              <w:t>2.5</w:t>
            </w:r>
            <w:r>
              <w:rPr>
                <w:rFonts w:hint="eastAsia" w:ascii="仿宋_GB2312" w:hAnsi="仿宋_GB2312" w:eastAsia="仿宋_GB2312" w:cs="仿宋_GB2312"/>
                <w:bCs/>
                <w:color w:val="000000"/>
                <w:sz w:val="24"/>
                <w:szCs w:val="24"/>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ascii="仿宋_GB2312" w:hAnsi="仿宋_GB2312" w:eastAsia="仿宋_GB2312" w:cs="仿宋_GB2312"/>
                <w:bCs/>
                <w:color w:val="000000"/>
                <w:sz w:val="24"/>
                <w:szCs w:val="24"/>
              </w:rPr>
            </w:pPr>
            <w:r>
              <w:rPr>
                <w:rFonts w:hint="eastAsia" w:hAnsi="仿宋_GB2312" w:cs="仿宋_GB2312"/>
                <w:bCs/>
                <w:color w:val="000000"/>
                <w:sz w:val="24"/>
                <w:szCs w:val="24"/>
                <w:lang w:val="en-US" w:eastAsia="zh-CN"/>
              </w:rPr>
              <w:t>2.</w:t>
            </w:r>
            <w:r>
              <w:rPr>
                <w:rFonts w:hint="eastAsia" w:ascii="仿宋_GB2312" w:hAnsi="仿宋_GB2312" w:eastAsia="仿宋_GB2312" w:cs="仿宋_GB2312"/>
                <w:bCs/>
                <w:color w:val="000000"/>
                <w:sz w:val="24"/>
                <w:szCs w:val="24"/>
                <w:lang w:val="en-US" w:eastAsia="zh-CN"/>
              </w:rPr>
              <w:t>具备</w:t>
            </w:r>
            <w:r>
              <w:rPr>
                <w:rFonts w:hint="eastAsia" w:hAnsi="仿宋_GB2312" w:cs="仿宋_GB2312"/>
                <w:bCs/>
                <w:color w:val="000000"/>
                <w:sz w:val="24"/>
                <w:szCs w:val="24"/>
                <w:lang w:val="en-US" w:eastAsia="zh-CN"/>
              </w:rPr>
              <w:t>工程咨询专业资信甲级</w:t>
            </w:r>
            <w:r>
              <w:rPr>
                <w:rFonts w:hint="eastAsia" w:ascii="仿宋_GB2312" w:hAnsi="仿宋_GB2312" w:eastAsia="仿宋_GB2312" w:cs="仿宋_GB2312"/>
                <w:bCs/>
                <w:color w:val="000000"/>
                <w:sz w:val="24"/>
                <w:szCs w:val="24"/>
                <w:lang w:val="en-US" w:eastAsia="zh-CN"/>
              </w:rPr>
              <w:t>证书，得</w:t>
            </w:r>
            <w:r>
              <w:rPr>
                <w:rFonts w:hint="eastAsia" w:hAnsi="仿宋_GB2312" w:cs="仿宋_GB2312"/>
                <w:bCs/>
                <w:color w:val="000000"/>
                <w:sz w:val="24"/>
                <w:szCs w:val="24"/>
                <w:lang w:val="en-US" w:eastAsia="zh-CN"/>
              </w:rPr>
              <w:t>2.5</w:t>
            </w:r>
            <w:r>
              <w:rPr>
                <w:rFonts w:hint="eastAsia" w:ascii="仿宋_GB2312" w:hAnsi="仿宋_GB2312" w:eastAsia="仿宋_GB2312" w:cs="仿宋_GB2312"/>
                <w:bCs/>
                <w:color w:val="000000"/>
                <w:sz w:val="24"/>
                <w:szCs w:val="24"/>
                <w:lang w:val="en-US" w:eastAsia="zh-CN"/>
              </w:rPr>
              <w:t>分</w:t>
            </w:r>
            <w:r>
              <w:rPr>
                <w:rFonts w:ascii="仿宋_GB2312" w:hAnsi="仿宋_GB2312" w:eastAsia="仿宋_GB2312" w:cs="仿宋_GB2312"/>
                <w:bCs/>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3.</w:t>
            </w:r>
            <w:r>
              <w:rPr>
                <w:rFonts w:hint="eastAsia" w:ascii="仿宋_GB2312" w:hAnsi="仿宋_GB2312" w:eastAsia="仿宋_GB2312" w:cs="仿宋_GB2312"/>
                <w:bCs/>
                <w:color w:val="000000"/>
                <w:sz w:val="24"/>
                <w:szCs w:val="24"/>
              </w:rPr>
              <w:t>以上两项合计满分</w:t>
            </w:r>
            <w:r>
              <w:rPr>
                <w:rFonts w:hint="eastAsia" w:hAnsi="仿宋_GB2312" w:cs="仿宋_GB2312"/>
                <w:bCs/>
                <w:color w:val="000000"/>
                <w:sz w:val="24"/>
                <w:szCs w:val="24"/>
                <w:lang w:val="en-US" w:eastAsia="zh-CN"/>
              </w:rPr>
              <w:t>5</w:t>
            </w:r>
            <w:r>
              <w:rPr>
                <w:rFonts w:ascii="仿宋_GB2312" w:hAnsi="仿宋_GB2312" w:eastAsia="仿宋_GB2312" w:cs="仿宋_GB2312"/>
                <w:bCs/>
                <w:color w:val="000000"/>
                <w:sz w:val="24"/>
                <w:szCs w:val="24"/>
              </w:rPr>
              <w:t>分。</w:t>
            </w:r>
          </w:p>
        </w:tc>
        <w:tc>
          <w:tcPr>
            <w:tcW w:w="2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1.要求提供有效的认证证书及资质证书作为得分依据；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lang w:eastAsia="zh-CN"/>
              </w:rPr>
            </w:pPr>
            <w:r>
              <w:rPr>
                <w:rFonts w:ascii="仿宋_GB2312" w:hAnsi="仿宋_GB2312" w:eastAsia="仿宋_GB2312" w:cs="仿宋_GB2312"/>
                <w:bCs/>
                <w:color w:val="000000"/>
                <w:sz w:val="24"/>
                <w:szCs w:val="24"/>
              </w:rPr>
              <w:t>2.以上资料均要求提供扫描件，原件备查</w:t>
            </w:r>
            <w:r>
              <w:rPr>
                <w:rFonts w:hint="eastAsia" w:ascii="仿宋_GB2312" w:hAnsi="仿宋_GB2312" w:eastAsia="仿宋_GB2312" w:cs="仿宋_GB2312"/>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rPr>
            </w:pP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经验</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w:t>
            </w:r>
            <w:r>
              <w:rPr>
                <w:rFonts w:hint="eastAsia" w:hAnsi="仿宋_GB2312" w:cs="仿宋_GB2312"/>
                <w:bCs/>
                <w:color w:val="000000"/>
                <w:sz w:val="24"/>
                <w:szCs w:val="24"/>
                <w:lang w:val="en-US" w:eastAsia="zh-CN"/>
              </w:rPr>
              <w:t>10</w:t>
            </w:r>
            <w:r>
              <w:rPr>
                <w:rFonts w:hint="eastAsia" w:ascii="仿宋_GB2312" w:hAnsi="仿宋_GB2312" w:eastAsia="仿宋_GB2312" w:cs="仿宋_GB2312"/>
                <w:bCs/>
                <w:color w:val="000000"/>
                <w:sz w:val="24"/>
                <w:szCs w:val="24"/>
              </w:rPr>
              <w:t>分）</w:t>
            </w:r>
          </w:p>
        </w:tc>
        <w:tc>
          <w:tcPr>
            <w:tcW w:w="42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自</w:t>
            </w:r>
            <w:r>
              <w:rPr>
                <w:rFonts w:ascii="仿宋_GB2312" w:hAnsi="仿宋_GB2312" w:eastAsia="仿宋_GB2312" w:cs="仿宋_GB2312"/>
                <w:bCs/>
                <w:color w:val="000000"/>
                <w:sz w:val="24"/>
                <w:szCs w:val="24"/>
              </w:rPr>
              <w:t>20</w:t>
            </w:r>
            <w:r>
              <w:rPr>
                <w:rFonts w:hint="eastAsia" w:hAnsi="仿宋_GB2312" w:cs="仿宋_GB2312"/>
                <w:bCs/>
                <w:color w:val="000000"/>
                <w:sz w:val="24"/>
                <w:szCs w:val="24"/>
                <w:lang w:val="en-US" w:eastAsia="zh-CN"/>
              </w:rPr>
              <w:t>22</w:t>
            </w:r>
            <w:r>
              <w:rPr>
                <w:rFonts w:ascii="仿宋_GB2312" w:hAnsi="仿宋_GB2312" w:eastAsia="仿宋_GB2312" w:cs="仿宋_GB2312"/>
                <w:bCs/>
                <w:color w:val="000000"/>
                <w:sz w:val="24"/>
                <w:szCs w:val="24"/>
              </w:rPr>
              <w:t>年1月1日至今（以合同签订时间或中标通知书落款时间为准），承担过类似项目：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rPr>
              <w:t>各级政府委托的</w:t>
            </w:r>
            <w:r>
              <w:rPr>
                <w:rFonts w:hint="eastAsia" w:hAnsi="仿宋_GB2312" w:cs="仿宋_GB2312"/>
                <w:bCs/>
                <w:color w:val="000000"/>
                <w:sz w:val="24"/>
                <w:szCs w:val="24"/>
                <w:lang w:val="en-US" w:eastAsia="zh-CN"/>
              </w:rPr>
              <w:t>后评价</w:t>
            </w:r>
            <w:r>
              <w:rPr>
                <w:rFonts w:hint="eastAsia" w:ascii="仿宋_GB2312" w:hAnsi="仿宋_GB2312" w:eastAsia="仿宋_GB2312" w:cs="仿宋_GB2312"/>
                <w:bCs/>
                <w:color w:val="000000"/>
                <w:sz w:val="24"/>
                <w:szCs w:val="24"/>
              </w:rPr>
              <w:t>项目咨询业绩，每个项目得</w:t>
            </w:r>
            <w:r>
              <w:rPr>
                <w:rFonts w:hint="eastAsia" w:hAnsi="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rPr>
              <w:t>本项满分</w:t>
            </w:r>
            <w:r>
              <w:rPr>
                <w:rFonts w:hint="eastAsia" w:hAnsi="仿宋_GB2312" w:cs="仿宋_GB2312"/>
                <w:bCs/>
                <w:color w:val="000000"/>
                <w:sz w:val="24"/>
                <w:szCs w:val="24"/>
                <w:lang w:val="en-US" w:eastAsia="zh-CN"/>
              </w:rPr>
              <w:t>10</w:t>
            </w:r>
            <w:r>
              <w:rPr>
                <w:rFonts w:hint="eastAsia" w:ascii="仿宋_GB2312" w:hAnsi="仿宋_GB2312" w:eastAsia="仿宋_GB2312" w:cs="仿宋_GB2312"/>
                <w:bCs/>
                <w:color w:val="000000"/>
                <w:sz w:val="24"/>
                <w:szCs w:val="24"/>
              </w:rPr>
              <w:t>分。</w:t>
            </w:r>
          </w:p>
        </w:tc>
        <w:tc>
          <w:tcPr>
            <w:tcW w:w="2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1.投标人须提供项目合同关键页或中标通知书原件扫描件，作为得分依据。未提供或提供不清晰导致无法判断的，不得分。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2.以上资料均要求提供扫描件，原件备查。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rPr>
            </w:pPr>
          </w:p>
        </w:tc>
        <w:tc>
          <w:tcPr>
            <w:tcW w:w="9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诚信管理情况（5分）</w:t>
            </w:r>
          </w:p>
        </w:tc>
        <w:tc>
          <w:tcPr>
            <w:tcW w:w="423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Times New Roman" w:hAnsi="Times New Roman" w:eastAsia="仿宋_GB2312" w:cs="Times New Roman"/>
                <w:bCs/>
                <w:color w:val="000000"/>
                <w:sz w:val="24"/>
                <w:szCs w:val="24"/>
              </w:rPr>
            </w:pPr>
            <w:r>
              <w:rPr>
                <w:rFonts w:hint="eastAsia" w:ascii="仿宋_GB2312" w:hAnsi="仿宋_GB2312" w:eastAsia="仿宋_GB2312" w:cs="仿宋_GB2312"/>
                <w:bCs/>
                <w:color w:val="000000"/>
                <w:sz w:val="24"/>
                <w:szCs w:val="24"/>
              </w:rPr>
              <w:t>符合国家法规政策关于诚信管理的要求，至投标截止时间，投标人没有在信用中国网（www.creditchina.gov.cn）或中国政府采购网（www.ccgp.gov.cn）或深圳市政府采购监督管理网（zfcg.sz.gov.cn）或深圳公共资源交易中心市区政府采购统一平台（www.szggzy.com）或“国家企业信用信息公示系统”（www.gsxt.gov.cn）等官网中列入“失信被执行人、重大税收违法案件当事人名单、政府采购严重违法失信行为记录名单”。</w:t>
            </w:r>
          </w:p>
        </w:tc>
        <w:tc>
          <w:tcPr>
            <w:tcW w:w="28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r>
              <w:rPr>
                <w:rFonts w:ascii="仿宋_GB2312" w:hAnsi="仿宋_GB2312" w:eastAsia="仿宋_GB2312" w:cs="仿宋_GB2312"/>
                <w:bCs/>
                <w:color w:val="000000"/>
                <w:sz w:val="24"/>
                <w:szCs w:val="24"/>
              </w:rPr>
              <w:t>.投标人</w:t>
            </w:r>
            <w:r>
              <w:rPr>
                <w:rFonts w:hint="eastAsia" w:ascii="仿宋_GB2312" w:hAnsi="仿宋_GB2312" w:eastAsia="仿宋_GB2312" w:cs="仿宋_GB2312"/>
                <w:bCs/>
                <w:color w:val="000000"/>
                <w:sz w:val="24"/>
                <w:szCs w:val="24"/>
              </w:rPr>
              <w:t>须提供相关截图作为佐证材料。</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ascii="仿宋_GB2312" w:hAnsi="仿宋_GB2312" w:eastAsia="仿宋_GB2312" w:cs="仿宋_GB2312"/>
                <w:bCs/>
                <w:color w:val="000000"/>
                <w:sz w:val="24"/>
                <w:szCs w:val="24"/>
              </w:rPr>
              <w:t>2.</w:t>
            </w:r>
            <w:r>
              <w:rPr>
                <w:rFonts w:hint="eastAsia" w:ascii="仿宋_GB2312" w:hAnsi="仿宋_GB2312" w:eastAsia="仿宋_GB2312" w:cs="仿宋_GB2312"/>
                <w:bCs/>
                <w:color w:val="000000"/>
                <w:sz w:val="24"/>
                <w:szCs w:val="24"/>
              </w:rPr>
              <w:t>投标人在参与政府采购活动中存在诚信相关问题且在主管部门相关处理措施实施期限内的，本项不得分，否则得满分。</w:t>
            </w:r>
          </w:p>
        </w:tc>
      </w:tr>
    </w:tbl>
    <w:p>
      <w:pPr>
        <w:numPr>
          <w:ilvl w:val="0"/>
          <w:numId w:val="0"/>
        </w:numPr>
        <w:spacing w:line="560" w:lineRule="exact"/>
        <w:ind w:firstLine="642" w:firstLineChars="200"/>
        <w:rPr>
          <w:rFonts w:ascii="仿宋_GB2312" w:hAnsi="仿宋_GB2312" w:eastAsia="仿宋_GB2312" w:cs="Times New Roman"/>
          <w:b/>
          <w:bCs/>
          <w:color w:val="000000"/>
          <w:sz w:val="32"/>
          <w:szCs w:val="32"/>
        </w:rPr>
      </w:pPr>
      <w:r>
        <w:rPr>
          <w:rFonts w:hint="eastAsia" w:hAnsi="仿宋_GB2312" w:cs="Times New Roman"/>
          <w:b/>
          <w:bCs/>
          <w:color w:val="000000"/>
          <w:sz w:val="32"/>
          <w:szCs w:val="32"/>
          <w:lang w:val="en-US" w:eastAsia="zh-CN"/>
        </w:rPr>
        <w:t>2.</w:t>
      </w:r>
      <w:r>
        <w:rPr>
          <w:rFonts w:hint="eastAsia" w:ascii="仿宋_GB2312" w:hAnsi="仿宋_GB2312" w:eastAsia="仿宋_GB2312" w:cs="Times New Roman"/>
          <w:b/>
          <w:bCs/>
          <w:color w:val="000000"/>
          <w:sz w:val="32"/>
          <w:szCs w:val="32"/>
        </w:rPr>
        <w:t>技术能力</w:t>
      </w:r>
    </w:p>
    <w:tbl>
      <w:tblPr>
        <w:tblStyle w:val="14"/>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428"/>
        <w:gridCol w:w="2434"/>
        <w:gridCol w:w="4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438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w:t>
            </w:r>
          </w:p>
        </w:tc>
        <w:tc>
          <w:tcPr>
            <w:tcW w:w="4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技术能力评分</w:t>
            </w:r>
            <w:r>
              <w:rPr>
                <w:rFonts w:hint="eastAsia" w:hAnsi="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0分</w:t>
            </w: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sz w:val="24"/>
                <w:szCs w:val="24"/>
              </w:rPr>
            </w:pPr>
            <w:r>
              <w:rPr>
                <w:rFonts w:hint="eastAsia" w:hAnsi="仿宋_GB2312" w:cs="仿宋_GB2312"/>
                <w:bCs/>
                <w:color w:val="000000"/>
                <w:sz w:val="24"/>
                <w:szCs w:val="24"/>
                <w:lang w:val="en-US" w:eastAsia="zh-CN"/>
              </w:rPr>
              <w:t>项目实施</w:t>
            </w:r>
            <w:r>
              <w:rPr>
                <w:rFonts w:hint="eastAsia" w:ascii="仿宋_GB2312" w:hAnsi="仿宋_GB2312" w:eastAsia="仿宋_GB2312" w:cs="仿宋_GB2312"/>
                <w:bCs/>
                <w:color w:val="000000"/>
                <w:sz w:val="24"/>
                <w:szCs w:val="24"/>
              </w:rPr>
              <w:t>方案</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w:t>
            </w:r>
            <w:r>
              <w:rPr>
                <w:rFonts w:hint="eastAsia" w:ascii="仿宋_GB2312" w:hAnsi="仿宋_GB2312" w:eastAsia="仿宋_GB2312" w:cs="仿宋_GB2312"/>
                <w:bCs/>
                <w:color w:val="000000"/>
                <w:sz w:val="24"/>
                <w:szCs w:val="24"/>
                <w:lang w:val="en-US" w:eastAsia="zh-CN"/>
              </w:rPr>
              <w:t>1</w:t>
            </w:r>
            <w:r>
              <w:rPr>
                <w:rFonts w:hint="eastAsia" w:hAnsi="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本项目需求理解准确、整体设计方案合理，理念领先，功能考虑全面，规划合理，切实可行，内容包含：</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工作方法</w:t>
            </w:r>
            <w:r>
              <w:rPr>
                <w:rFonts w:hint="eastAsia" w:ascii="仿宋_GB2312" w:hAnsi="仿宋_GB2312" w:eastAsia="仿宋_GB2312" w:cs="仿宋_GB2312"/>
                <w:bCs/>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工作内容与思路</w:t>
            </w:r>
            <w:r>
              <w:rPr>
                <w:rFonts w:hint="eastAsia" w:ascii="仿宋_GB2312" w:hAnsi="仿宋_GB2312" w:eastAsia="仿宋_GB2312" w:cs="仿宋_GB2312"/>
                <w:bCs/>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工作流程</w:t>
            </w:r>
            <w:r>
              <w:rPr>
                <w:rFonts w:hint="eastAsia" w:ascii="仿宋_GB2312" w:hAnsi="仿宋_GB2312" w:eastAsia="仿宋_GB2312" w:cs="仿宋_GB2312"/>
                <w:bCs/>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p>
        </w:tc>
        <w:tc>
          <w:tcPr>
            <w:tcW w:w="4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1、3项内容，满足三项得</w:t>
            </w:r>
            <w:r>
              <w:rPr>
                <w:rFonts w:hint="eastAsia" w:hAnsi="仿宋_GB2312" w:cs="仿宋_GB2312"/>
                <w:bCs/>
                <w:color w:val="000000"/>
                <w:sz w:val="24"/>
                <w:szCs w:val="24"/>
                <w:lang w:val="en-US" w:eastAsia="zh-CN"/>
              </w:rPr>
              <w:t>6</w:t>
            </w:r>
            <w:r>
              <w:rPr>
                <w:rFonts w:hint="eastAsia" w:ascii="仿宋_GB2312" w:hAnsi="仿宋_GB2312" w:eastAsia="仿宋_GB2312" w:cs="仿宋_GB2312"/>
                <w:bCs/>
                <w:color w:val="000000"/>
                <w:sz w:val="24"/>
                <w:szCs w:val="24"/>
                <w:lang w:val="en-US" w:eastAsia="zh-CN"/>
              </w:rPr>
              <w:t>分，满足二项得</w:t>
            </w:r>
            <w:r>
              <w:rPr>
                <w:rFonts w:hint="eastAsia" w:hAnsi="仿宋_GB2312" w:cs="仿宋_GB2312"/>
                <w:bCs/>
                <w:color w:val="000000"/>
                <w:sz w:val="24"/>
                <w:szCs w:val="24"/>
                <w:lang w:val="en-US" w:eastAsia="zh-CN"/>
              </w:rPr>
              <w:t>4</w:t>
            </w:r>
            <w:r>
              <w:rPr>
                <w:rFonts w:hint="eastAsia" w:ascii="仿宋_GB2312" w:hAnsi="仿宋_GB2312" w:eastAsia="仿宋_GB2312" w:cs="仿宋_GB2312"/>
                <w:bCs/>
                <w:color w:val="000000"/>
                <w:sz w:val="24"/>
                <w:szCs w:val="24"/>
                <w:lang w:val="en-US" w:eastAsia="zh-CN"/>
              </w:rPr>
              <w:t>分，满足一项得</w:t>
            </w:r>
            <w:r>
              <w:rPr>
                <w:rFonts w:hint="eastAsia" w:hAnsi="仿宋_GB2312" w:cs="仿宋_GB2312"/>
                <w:bCs/>
                <w:color w:val="000000"/>
                <w:sz w:val="24"/>
                <w:szCs w:val="24"/>
                <w:lang w:val="en-US" w:eastAsia="zh-CN"/>
              </w:rPr>
              <w:t>2</w:t>
            </w:r>
            <w:r>
              <w:rPr>
                <w:rFonts w:hint="eastAsia" w:ascii="仿宋_GB2312" w:hAnsi="仿宋_GB2312" w:eastAsia="仿宋_GB2312" w:cs="仿宋_GB2312"/>
                <w:bCs/>
                <w:color w:val="000000"/>
                <w:sz w:val="24"/>
                <w:szCs w:val="24"/>
                <w:lang w:val="en-US"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2、在此基础上，</w:t>
            </w:r>
            <w:r>
              <w:rPr>
                <w:rFonts w:hint="eastAsia" w:ascii="仿宋_GB2312" w:hAnsi="仿宋_GB2312" w:eastAsia="仿宋_GB2312" w:cs="仿宋_GB2312"/>
                <w:bCs/>
                <w:color w:val="000000"/>
                <w:sz w:val="24"/>
                <w:szCs w:val="24"/>
              </w:rPr>
              <w:t>采购评审小组</w:t>
            </w:r>
            <w:r>
              <w:rPr>
                <w:rFonts w:hint="eastAsia" w:ascii="仿宋_GB2312" w:hAnsi="仿宋_GB2312" w:eastAsia="仿宋_GB2312" w:cs="仿宋_GB2312"/>
                <w:bCs/>
                <w:color w:val="000000"/>
                <w:sz w:val="24"/>
                <w:szCs w:val="24"/>
                <w:lang w:val="en-US" w:eastAsia="zh-CN"/>
              </w:rPr>
              <w:t>根据各投标人的具体内容进一步评审：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（1）方案中内容体现完整，可操作性强，加</w:t>
            </w:r>
            <w:r>
              <w:rPr>
                <w:rFonts w:hint="eastAsia" w:hAnsi="仿宋_GB2312" w:cs="仿宋_GB2312"/>
                <w:bCs/>
                <w:color w:val="000000"/>
                <w:sz w:val="24"/>
                <w:szCs w:val="24"/>
                <w:lang w:val="en-US" w:eastAsia="zh-CN"/>
              </w:rPr>
              <w:t>4</w:t>
            </w:r>
            <w:r>
              <w:rPr>
                <w:rFonts w:hint="eastAsia" w:ascii="仿宋_GB2312" w:hAnsi="仿宋_GB2312" w:eastAsia="仿宋_GB2312" w:cs="仿宋_GB2312"/>
                <w:bCs/>
                <w:color w:val="000000"/>
                <w:sz w:val="24"/>
                <w:szCs w:val="24"/>
                <w:lang w:val="en-US"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（2）方案中内容体现完整，可操作性较好，加</w:t>
            </w:r>
            <w:r>
              <w:rPr>
                <w:rFonts w:hint="eastAsia" w:hAnsi="仿宋_GB2312" w:cs="仿宋_GB2312"/>
                <w:bCs/>
                <w:color w:val="000000"/>
                <w:sz w:val="24"/>
                <w:szCs w:val="24"/>
                <w:lang w:val="en-US" w:eastAsia="zh-CN"/>
              </w:rPr>
              <w:t>3</w:t>
            </w:r>
            <w:r>
              <w:rPr>
                <w:rFonts w:hint="eastAsia" w:ascii="仿宋_GB2312" w:hAnsi="仿宋_GB2312" w:eastAsia="仿宋_GB2312" w:cs="仿宋_GB2312"/>
                <w:bCs/>
                <w:color w:val="000000"/>
                <w:sz w:val="24"/>
                <w:szCs w:val="24"/>
                <w:lang w:val="en-US"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（3）方案中内容体现较为完整，可操作性一般，加</w:t>
            </w:r>
            <w:r>
              <w:rPr>
                <w:rFonts w:hint="eastAsia" w:hAnsi="仿宋_GB2312" w:cs="仿宋_GB2312"/>
                <w:bCs/>
                <w:color w:val="000000"/>
                <w:sz w:val="24"/>
                <w:szCs w:val="24"/>
                <w:lang w:val="en-US" w:eastAsia="zh-CN"/>
              </w:rPr>
              <w:t>1</w:t>
            </w:r>
            <w:r>
              <w:rPr>
                <w:rFonts w:hint="eastAsia" w:ascii="仿宋_GB2312" w:hAnsi="仿宋_GB2312" w:eastAsia="仿宋_GB2312" w:cs="仿宋_GB2312"/>
                <w:bCs/>
                <w:color w:val="000000"/>
                <w:sz w:val="24"/>
                <w:szCs w:val="24"/>
                <w:lang w:val="en-US" w:eastAsia="zh-CN"/>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（4）方案中内容体现不完整，可操作性差，不加分。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szCs w:val="24"/>
              </w:rPr>
            </w:pP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重难点分析</w:t>
            </w:r>
            <w:r>
              <w:rPr>
                <w:rFonts w:hint="eastAsia" w:ascii="仿宋_GB2312" w:hAnsi="仿宋_GB2312" w:eastAsia="仿宋_GB2312" w:cs="仿宋_GB2312"/>
                <w:sz w:val="24"/>
                <w:szCs w:val="24"/>
                <w:highlight w:val="none"/>
              </w:rPr>
              <w:t>及应对措施、合理化建议</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（1</w:t>
            </w:r>
            <w:r>
              <w:rPr>
                <w:rFonts w:hint="eastAsia" w:ascii="仿宋_GB2312" w:hAnsi="仿宋_GB2312" w:eastAsia="仿宋_GB2312" w:cs="仿宋_GB2312"/>
                <w:bCs/>
                <w:color w:val="000000"/>
                <w:sz w:val="24"/>
                <w:szCs w:val="24"/>
                <w:lang w:val="en-US" w:eastAsia="zh-CN"/>
              </w:rPr>
              <w:t>0</w:t>
            </w:r>
            <w:r>
              <w:rPr>
                <w:rFonts w:hint="eastAsia" w:ascii="仿宋_GB2312" w:hAnsi="仿宋_GB2312" w:eastAsia="仿宋_GB2312" w:cs="仿宋_GB2312"/>
                <w:bCs/>
                <w:color w:val="000000"/>
                <w:sz w:val="24"/>
                <w:szCs w:val="24"/>
              </w:rPr>
              <w:t>分）</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对本项目重点难点进行分析，找准问题的原因，并提供对项目难点的技术支持及对应措施，进行合理化建议。内容包含：</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1、项目重点难点分析；</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2、重难点应对措施；</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3、相关的合理化建议。</w:t>
            </w:r>
          </w:p>
        </w:tc>
        <w:tc>
          <w:tcPr>
            <w:tcW w:w="4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3项内容，满足三项得</w:t>
            </w:r>
            <w:r>
              <w:rPr>
                <w:rFonts w:hint="eastAsia" w:ascii="仿宋_GB2312" w:hAnsi="仿宋_GB2312" w:eastAsia="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分，满足二项得</w:t>
            </w: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rPr>
              <w:t>分，满足一项得</w:t>
            </w: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在此基础上，采购评审小组根据各投标人的具体内容进一步评审：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项目重点难点分析透彻、解决方案针对性强的，加4分；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项目重点难点分析基本清楚、解决方案针对性较好的，加</w:t>
            </w:r>
            <w:r>
              <w:rPr>
                <w:rFonts w:hint="eastAsia" w:hAnsi="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项目重点难点分析一般、解决方案针对性一般的，加1分；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项目重点难点分析不全面、解决方案差的，不加分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szCs w:val="24"/>
              </w:rPr>
            </w:pP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质量保障措施及方案（</w:t>
            </w:r>
            <w:r>
              <w:rPr>
                <w:rFonts w:hint="eastAsia" w:hAnsi="仿宋_GB2312" w:cs="仿宋_GB2312"/>
                <w:bCs/>
                <w:color w:val="000000"/>
                <w:sz w:val="24"/>
                <w:szCs w:val="24"/>
                <w:lang w:val="en-US" w:eastAsia="zh-CN"/>
              </w:rPr>
              <w:t>5</w:t>
            </w:r>
            <w:r>
              <w:rPr>
                <w:rFonts w:hint="eastAsia" w:ascii="仿宋_GB2312" w:hAnsi="仿宋_GB2312" w:eastAsia="仿宋_GB2312" w:cs="仿宋_GB2312"/>
                <w:bCs/>
                <w:color w:val="000000"/>
                <w:sz w:val="24"/>
                <w:szCs w:val="24"/>
              </w:rPr>
              <w:t>分）</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投标人提供质量保障措施及方案，内容包含：</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、项目时间管理制度与措施；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、项目质量管理制度与措施；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、项目期间的安全管理措施。</w:t>
            </w:r>
          </w:p>
        </w:tc>
        <w:tc>
          <w:tcPr>
            <w:tcW w:w="4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1、3</w:t>
            </w:r>
            <w:r>
              <w:rPr>
                <w:rFonts w:hint="eastAsia" w:ascii="仿宋_GB2312" w:hAnsi="仿宋_GB2312" w:eastAsia="仿宋_GB2312" w:cs="仿宋_GB2312"/>
                <w:bCs/>
                <w:color w:val="000000"/>
                <w:sz w:val="24"/>
                <w:szCs w:val="24"/>
              </w:rPr>
              <w:t>项内容，满足三项得</w:t>
            </w:r>
            <w:r>
              <w:rPr>
                <w:rFonts w:hint="eastAsia" w:hAnsi="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分，满足二项得</w:t>
            </w:r>
            <w:r>
              <w:rPr>
                <w:rFonts w:hint="eastAsia" w:hAnsi="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分，满足一项得</w:t>
            </w:r>
            <w:r>
              <w:rPr>
                <w:rFonts w:hint="eastAsia" w:hAnsi="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在此基础上，采购评审小组根据各</w:t>
            </w:r>
            <w:r>
              <w:rPr>
                <w:rFonts w:hint="eastAsia" w:ascii="仿宋_GB2312" w:hAnsi="仿宋_GB2312" w:eastAsia="仿宋_GB2312" w:cs="仿宋_GB2312"/>
                <w:bCs/>
                <w:color w:val="000000"/>
                <w:sz w:val="24"/>
                <w:szCs w:val="24"/>
                <w:lang w:val="en-US" w:eastAsia="zh-CN"/>
              </w:rPr>
              <w:t>投标人</w:t>
            </w:r>
            <w:r>
              <w:rPr>
                <w:rFonts w:hint="eastAsia" w:ascii="仿宋_GB2312" w:hAnsi="仿宋_GB2312" w:eastAsia="仿宋_GB2312" w:cs="仿宋_GB2312"/>
                <w:bCs/>
                <w:color w:val="000000"/>
                <w:sz w:val="24"/>
                <w:szCs w:val="24"/>
              </w:rPr>
              <w:t>的内容</w:t>
            </w:r>
            <w:r>
              <w:rPr>
                <w:rFonts w:hint="eastAsia" w:ascii="仿宋_GB2312" w:hAnsi="仿宋_GB2312" w:eastAsia="仿宋_GB2312" w:cs="仿宋_GB2312"/>
                <w:bCs/>
                <w:color w:val="000000"/>
                <w:sz w:val="24"/>
                <w:szCs w:val="24"/>
                <w:lang w:val="en-US" w:eastAsia="zh-CN"/>
              </w:rPr>
              <w:t>完整性</w:t>
            </w:r>
            <w:r>
              <w:rPr>
                <w:rFonts w:hint="eastAsia" w:ascii="仿宋_GB2312" w:hAnsi="仿宋_GB2312" w:eastAsia="仿宋_GB2312" w:cs="仿宋_GB2312"/>
                <w:bCs/>
                <w:color w:val="000000"/>
                <w:sz w:val="24"/>
                <w:szCs w:val="24"/>
              </w:rPr>
              <w:t>进一步评审：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项目定位认知准确，服务质量管控措施十分贴合项目需求的，加</w:t>
            </w:r>
            <w:r>
              <w:rPr>
                <w:rFonts w:hint="eastAsia" w:hAnsi="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项目定位认知基本准确，服务质量管控措施基本贴合项目需求的，加</w:t>
            </w:r>
            <w:r>
              <w:rPr>
                <w:rFonts w:hint="eastAsia" w:hAnsi="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项目定位认知一般，服务质量管控措施一般的，加</w:t>
            </w:r>
            <w:r>
              <w:rPr>
                <w:rFonts w:hint="eastAsia" w:hAnsi="仿宋_GB2312" w:cs="仿宋_GB2312"/>
                <w:bCs/>
                <w:color w:val="000000"/>
                <w:sz w:val="24"/>
                <w:szCs w:val="24"/>
                <w:lang w:val="en-US" w:eastAsia="zh-CN"/>
              </w:rPr>
              <w:t>0.5</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4</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rPr>
              <w:t>项目定位认知模糊，无具体的服务质量管控措施的，不加分。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1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仿宋_GB2312" w:eastAsia="仿宋_GB2312" w:cs="仿宋_GB2312"/>
                <w:bCs/>
                <w:color w:val="000000"/>
                <w:sz w:val="24"/>
                <w:szCs w:val="24"/>
              </w:rPr>
            </w:pPr>
          </w:p>
        </w:tc>
        <w:tc>
          <w:tcPr>
            <w:tcW w:w="142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服务承诺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（5分）</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投标人提供《项目服务承诺》从以下</w:t>
            </w: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个方面进行评审：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给出明确的</w:t>
            </w:r>
            <w:r>
              <w:rPr>
                <w:rFonts w:hint="eastAsia" w:ascii="仿宋_GB2312" w:hAnsi="仿宋_GB2312" w:eastAsia="仿宋_GB2312" w:cs="仿宋_GB2312"/>
                <w:bCs/>
                <w:color w:val="000000"/>
                <w:sz w:val="24"/>
                <w:szCs w:val="24"/>
                <w:lang w:val="en-US" w:eastAsia="zh-CN"/>
              </w:rPr>
              <w:t>承诺</w:t>
            </w:r>
            <w:r>
              <w:rPr>
                <w:rFonts w:hint="eastAsia" w:ascii="仿宋_GB2312" w:hAnsi="仿宋_GB2312" w:eastAsia="仿宋_GB2312" w:cs="仿宋_GB2312"/>
                <w:bCs/>
                <w:color w:val="000000"/>
                <w:sz w:val="24"/>
                <w:szCs w:val="24"/>
              </w:rPr>
              <w:t>服务年限；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详细阐述响应时间；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详细阐述项目</w:t>
            </w:r>
            <w:r>
              <w:rPr>
                <w:rFonts w:hint="eastAsia" w:ascii="仿宋_GB2312" w:hAnsi="仿宋_GB2312" w:eastAsia="仿宋_GB2312" w:cs="仿宋_GB2312"/>
                <w:bCs/>
                <w:color w:val="000000"/>
                <w:sz w:val="24"/>
                <w:szCs w:val="24"/>
                <w:lang w:val="en-US" w:eastAsia="zh-CN"/>
              </w:rPr>
              <w:t>承诺</w:t>
            </w:r>
            <w:r>
              <w:rPr>
                <w:rFonts w:hint="eastAsia" w:ascii="仿宋_GB2312" w:hAnsi="仿宋_GB2312" w:eastAsia="仿宋_GB2312" w:cs="仿宋_GB2312"/>
                <w:bCs/>
                <w:color w:val="000000"/>
                <w:sz w:val="24"/>
                <w:szCs w:val="24"/>
              </w:rPr>
              <w:t>服务内容。</w:t>
            </w:r>
          </w:p>
        </w:tc>
        <w:tc>
          <w:tcPr>
            <w:tcW w:w="43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1、3</w:t>
            </w:r>
            <w:r>
              <w:rPr>
                <w:rFonts w:hint="eastAsia" w:ascii="仿宋_GB2312" w:hAnsi="仿宋_GB2312" w:eastAsia="仿宋_GB2312" w:cs="仿宋_GB2312"/>
                <w:bCs/>
                <w:color w:val="000000"/>
                <w:sz w:val="24"/>
                <w:szCs w:val="24"/>
              </w:rPr>
              <w:t>项内容，</w:t>
            </w:r>
            <w:r>
              <w:rPr>
                <w:rFonts w:hint="eastAsia" w:ascii="仿宋_GB2312" w:hAnsi="仿宋_GB2312" w:eastAsia="仿宋_GB2312" w:cs="仿宋_GB2312"/>
                <w:bCs/>
                <w:color w:val="000000"/>
                <w:sz w:val="24"/>
                <w:szCs w:val="24"/>
                <w:lang w:val="en-US" w:eastAsia="zh-CN"/>
              </w:rPr>
              <w:t>满足三项</w:t>
            </w:r>
            <w:r>
              <w:rPr>
                <w:rFonts w:hint="eastAsia" w:ascii="仿宋_GB2312" w:hAnsi="仿宋_GB2312" w:eastAsia="仿宋_GB2312" w:cs="仿宋_GB2312"/>
                <w:bCs/>
                <w:color w:val="000000"/>
                <w:sz w:val="24"/>
                <w:szCs w:val="24"/>
              </w:rPr>
              <w:t>得</w:t>
            </w:r>
            <w:r>
              <w:rPr>
                <w:rFonts w:hint="eastAsia" w:ascii="仿宋_GB2312" w:hAnsi="仿宋_GB2312" w:eastAsia="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分</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满足二项得2分，满足一项得1分</w:t>
            </w:r>
            <w:r>
              <w:rPr>
                <w:rFonts w:hint="eastAsia" w:ascii="仿宋_GB2312" w:hAnsi="仿宋_GB2312" w:eastAsia="仿宋_GB2312" w:cs="仿宋_GB2312"/>
                <w:bCs/>
                <w:color w:val="000000"/>
                <w:sz w:val="24"/>
                <w:szCs w:val="24"/>
              </w:rPr>
              <w:t>，无《项目服务承诺》本项不得分。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在此基础上，采购评审小组根据各</w:t>
            </w:r>
            <w:r>
              <w:rPr>
                <w:rFonts w:hint="eastAsia" w:ascii="仿宋_GB2312" w:hAnsi="仿宋_GB2312" w:eastAsia="仿宋_GB2312" w:cs="仿宋_GB2312"/>
                <w:bCs/>
                <w:color w:val="000000"/>
                <w:sz w:val="24"/>
                <w:szCs w:val="24"/>
                <w:lang w:val="en-US" w:eastAsia="zh-CN"/>
              </w:rPr>
              <w:t>投标人</w:t>
            </w:r>
            <w:r>
              <w:rPr>
                <w:rFonts w:hint="eastAsia" w:ascii="仿宋_GB2312" w:hAnsi="仿宋_GB2312" w:eastAsia="仿宋_GB2312" w:cs="仿宋_GB2312"/>
                <w:bCs/>
                <w:color w:val="000000"/>
                <w:sz w:val="24"/>
                <w:szCs w:val="24"/>
              </w:rPr>
              <w:t>的内容</w:t>
            </w:r>
            <w:r>
              <w:rPr>
                <w:rFonts w:hint="eastAsia" w:ascii="仿宋_GB2312" w:hAnsi="仿宋_GB2312" w:eastAsia="仿宋_GB2312" w:cs="仿宋_GB2312"/>
                <w:bCs/>
                <w:color w:val="000000"/>
                <w:sz w:val="24"/>
                <w:szCs w:val="24"/>
                <w:lang w:val="en-US" w:eastAsia="zh-CN"/>
              </w:rPr>
              <w:t>完整性</w:t>
            </w:r>
            <w:r>
              <w:rPr>
                <w:rFonts w:hint="eastAsia" w:ascii="仿宋_GB2312" w:hAnsi="仿宋_GB2312" w:eastAsia="仿宋_GB2312" w:cs="仿宋_GB2312"/>
                <w:bCs/>
                <w:color w:val="000000"/>
                <w:sz w:val="24"/>
                <w:szCs w:val="24"/>
              </w:rPr>
              <w:t>进一步评审：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w:t>
            </w:r>
            <w:r>
              <w:rPr>
                <w:rFonts w:hint="eastAsia" w:hAnsi="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）服务承诺内容全面，满足招标文件要求的，得2分；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hAnsi="仿宋_GB2312" w:cs="仿宋_GB2312"/>
                <w:bCs/>
                <w:color w:val="000000"/>
                <w:sz w:val="24"/>
                <w:szCs w:val="24"/>
                <w:lang w:eastAsia="zh-CN"/>
              </w:rPr>
              <w:t>（</w:t>
            </w:r>
            <w:r>
              <w:rPr>
                <w:rFonts w:hint="eastAsia" w:hAnsi="仿宋_GB2312" w:cs="仿宋_GB2312"/>
                <w:bCs/>
                <w:color w:val="000000"/>
                <w:sz w:val="24"/>
                <w:szCs w:val="24"/>
                <w:lang w:val="en-US" w:eastAsia="zh-CN"/>
              </w:rPr>
              <w:t>2</w:t>
            </w:r>
            <w:r>
              <w:rPr>
                <w:rFonts w:hint="eastAsia" w:hAnsi="仿宋_GB2312" w:cs="仿宋_GB2312"/>
                <w:bCs/>
                <w:color w:val="000000"/>
                <w:sz w:val="24"/>
                <w:szCs w:val="24"/>
                <w:lang w:eastAsia="zh-CN"/>
              </w:rPr>
              <w:t>）</w:t>
            </w:r>
            <w:r>
              <w:rPr>
                <w:rFonts w:hint="eastAsia" w:ascii="仿宋_GB2312" w:hAnsi="仿宋_GB2312" w:eastAsia="仿宋_GB2312" w:cs="仿宋_GB2312"/>
                <w:bCs/>
                <w:color w:val="000000"/>
                <w:sz w:val="24"/>
                <w:szCs w:val="24"/>
              </w:rPr>
              <w:t>服务承诺内容基本到位，满足招标文件要求的，得</w:t>
            </w:r>
            <w:r>
              <w:rPr>
                <w:rFonts w:hint="eastAsia" w:ascii="仿宋_GB2312" w:hAnsi="仿宋_GB2312" w:eastAsia="仿宋_GB2312" w:cs="仿宋_GB2312"/>
                <w:bCs/>
                <w:color w:val="000000"/>
                <w:sz w:val="24"/>
                <w:szCs w:val="24"/>
                <w:lang w:val="en-US" w:eastAsia="zh-CN"/>
              </w:rPr>
              <w:t>1</w:t>
            </w:r>
            <w:r>
              <w:rPr>
                <w:rFonts w:hint="eastAsia" w:ascii="仿宋_GB2312" w:hAnsi="仿宋_GB2312" w:eastAsia="仿宋_GB2312" w:cs="仿宋_GB2312"/>
                <w:bCs/>
                <w:color w:val="000000"/>
                <w:sz w:val="24"/>
                <w:szCs w:val="24"/>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（3）服务承诺内容一般，基本满足招标文件要求的，得</w:t>
            </w:r>
            <w:r>
              <w:rPr>
                <w:rFonts w:hint="eastAsia" w:hAnsi="仿宋_GB2312" w:cs="仿宋_GB2312"/>
                <w:bCs/>
                <w:color w:val="000000"/>
                <w:sz w:val="24"/>
                <w:szCs w:val="24"/>
                <w:lang w:val="en-US" w:eastAsia="zh-CN"/>
              </w:rPr>
              <w:t>0.5</w:t>
            </w:r>
            <w:r>
              <w:rPr>
                <w:rFonts w:hint="eastAsia" w:ascii="仿宋_GB2312" w:hAnsi="仿宋_GB2312" w:eastAsia="仿宋_GB2312" w:cs="仿宋_GB2312"/>
                <w:bCs/>
                <w:color w:val="000000"/>
                <w:sz w:val="24"/>
                <w:szCs w:val="24"/>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（4）服务承诺内容较差的，</w:t>
            </w:r>
            <w:r>
              <w:rPr>
                <w:rFonts w:hint="eastAsia" w:ascii="仿宋_GB2312" w:hAnsi="仿宋_GB2312" w:eastAsia="仿宋_GB2312" w:cs="仿宋_GB2312"/>
                <w:bCs/>
                <w:color w:val="000000"/>
                <w:sz w:val="24"/>
                <w:szCs w:val="24"/>
                <w:lang w:val="en-US" w:eastAsia="zh-CN"/>
              </w:rPr>
              <w:t>不加</w:t>
            </w:r>
            <w:r>
              <w:rPr>
                <w:rFonts w:hint="eastAsia" w:ascii="仿宋_GB2312" w:hAnsi="仿宋_GB2312" w:eastAsia="仿宋_GB2312" w:cs="仿宋_GB2312"/>
                <w:bCs/>
                <w:color w:val="000000"/>
                <w:sz w:val="24"/>
                <w:szCs w:val="24"/>
              </w:rPr>
              <w:t>分。</w:t>
            </w:r>
          </w:p>
        </w:tc>
      </w:tr>
    </w:tbl>
    <w:p>
      <w:pPr>
        <w:spacing w:line="560" w:lineRule="exact"/>
        <w:ind w:firstLine="642" w:firstLineChars="200"/>
        <w:rPr>
          <w:rFonts w:ascii="仿宋_GB2312" w:hAnsi="仿宋_GB2312" w:eastAsia="仿宋_GB2312" w:cs="Times New Roman"/>
          <w:b/>
          <w:bCs/>
          <w:color w:val="000000"/>
          <w:sz w:val="32"/>
          <w:szCs w:val="32"/>
        </w:rPr>
      </w:pPr>
      <w:r>
        <w:rPr>
          <w:rFonts w:hint="eastAsia" w:ascii="仿宋_GB2312" w:hAnsi="仿宋_GB2312" w:eastAsia="仿宋_GB2312" w:cs="Times New Roman"/>
          <w:b/>
          <w:bCs/>
          <w:color w:val="000000"/>
          <w:sz w:val="32"/>
          <w:szCs w:val="32"/>
        </w:rPr>
        <w:t>3.人员配备</w:t>
      </w:r>
    </w:p>
    <w:tbl>
      <w:tblPr>
        <w:tblStyle w:val="14"/>
        <w:tblW w:w="4848" w:type="pc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912"/>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5000" w:type="pct"/>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trPr>
        <w:tc>
          <w:tcPr>
            <w:tcW w:w="34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仿宋_GB2312" w:hAnsi="仿宋_GB2312" w:eastAsia="仿宋_GB2312" w:cs="仿宋_GB2312"/>
                <w:bCs/>
                <w:color w:val="000000"/>
                <w:sz w:val="24"/>
                <w:szCs w:val="24"/>
              </w:rPr>
            </w:pPr>
            <w:r>
              <w:rPr>
                <w:rFonts w:hint="eastAsia" w:hAnsi="仿宋_GB2312" w:cs="仿宋_GB2312"/>
                <w:bCs/>
                <w:color w:val="000000"/>
                <w:sz w:val="24"/>
                <w:szCs w:val="24"/>
                <w:lang w:val="en-US" w:eastAsia="zh-CN"/>
              </w:rPr>
              <w:t>人员配备</w:t>
            </w:r>
            <w:r>
              <w:rPr>
                <w:rFonts w:hint="eastAsia" w:ascii="仿宋_GB2312" w:hAnsi="仿宋_GB2312" w:eastAsia="仿宋_GB2312" w:cs="仿宋_GB2312"/>
                <w:bCs/>
                <w:color w:val="000000"/>
                <w:sz w:val="24"/>
                <w:szCs w:val="24"/>
              </w:rPr>
              <w:t>评分</w:t>
            </w:r>
            <w:r>
              <w:rPr>
                <w:rFonts w:hint="eastAsia" w:hAnsi="仿宋_GB2312" w:cs="仿宋_GB2312"/>
                <w:bCs/>
                <w:color w:val="000000"/>
                <w:sz w:val="24"/>
                <w:szCs w:val="24"/>
                <w:lang w:val="en-US" w:eastAsia="zh-CN"/>
              </w:rPr>
              <w:t>30</w:t>
            </w:r>
            <w:r>
              <w:rPr>
                <w:rFonts w:hint="eastAsia" w:ascii="仿宋_GB2312" w:hAnsi="仿宋_GB2312" w:eastAsia="仿宋_GB2312" w:cs="仿宋_GB2312"/>
                <w:bCs/>
                <w:color w:val="000000"/>
                <w:sz w:val="24"/>
                <w:szCs w:val="24"/>
              </w:rPr>
              <w:t>分</w:t>
            </w:r>
          </w:p>
        </w:tc>
        <w:tc>
          <w:tcPr>
            <w:tcW w:w="1088"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rPr>
              <w:t>项目负责人</w:t>
            </w:r>
            <w:r>
              <w:rPr>
                <w:rFonts w:hint="eastAsia" w:hAnsi="仿宋_GB2312" w:cs="仿宋_GB2312"/>
                <w:bCs/>
                <w:color w:val="000000"/>
                <w:sz w:val="24"/>
                <w:szCs w:val="24"/>
                <w:lang w:val="en-US" w:eastAsia="zh-CN"/>
              </w:rPr>
              <w:t>1人</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w:t>
            </w:r>
            <w:r>
              <w:rPr>
                <w:rFonts w:hint="eastAsia" w:hAnsi="仿宋_GB2312" w:cs="仿宋_GB2312"/>
                <w:bCs/>
                <w:color w:val="000000"/>
                <w:sz w:val="24"/>
                <w:szCs w:val="24"/>
                <w:lang w:val="en-US" w:eastAsia="zh-CN"/>
              </w:rPr>
              <w:t>12</w:t>
            </w:r>
            <w:r>
              <w:rPr>
                <w:rFonts w:hint="eastAsia" w:ascii="仿宋_GB2312" w:hAnsi="仿宋_GB2312" w:eastAsia="仿宋_GB2312" w:cs="仿宋_GB2312"/>
                <w:bCs/>
                <w:color w:val="000000"/>
                <w:sz w:val="24"/>
                <w:szCs w:val="24"/>
              </w:rPr>
              <w:t>分）</w:t>
            </w:r>
          </w:p>
        </w:tc>
        <w:tc>
          <w:tcPr>
            <w:tcW w:w="35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1）具备本科或以上学历；</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2）具备注册咨询工程师（投资）证书；</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3）具备</w:t>
            </w:r>
            <w:r>
              <w:rPr>
                <w:rFonts w:hint="eastAsia" w:hAnsi="仿宋_GB2312" w:cs="仿宋_GB2312"/>
                <w:bCs/>
                <w:color w:val="000000"/>
                <w:sz w:val="24"/>
                <w:szCs w:val="24"/>
                <w:lang w:eastAsia="zh-CN"/>
              </w:rPr>
              <w:t>正</w:t>
            </w:r>
            <w:r>
              <w:rPr>
                <w:rFonts w:hint="eastAsia" w:ascii="仿宋_GB2312" w:hAnsi="仿宋_GB2312" w:eastAsia="仿宋_GB2312" w:cs="仿宋_GB2312"/>
                <w:bCs/>
                <w:color w:val="000000"/>
                <w:sz w:val="24"/>
                <w:szCs w:val="24"/>
              </w:rPr>
              <w:t>高级工程师证书；</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4）以项目负责人身份承担过省级（含副省级城市）政府相关部门委托的后评价咨询业绩。</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项目负责人同时满足以上四项得</w:t>
            </w:r>
            <w:r>
              <w:rPr>
                <w:rFonts w:hint="eastAsia" w:hAnsi="仿宋_GB2312" w:cs="仿宋_GB2312"/>
                <w:bCs/>
                <w:color w:val="000000"/>
                <w:sz w:val="24"/>
                <w:szCs w:val="24"/>
                <w:lang w:val="en-US" w:eastAsia="zh-CN"/>
              </w:rPr>
              <w:t>12</w:t>
            </w:r>
            <w:r>
              <w:rPr>
                <w:rFonts w:hint="eastAsia" w:ascii="仿宋_GB2312" w:hAnsi="仿宋_GB2312" w:eastAsia="仿宋_GB2312" w:cs="仿宋_GB2312"/>
                <w:bCs/>
                <w:color w:val="000000"/>
                <w:sz w:val="24"/>
                <w:szCs w:val="24"/>
              </w:rPr>
              <w:t>分，满足三项得</w:t>
            </w:r>
            <w:r>
              <w:rPr>
                <w:rFonts w:hint="eastAsia" w:hAnsi="仿宋_GB2312" w:cs="仿宋_GB2312"/>
                <w:bCs/>
                <w:color w:val="000000"/>
                <w:sz w:val="24"/>
                <w:szCs w:val="24"/>
                <w:lang w:val="en-US" w:eastAsia="zh-CN"/>
              </w:rPr>
              <w:t>9</w:t>
            </w:r>
            <w:r>
              <w:rPr>
                <w:rFonts w:hint="eastAsia" w:ascii="仿宋_GB2312" w:hAnsi="仿宋_GB2312" w:eastAsia="仿宋_GB2312" w:cs="仿宋_GB2312"/>
                <w:bCs/>
                <w:color w:val="000000"/>
                <w:sz w:val="24"/>
                <w:szCs w:val="24"/>
              </w:rPr>
              <w:t>分，满足两项得</w:t>
            </w:r>
            <w:r>
              <w:rPr>
                <w:rFonts w:hint="eastAsia" w:hAnsi="仿宋_GB2312" w:cs="仿宋_GB2312"/>
                <w:bCs/>
                <w:color w:val="000000"/>
                <w:sz w:val="24"/>
                <w:szCs w:val="24"/>
                <w:lang w:val="en-US" w:eastAsia="zh-CN"/>
              </w:rPr>
              <w:t>6</w:t>
            </w:r>
            <w:r>
              <w:rPr>
                <w:rFonts w:hint="eastAsia" w:ascii="仿宋_GB2312" w:hAnsi="仿宋_GB2312" w:eastAsia="仿宋_GB2312" w:cs="仿宋_GB2312"/>
                <w:bCs/>
                <w:color w:val="000000"/>
                <w:sz w:val="24"/>
                <w:szCs w:val="24"/>
              </w:rPr>
              <w:t>分，少于两项不得分。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34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ascii="仿宋_GB2312" w:hAnsi="仿宋_GB2312" w:eastAsia="仿宋_GB2312" w:cs="仿宋_GB2312"/>
                <w:bCs/>
                <w:color w:val="000000"/>
                <w:sz w:val="24"/>
                <w:szCs w:val="24"/>
              </w:rPr>
            </w:pPr>
          </w:p>
        </w:tc>
        <w:tc>
          <w:tcPr>
            <w:tcW w:w="1088"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项目团队成员</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不少于</w:t>
            </w:r>
            <w:r>
              <w:rPr>
                <w:rFonts w:hint="eastAsia" w:hAnsi="仿宋_GB2312" w:cs="仿宋_GB2312"/>
                <w:bCs/>
                <w:color w:val="000000"/>
                <w:sz w:val="24"/>
                <w:szCs w:val="24"/>
                <w:lang w:val="en-US" w:eastAsia="zh-CN"/>
              </w:rPr>
              <w:t>10</w:t>
            </w:r>
            <w:r>
              <w:rPr>
                <w:rFonts w:hint="eastAsia" w:ascii="仿宋_GB2312" w:hAnsi="仿宋_GB2312" w:eastAsia="仿宋_GB2312" w:cs="仿宋_GB2312"/>
                <w:bCs/>
                <w:color w:val="000000"/>
                <w:sz w:val="24"/>
                <w:szCs w:val="24"/>
              </w:rPr>
              <w:t>人</w:t>
            </w:r>
          </w:p>
          <w:p>
            <w:pPr>
              <w:keepNext w:val="0"/>
              <w:keepLines w:val="0"/>
              <w:pageBreakBefore w:val="0"/>
              <w:widowControl w:val="0"/>
              <w:kinsoku/>
              <w:wordWrap/>
              <w:overflowPunct/>
              <w:topLinePunct w:val="0"/>
              <w:autoSpaceDE/>
              <w:autoSpaceDN/>
              <w:bidi w:val="0"/>
              <w:adjustRightInd w:val="0"/>
              <w:snapToGrid w:val="0"/>
              <w:spacing w:line="320" w:lineRule="exact"/>
              <w:ind w:firstLine="0" w:firstLineChars="0"/>
              <w:jc w:val="center"/>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bCs/>
                <w:color w:val="000000"/>
                <w:sz w:val="24"/>
                <w:szCs w:val="24"/>
              </w:rPr>
              <w:t>（</w:t>
            </w:r>
            <w:r>
              <w:rPr>
                <w:rFonts w:hint="eastAsia" w:hAnsi="仿宋_GB2312" w:cs="仿宋_GB2312"/>
                <w:bCs/>
                <w:color w:val="000000"/>
                <w:sz w:val="24"/>
                <w:szCs w:val="24"/>
                <w:lang w:val="en-US" w:eastAsia="zh-CN"/>
              </w:rPr>
              <w:t>18</w:t>
            </w:r>
            <w:r>
              <w:rPr>
                <w:rFonts w:hint="eastAsia" w:ascii="仿宋_GB2312" w:hAnsi="仿宋_GB2312" w:eastAsia="仿宋_GB2312" w:cs="仿宋_GB2312"/>
                <w:bCs/>
                <w:color w:val="000000"/>
                <w:sz w:val="24"/>
                <w:szCs w:val="24"/>
              </w:rPr>
              <w:t>分）</w:t>
            </w:r>
          </w:p>
        </w:tc>
        <w:tc>
          <w:tcPr>
            <w:tcW w:w="3571" w:type="pct"/>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1）具备高级工程师证书，每提供1人得</w:t>
            </w:r>
            <w:r>
              <w:rPr>
                <w:rFonts w:hint="eastAsia" w:hAnsi="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分，满分</w:t>
            </w:r>
            <w:r>
              <w:rPr>
                <w:rFonts w:hint="eastAsia" w:hAnsi="仿宋_GB2312" w:cs="仿宋_GB2312"/>
                <w:bCs/>
                <w:color w:val="000000"/>
                <w:sz w:val="24"/>
                <w:szCs w:val="24"/>
                <w:lang w:val="en-US" w:eastAsia="zh-CN"/>
              </w:rPr>
              <w:t>8</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2）具备注册咨询工程师（投资）证书，每提供1人得2分，满分</w:t>
            </w:r>
            <w:r>
              <w:rPr>
                <w:rFonts w:hint="eastAsia" w:hAnsi="仿宋_GB2312" w:cs="仿宋_GB2312"/>
                <w:bCs/>
                <w:color w:val="000000"/>
                <w:sz w:val="24"/>
                <w:szCs w:val="24"/>
                <w:lang w:val="en-US" w:eastAsia="zh-CN"/>
              </w:rPr>
              <w:t>8</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rPr>
            </w:pPr>
            <w:r>
              <w:rPr>
                <w:rFonts w:hint="eastAsia" w:hAnsi="仿宋_GB2312" w:cs="仿宋_GB2312"/>
                <w:bCs/>
                <w:color w:val="000000"/>
                <w:sz w:val="24"/>
                <w:szCs w:val="24"/>
                <w:lang w:val="en-US" w:eastAsia="zh-CN"/>
              </w:rPr>
              <w:t>3</w:t>
            </w:r>
            <w:r>
              <w:rPr>
                <w:rFonts w:hint="eastAsia" w:ascii="仿宋_GB2312" w:hAnsi="仿宋_GB2312" w:eastAsia="仿宋_GB2312" w:cs="仿宋_GB2312"/>
                <w:bCs/>
                <w:color w:val="000000"/>
                <w:sz w:val="24"/>
                <w:szCs w:val="24"/>
              </w:rPr>
              <w:t>）作为项目团队成员参与过政府投资后评价项目的工作，每提供一人得1分，满分</w:t>
            </w:r>
            <w:r>
              <w:rPr>
                <w:rFonts w:hint="eastAsia" w:hAnsi="仿宋_GB2312" w:cs="仿宋_GB2312"/>
                <w:bCs/>
                <w:color w:val="000000"/>
                <w:sz w:val="24"/>
                <w:szCs w:val="24"/>
                <w:lang w:val="en-US" w:eastAsia="zh-CN"/>
              </w:rPr>
              <w:t>2</w:t>
            </w:r>
            <w:r>
              <w:rPr>
                <w:rFonts w:hint="eastAsia" w:ascii="仿宋_GB2312" w:hAnsi="仿宋_GB2312" w:eastAsia="仿宋_GB2312" w:cs="仿宋_GB2312"/>
                <w:bCs/>
                <w:color w:val="000000"/>
                <w:sz w:val="24"/>
                <w:szCs w:val="24"/>
              </w:rPr>
              <w:t>分。</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firstLine="0" w:firstLineChars="0"/>
              <w:jc w:val="left"/>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rPr>
              <w:t>以上一人具有多个证书只能在其中一项得分，不重复计分</w:t>
            </w:r>
            <w:r>
              <w:rPr>
                <w:rFonts w:hint="eastAsia" w:hAnsi="仿宋_GB2312" w:cs="仿宋_GB2312"/>
                <w:bCs/>
                <w:color w:val="000000"/>
                <w:sz w:val="24"/>
                <w:szCs w:val="24"/>
                <w:lang w:eastAsia="zh-CN"/>
              </w:rPr>
              <w:t>。</w:t>
            </w:r>
          </w:p>
        </w:tc>
      </w:tr>
    </w:tbl>
    <w:p>
      <w:pPr>
        <w:adjustRightInd/>
        <w:snapToGrid/>
        <w:spacing w:line="560" w:lineRule="exact"/>
        <w:ind w:firstLine="642" w:firstLineChars="200"/>
        <w:rPr>
          <w:rFonts w:ascii="仿宋_GB2312" w:hAnsi="仿宋_GB2312" w:eastAsia="仿宋_GB2312" w:cs="Times New Roman"/>
          <w:b/>
          <w:bCs/>
          <w:color w:val="000000"/>
          <w:sz w:val="32"/>
          <w:szCs w:val="32"/>
        </w:rPr>
      </w:pPr>
      <w:r>
        <w:rPr>
          <w:rFonts w:hint="eastAsia" w:ascii="仿宋_GB2312" w:hAnsi="仿宋_GB2312" w:eastAsia="仿宋_GB2312" w:cs="Times New Roman"/>
          <w:b/>
          <w:bCs/>
          <w:color w:val="000000"/>
          <w:sz w:val="32"/>
          <w:szCs w:val="32"/>
        </w:rPr>
        <w:t>4.</w:t>
      </w:r>
      <w:r>
        <w:rPr>
          <w:rFonts w:hint="eastAsia" w:hAnsi="仿宋_GB2312" w:cs="Times New Roman"/>
          <w:b/>
          <w:bCs/>
          <w:color w:val="000000"/>
          <w:sz w:val="32"/>
          <w:szCs w:val="32"/>
          <w:lang w:val="en-US" w:eastAsia="zh-CN"/>
        </w:rPr>
        <w:t>项目</w:t>
      </w:r>
      <w:r>
        <w:rPr>
          <w:rFonts w:hint="eastAsia" w:ascii="仿宋_GB2312" w:hAnsi="仿宋_GB2312" w:eastAsia="仿宋_GB2312" w:cs="Times New Roman"/>
          <w:b/>
          <w:bCs/>
          <w:color w:val="000000"/>
          <w:sz w:val="32"/>
          <w:szCs w:val="32"/>
        </w:rPr>
        <w:t>报价</w:t>
      </w:r>
    </w:p>
    <w:p>
      <w:pPr>
        <w:spacing w:line="560" w:lineRule="exact"/>
        <w:ind w:firstLine="640" w:firstLineChars="200"/>
        <w:rPr>
          <w:rFonts w:hint="eastAsia" w:ascii="仿宋_GB2312" w:hAnsi="仿宋" w:eastAsia="仿宋_GB2312" w:cs="仿宋_GB2312"/>
          <w:sz w:val="32"/>
          <w:szCs w:val="32"/>
        </w:rPr>
      </w:pPr>
      <w:r>
        <w:rPr>
          <w:rFonts w:ascii="仿宋_GB2312" w:hAnsi="仿宋" w:eastAsia="仿宋_GB2312" w:cs="仿宋_GB2312"/>
          <w:sz w:val="32"/>
          <w:szCs w:val="32"/>
        </w:rPr>
        <w:t>投标报价不得超过项目预算金额</w:t>
      </w:r>
      <w:r>
        <w:rPr>
          <w:rFonts w:hint="eastAsia" w:ascii="仿宋_GB2312" w:hAnsi="仿宋_GB2312" w:eastAsia="仿宋_GB2312" w:cs="仿宋_GB2312"/>
          <w:kern w:val="2"/>
          <w:sz w:val="32"/>
          <w:szCs w:val="32"/>
          <w:lang w:val="en-US" w:eastAsia="zh-CN" w:bidi="ar-SA"/>
        </w:rPr>
        <w:t>。以投标人所报的有效报价中的最低价作为基准价，各投标人报价得分=（基准价/投标人报价）*</w:t>
      </w:r>
      <w:r>
        <w:rPr>
          <w:rFonts w:hint="eastAsia" w:hAnsi="仿宋_GB2312" w:cs="仿宋_GB2312"/>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分</w:t>
      </w:r>
      <w:r>
        <w:rPr>
          <w:rFonts w:hint="eastAsia" w:hAnsi="仿宋_GB2312" w:cs="仿宋_GB2312"/>
          <w:kern w:val="2"/>
          <w:sz w:val="32"/>
          <w:szCs w:val="32"/>
          <w:lang w:val="en-US" w:eastAsia="zh-CN" w:bidi="ar-SA"/>
        </w:rPr>
        <w:t>，本项满分20分</w:t>
      </w:r>
      <w:r>
        <w:rPr>
          <w:rFonts w:hint="eastAsia" w:ascii="仿宋_GB2312" w:hAnsi="仿宋_GB2312" w:eastAsia="仿宋_GB2312" w:cs="仿宋_GB2312"/>
          <w:kern w:val="2"/>
          <w:sz w:val="32"/>
          <w:szCs w:val="32"/>
          <w:lang w:val="en-US" w:eastAsia="zh-CN" w:bidi="ar-SA"/>
        </w:rPr>
        <w:t>。</w:t>
      </w:r>
    </w:p>
    <w:p>
      <w:pPr>
        <w:adjustRightInd w:val="0"/>
        <w:snapToGrid w:val="0"/>
        <w:spacing w:line="480" w:lineRule="exact"/>
        <w:ind w:firstLine="640" w:firstLineChars="200"/>
        <w:rPr>
          <w:rFonts w:hint="eastAsia" w:ascii="仿宋_GB2312" w:hAnsi="宋体" w:eastAsia="仿宋_GB2312" w:cs="仿宋_GB2312"/>
          <w:sz w:val="32"/>
          <w:szCs w:val="22"/>
        </w:rPr>
      </w:pPr>
    </w:p>
    <w:p>
      <w:pPr>
        <w:adjustRightInd w:val="0"/>
        <w:snapToGrid w:val="0"/>
        <w:spacing w:line="480" w:lineRule="exact"/>
        <w:ind w:firstLine="640" w:firstLineChars="200"/>
        <w:rPr>
          <w:rFonts w:ascii="仿宋_GB2312" w:hAnsi="宋体" w:eastAsia="仿宋_GB2312" w:cs="仿宋_GB2312"/>
          <w:sz w:val="32"/>
          <w:szCs w:val="22"/>
        </w:rPr>
      </w:pPr>
      <w:r>
        <w:rPr>
          <w:rFonts w:hint="eastAsia" w:ascii="仿宋_GB2312" w:hAnsi="宋体" w:eastAsia="仿宋_GB2312" w:cs="仿宋_GB2312"/>
          <w:sz w:val="32"/>
          <w:szCs w:val="22"/>
        </w:rPr>
        <w:t>附件：投标及履约承诺函</w:t>
      </w:r>
    </w:p>
    <w:p>
      <w:pPr>
        <w:rPr>
          <w:rFonts w:ascii="仿宋" w:hAnsi="仿宋" w:eastAsia="仿宋" w:cs="仿宋_GB2312"/>
          <w:sz w:val="32"/>
          <w:szCs w:val="32"/>
        </w:rPr>
      </w:pPr>
      <w:r>
        <w:rPr>
          <w:rFonts w:ascii="仿宋" w:hAnsi="仿宋" w:eastAsia="仿宋" w:cs="仿宋_GB2312"/>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left"/>
        <w:textAlignment w:val="auto"/>
        <w:rPr>
          <w:rFonts w:hint="eastAsia" w:ascii="黑体" w:hAnsi="黑体" w:eastAsia="黑体" w:cs="黑体"/>
          <w:b/>
          <w:bCs/>
          <w:sz w:val="32"/>
          <w:szCs w:val="32"/>
        </w:rPr>
      </w:pPr>
      <w:r>
        <w:rPr>
          <w:rFonts w:hint="eastAsia" w:ascii="黑体" w:hAnsi="黑体" w:eastAsia="黑体" w:cs="黑体"/>
          <w:sz w:val="32"/>
          <w:szCs w:val="22"/>
        </w:rPr>
        <w:t>附件</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
          <w:bCs/>
          <w:sz w:val="44"/>
          <w:szCs w:val="44"/>
        </w:rPr>
      </w:pPr>
      <w:r>
        <w:rPr>
          <w:rFonts w:hint="eastAsia" w:ascii="宋体" w:hAnsi="宋体" w:cs="宋体"/>
          <w:b/>
          <w:bCs/>
          <w:sz w:val="44"/>
          <w:szCs w:val="44"/>
        </w:rPr>
        <w:t>投标及履约承诺函</w:t>
      </w:r>
    </w:p>
    <w:p>
      <w:pPr>
        <w:adjustRightInd w:val="0"/>
        <w:snapToGrid w:val="0"/>
        <w:jc w:val="center"/>
        <w:rPr>
          <w:rFonts w:ascii="宋体" w:hAnsi="宋体" w:cs="宋体"/>
          <w:b/>
          <w:bCs/>
          <w:sz w:val="44"/>
          <w:szCs w:val="44"/>
        </w:rPr>
      </w:pP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我单位承诺：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1.依法缴纳税收和社会保障资金。具备项目所必需的人员和专业技术能力。参加政府采购活动前三年内在经营活动中没有重大违法记录。</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2.对本招标项目所提供的服务未侵犯知识产权。</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3.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4</w:t>
      </w:r>
      <w:r>
        <w:rPr>
          <w:rFonts w:hint="eastAsia" w:ascii="仿宋_GB2312" w:hAnsi="宋体" w:eastAsia="仿宋_GB2312" w:cs="仿宋_GB2312"/>
          <w:sz w:val="32"/>
          <w:szCs w:val="22"/>
        </w:rPr>
        <w:t>.如果中标，做到守信，不偷工减料，依照本项目招标文件需求内容、签署的采购合同及在投标中所作的一切承诺履约。项目验收达到全部指标合格，力争优良。</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5</w:t>
      </w:r>
      <w:r>
        <w:rPr>
          <w:rFonts w:hint="eastAsia" w:ascii="仿宋_GB2312" w:hAnsi="宋体" w:eastAsia="仿宋_GB2312" w:cs="仿宋_GB2312"/>
          <w:sz w:val="32"/>
          <w:szCs w:val="22"/>
        </w:rPr>
        <w:t>.我单位已认真阅读本项目需求，我单位承诺按时递交标书。</w:t>
      </w:r>
    </w:p>
    <w:p>
      <w:pPr>
        <w:adjustRightInd w:val="0"/>
        <w:snapToGrid w:val="0"/>
        <w:spacing w:line="480" w:lineRule="exact"/>
        <w:ind w:firstLine="640" w:firstLineChars="200"/>
        <w:rPr>
          <w:rFonts w:ascii="仿宋_GB2312" w:hAnsi="宋体" w:eastAsia="仿宋_GB2312"/>
          <w:sz w:val="32"/>
          <w:szCs w:val="22"/>
        </w:rPr>
      </w:pPr>
      <w:r>
        <w:rPr>
          <w:rFonts w:ascii="仿宋_GB2312" w:hAnsi="宋体" w:eastAsia="仿宋_GB2312" w:cs="仿宋_GB2312"/>
          <w:sz w:val="32"/>
          <w:szCs w:val="22"/>
        </w:rPr>
        <w:t>6</w:t>
      </w:r>
      <w:r>
        <w:rPr>
          <w:rFonts w:hint="eastAsia" w:ascii="仿宋_GB2312" w:hAnsi="宋体" w:eastAsia="仿宋_GB2312" w:cs="仿宋_GB2312"/>
          <w:sz w:val="32"/>
          <w:szCs w:val="22"/>
        </w:rPr>
        <w:t>.我单位承诺不非法转包或分包。</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以上承诺，如有违反，愿依照国家相关法律处理，并承担由此给采购人带来的损失。</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承诺投标人：</w:t>
      </w:r>
    </w:p>
    <w:p>
      <w:pPr>
        <w:adjustRightInd w:val="0"/>
        <w:snapToGrid w:val="0"/>
        <w:spacing w:line="480" w:lineRule="exact"/>
        <w:ind w:firstLine="640" w:firstLineChars="200"/>
        <w:rPr>
          <w:rFonts w:ascii="仿宋_GB2312" w:hAnsi="宋体" w:eastAsia="仿宋_GB2312"/>
          <w:sz w:val="32"/>
          <w:szCs w:val="22"/>
        </w:rPr>
      </w:pPr>
      <w:r>
        <w:rPr>
          <w:rFonts w:hint="eastAsia" w:ascii="仿宋_GB2312" w:hAnsi="宋体" w:eastAsia="仿宋_GB2312" w:cs="仿宋_GB2312"/>
          <w:sz w:val="32"/>
          <w:szCs w:val="22"/>
        </w:rPr>
        <w:t>单位地址：</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法定代表人或其委托代理人：</w:t>
      </w:r>
    </w:p>
    <w:p>
      <w:pPr>
        <w:adjustRightInd w:val="0"/>
        <w:snapToGrid w:val="0"/>
        <w:spacing w:line="480" w:lineRule="exact"/>
        <w:ind w:firstLine="640" w:firstLineChars="200"/>
        <w:rPr>
          <w:rFonts w:ascii="仿宋_GB2312" w:hAnsi="宋体" w:eastAsia="仿宋_GB2312"/>
          <w:sz w:val="32"/>
          <w:szCs w:val="22"/>
          <w:u w:val="single"/>
        </w:rPr>
      </w:pPr>
      <w:r>
        <w:rPr>
          <w:rFonts w:hint="eastAsia" w:ascii="仿宋_GB2312" w:hAnsi="宋体" w:eastAsia="仿宋_GB2312" w:cs="仿宋_GB2312"/>
          <w:sz w:val="32"/>
          <w:szCs w:val="22"/>
        </w:rPr>
        <w:t>联系电话：</w:t>
      </w:r>
    </w:p>
    <w:p>
      <w:pPr>
        <w:adjustRightInd w:val="0"/>
        <w:snapToGrid w:val="0"/>
        <w:spacing w:line="480" w:lineRule="exact"/>
        <w:ind w:firstLine="640" w:firstLineChars="200"/>
        <w:rPr>
          <w:rFonts w:hint="default"/>
          <w:lang w:val="en-US" w:eastAsia="zh-CN"/>
        </w:rPr>
      </w:pPr>
      <w:r>
        <w:rPr>
          <w:rFonts w:hint="eastAsia" w:ascii="仿宋_GB2312" w:hAnsi="Times New Roman" w:eastAsia="仿宋_GB2312" w:cs="仿宋_GB2312"/>
          <w:sz w:val="32"/>
          <w:szCs w:val="22"/>
        </w:rPr>
        <w:t xml:space="preserve">日期：   年   月   日  </w:t>
      </w:r>
      <w:r>
        <w:rPr>
          <w:rFonts w:ascii="Times New Roman" w:hAnsi="Times New Roman" w:eastAsia="仿宋_GB2312"/>
          <w:sz w:val="32"/>
          <w:szCs w:val="22"/>
        </w:rPr>
        <w:t xml:space="preserve"> </w:t>
      </w:r>
    </w:p>
    <w:sectPr>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Calibri Light">
    <w:altName w:val="DejaVu Sans"/>
    <w:panose1 w:val="020F0302020204030204"/>
    <w:charset w:val="00"/>
    <w:family w:val="swiss"/>
    <w:pitch w:val="default"/>
    <w:sig w:usb0="00000000" w:usb1="00000000" w:usb2="00000009" w:usb3="00000000" w:csb0="200001FF"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68615"/>
    <w:multiLevelType w:val="singleLevel"/>
    <w:tmpl w:val="B80686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YmY3NWE5YzQ1MmFlMGU0YWU5Mzk2MDQwOWZkNjIifQ=="/>
  </w:docVars>
  <w:rsids>
    <w:rsidRoot w:val="151F6142"/>
    <w:rsid w:val="05311335"/>
    <w:rsid w:val="06A16890"/>
    <w:rsid w:val="06D5059F"/>
    <w:rsid w:val="07ED714F"/>
    <w:rsid w:val="0E3D0531"/>
    <w:rsid w:val="0EC336D4"/>
    <w:rsid w:val="0F22B2F5"/>
    <w:rsid w:val="151F6142"/>
    <w:rsid w:val="16F4992D"/>
    <w:rsid w:val="17EBBA4F"/>
    <w:rsid w:val="1BDE70F5"/>
    <w:rsid w:val="1EE9E3FC"/>
    <w:rsid w:val="1EEF1621"/>
    <w:rsid w:val="1F7F5C48"/>
    <w:rsid w:val="1FDD7BCA"/>
    <w:rsid w:val="1FEFF498"/>
    <w:rsid w:val="2022656C"/>
    <w:rsid w:val="251DFDA1"/>
    <w:rsid w:val="27BB5A94"/>
    <w:rsid w:val="27CF238D"/>
    <w:rsid w:val="297D32FC"/>
    <w:rsid w:val="297EFF5F"/>
    <w:rsid w:val="2CB900D7"/>
    <w:rsid w:val="2D3D8A3F"/>
    <w:rsid w:val="2D5FCBC4"/>
    <w:rsid w:val="2D7F8F16"/>
    <w:rsid w:val="2DF054C6"/>
    <w:rsid w:val="2FF5EF5F"/>
    <w:rsid w:val="304A0616"/>
    <w:rsid w:val="35CBF78D"/>
    <w:rsid w:val="35DFA0BB"/>
    <w:rsid w:val="3749BC88"/>
    <w:rsid w:val="379F7844"/>
    <w:rsid w:val="37BDAC3D"/>
    <w:rsid w:val="37F70F10"/>
    <w:rsid w:val="393A2FBC"/>
    <w:rsid w:val="39C521DA"/>
    <w:rsid w:val="39F7E79E"/>
    <w:rsid w:val="3AF5758F"/>
    <w:rsid w:val="3AFF42C8"/>
    <w:rsid w:val="3B4FADDD"/>
    <w:rsid w:val="3BA206C2"/>
    <w:rsid w:val="3BEFFEB8"/>
    <w:rsid w:val="3C398588"/>
    <w:rsid w:val="3DB79502"/>
    <w:rsid w:val="3DBD6FF0"/>
    <w:rsid w:val="3DEBF06E"/>
    <w:rsid w:val="3E9F5315"/>
    <w:rsid w:val="3EBF6925"/>
    <w:rsid w:val="3EFDA860"/>
    <w:rsid w:val="3EFE76BF"/>
    <w:rsid w:val="3EFFD51A"/>
    <w:rsid w:val="3F5B2863"/>
    <w:rsid w:val="3FAF66BC"/>
    <w:rsid w:val="3FCF7EE5"/>
    <w:rsid w:val="3FDF3E13"/>
    <w:rsid w:val="3FDF7154"/>
    <w:rsid w:val="3FF33B50"/>
    <w:rsid w:val="3FFF23B3"/>
    <w:rsid w:val="401E29EC"/>
    <w:rsid w:val="417ADFC5"/>
    <w:rsid w:val="43C401ED"/>
    <w:rsid w:val="46FFE3D6"/>
    <w:rsid w:val="4A713671"/>
    <w:rsid w:val="4A979B80"/>
    <w:rsid w:val="4BDB422A"/>
    <w:rsid w:val="4D3F01DA"/>
    <w:rsid w:val="4FBFC66E"/>
    <w:rsid w:val="4FEEE537"/>
    <w:rsid w:val="50F25284"/>
    <w:rsid w:val="55FC266A"/>
    <w:rsid w:val="565A357D"/>
    <w:rsid w:val="57A7C20C"/>
    <w:rsid w:val="57CB5565"/>
    <w:rsid w:val="58AF6F99"/>
    <w:rsid w:val="5ABE0EE5"/>
    <w:rsid w:val="5B4451A6"/>
    <w:rsid w:val="5BA31B45"/>
    <w:rsid w:val="5BDE56AA"/>
    <w:rsid w:val="5BEE5D59"/>
    <w:rsid w:val="5BFAA80A"/>
    <w:rsid w:val="5C222602"/>
    <w:rsid w:val="5CB6AEE1"/>
    <w:rsid w:val="5CBF44D9"/>
    <w:rsid w:val="5D575D6C"/>
    <w:rsid w:val="5DA7928A"/>
    <w:rsid w:val="5E6C1CA5"/>
    <w:rsid w:val="5EAECCCE"/>
    <w:rsid w:val="5F559B22"/>
    <w:rsid w:val="5F5C0C95"/>
    <w:rsid w:val="5F5DFF00"/>
    <w:rsid w:val="5F773B21"/>
    <w:rsid w:val="5FB4B0B8"/>
    <w:rsid w:val="5FBF8CDC"/>
    <w:rsid w:val="5FD80557"/>
    <w:rsid w:val="5FEAE98D"/>
    <w:rsid w:val="5FFD39BB"/>
    <w:rsid w:val="5FFF13F1"/>
    <w:rsid w:val="630FFDCB"/>
    <w:rsid w:val="63FDCDCF"/>
    <w:rsid w:val="646F3A80"/>
    <w:rsid w:val="64DF6A07"/>
    <w:rsid w:val="657FC9CF"/>
    <w:rsid w:val="65F7EBFB"/>
    <w:rsid w:val="66FB7F2B"/>
    <w:rsid w:val="6733E9E2"/>
    <w:rsid w:val="6771A3C6"/>
    <w:rsid w:val="67DEAD66"/>
    <w:rsid w:val="67DFEB5A"/>
    <w:rsid w:val="67F7AC1A"/>
    <w:rsid w:val="67FF1920"/>
    <w:rsid w:val="687311F7"/>
    <w:rsid w:val="68F7258B"/>
    <w:rsid w:val="6B7409EB"/>
    <w:rsid w:val="6B938F7F"/>
    <w:rsid w:val="6BDEF19F"/>
    <w:rsid w:val="6BF4D023"/>
    <w:rsid w:val="6C95C17F"/>
    <w:rsid w:val="6CF9C246"/>
    <w:rsid w:val="6D7DCBD3"/>
    <w:rsid w:val="6D97871A"/>
    <w:rsid w:val="6DBF3792"/>
    <w:rsid w:val="6DDD7079"/>
    <w:rsid w:val="6DFFE0FF"/>
    <w:rsid w:val="6E7CD71A"/>
    <w:rsid w:val="6EAFDCB1"/>
    <w:rsid w:val="6ED0A464"/>
    <w:rsid w:val="6EFF5BD3"/>
    <w:rsid w:val="6F0FE3D6"/>
    <w:rsid w:val="6F7E002E"/>
    <w:rsid w:val="6FCD5F5E"/>
    <w:rsid w:val="6FF7CB3A"/>
    <w:rsid w:val="6FFCA590"/>
    <w:rsid w:val="6FFD0B44"/>
    <w:rsid w:val="6FFD55AE"/>
    <w:rsid w:val="6FFD887A"/>
    <w:rsid w:val="737B5DCF"/>
    <w:rsid w:val="737BC7EF"/>
    <w:rsid w:val="73942875"/>
    <w:rsid w:val="74697909"/>
    <w:rsid w:val="749FA593"/>
    <w:rsid w:val="74CE00FA"/>
    <w:rsid w:val="74FF6C13"/>
    <w:rsid w:val="75FEBFAF"/>
    <w:rsid w:val="76FC4A33"/>
    <w:rsid w:val="774D7AF4"/>
    <w:rsid w:val="7771F61A"/>
    <w:rsid w:val="777E9255"/>
    <w:rsid w:val="779F05CA"/>
    <w:rsid w:val="77B7BD8C"/>
    <w:rsid w:val="77BD48DF"/>
    <w:rsid w:val="77C71876"/>
    <w:rsid w:val="77DDE5E8"/>
    <w:rsid w:val="77F979A8"/>
    <w:rsid w:val="77FF58D7"/>
    <w:rsid w:val="77FF6C95"/>
    <w:rsid w:val="78F258E1"/>
    <w:rsid w:val="78F72ADA"/>
    <w:rsid w:val="797E1FB1"/>
    <w:rsid w:val="79DB50FF"/>
    <w:rsid w:val="7A7EE9E9"/>
    <w:rsid w:val="7AAFBB1C"/>
    <w:rsid w:val="7AFE1CC7"/>
    <w:rsid w:val="7B7B1F38"/>
    <w:rsid w:val="7BA99620"/>
    <w:rsid w:val="7BAD8FA8"/>
    <w:rsid w:val="7BB40380"/>
    <w:rsid w:val="7BBB8ABB"/>
    <w:rsid w:val="7BD77D6B"/>
    <w:rsid w:val="7BED8727"/>
    <w:rsid w:val="7BF5D3E0"/>
    <w:rsid w:val="7BF7D046"/>
    <w:rsid w:val="7BFE3866"/>
    <w:rsid w:val="7BFFC9DB"/>
    <w:rsid w:val="7BFFCE8D"/>
    <w:rsid w:val="7CA63400"/>
    <w:rsid w:val="7CEF1962"/>
    <w:rsid w:val="7CEFD2C1"/>
    <w:rsid w:val="7CFCBD47"/>
    <w:rsid w:val="7D392087"/>
    <w:rsid w:val="7DAA5B6F"/>
    <w:rsid w:val="7DB9527E"/>
    <w:rsid w:val="7DBF04D2"/>
    <w:rsid w:val="7DDB7855"/>
    <w:rsid w:val="7DDD5B28"/>
    <w:rsid w:val="7DED588E"/>
    <w:rsid w:val="7DFBDE93"/>
    <w:rsid w:val="7DFFB922"/>
    <w:rsid w:val="7E32EA31"/>
    <w:rsid w:val="7E375A52"/>
    <w:rsid w:val="7E57B901"/>
    <w:rsid w:val="7E8FB41F"/>
    <w:rsid w:val="7EC9B86E"/>
    <w:rsid w:val="7EDA0642"/>
    <w:rsid w:val="7EFB0411"/>
    <w:rsid w:val="7EFB19D0"/>
    <w:rsid w:val="7EFB39E0"/>
    <w:rsid w:val="7F57AAAB"/>
    <w:rsid w:val="7F5939C3"/>
    <w:rsid w:val="7F6961BE"/>
    <w:rsid w:val="7F75A6A9"/>
    <w:rsid w:val="7F77596A"/>
    <w:rsid w:val="7F7B805F"/>
    <w:rsid w:val="7F7E469A"/>
    <w:rsid w:val="7F89E6F7"/>
    <w:rsid w:val="7F9DE565"/>
    <w:rsid w:val="7FA887B7"/>
    <w:rsid w:val="7FBBFE98"/>
    <w:rsid w:val="7FBC6E58"/>
    <w:rsid w:val="7FBE78ED"/>
    <w:rsid w:val="7FBFABEC"/>
    <w:rsid w:val="7FBFB5FD"/>
    <w:rsid w:val="7FCE02A8"/>
    <w:rsid w:val="7FD4B298"/>
    <w:rsid w:val="7FD78F19"/>
    <w:rsid w:val="7FDEA54F"/>
    <w:rsid w:val="7FDFA6E3"/>
    <w:rsid w:val="7FEAF335"/>
    <w:rsid w:val="7FECAAEE"/>
    <w:rsid w:val="7FED500D"/>
    <w:rsid w:val="7FEFB6F1"/>
    <w:rsid w:val="7FF50974"/>
    <w:rsid w:val="7FF57CF9"/>
    <w:rsid w:val="7FF71A7F"/>
    <w:rsid w:val="7FFC87F7"/>
    <w:rsid w:val="7FFDF3C3"/>
    <w:rsid w:val="7FFF5383"/>
    <w:rsid w:val="7FFFA515"/>
    <w:rsid w:val="83FF1E0A"/>
    <w:rsid w:val="8756D405"/>
    <w:rsid w:val="88FF7921"/>
    <w:rsid w:val="8D26D2D5"/>
    <w:rsid w:val="8E9F089A"/>
    <w:rsid w:val="8EEFBBD3"/>
    <w:rsid w:val="91F9D3A7"/>
    <w:rsid w:val="9B8B56B5"/>
    <w:rsid w:val="9EE543BB"/>
    <w:rsid w:val="9FBCC01C"/>
    <w:rsid w:val="9FDFAD71"/>
    <w:rsid w:val="9FEF74C1"/>
    <w:rsid w:val="9FF7C06B"/>
    <w:rsid w:val="9FF9B604"/>
    <w:rsid w:val="A3BFE94F"/>
    <w:rsid w:val="A63FEF70"/>
    <w:rsid w:val="ADC31878"/>
    <w:rsid w:val="ADFBBC96"/>
    <w:rsid w:val="AE7D4232"/>
    <w:rsid w:val="AEB2187D"/>
    <w:rsid w:val="AEFFBD44"/>
    <w:rsid w:val="AFDD360A"/>
    <w:rsid w:val="AFF6DA80"/>
    <w:rsid w:val="AFFFD9D2"/>
    <w:rsid w:val="B53CC14C"/>
    <w:rsid w:val="B559FFE2"/>
    <w:rsid w:val="B5F7C3A3"/>
    <w:rsid w:val="B6C6FB1A"/>
    <w:rsid w:val="B6E92ECB"/>
    <w:rsid w:val="B6FFB35C"/>
    <w:rsid w:val="B7B38007"/>
    <w:rsid w:val="B7BF9565"/>
    <w:rsid w:val="B7EBE9E6"/>
    <w:rsid w:val="B96610B9"/>
    <w:rsid w:val="BA7EF669"/>
    <w:rsid w:val="BADBF330"/>
    <w:rsid w:val="BB3A5C2F"/>
    <w:rsid w:val="BBBB8942"/>
    <w:rsid w:val="BBEFCF09"/>
    <w:rsid w:val="BBF94C76"/>
    <w:rsid w:val="BBFA1635"/>
    <w:rsid w:val="BCE7DE35"/>
    <w:rsid w:val="BDDCEF4B"/>
    <w:rsid w:val="BE75A4B3"/>
    <w:rsid w:val="BEEDBF2F"/>
    <w:rsid w:val="BEFE2E8B"/>
    <w:rsid w:val="BF1F898E"/>
    <w:rsid w:val="BF7EBFFD"/>
    <w:rsid w:val="BF7F8885"/>
    <w:rsid w:val="BFA40888"/>
    <w:rsid w:val="BFDE1CEF"/>
    <w:rsid w:val="BFF1EB85"/>
    <w:rsid w:val="BFFF35B8"/>
    <w:rsid w:val="BFFF47F1"/>
    <w:rsid w:val="CD6FA63F"/>
    <w:rsid w:val="CD96027D"/>
    <w:rsid w:val="CE73EF9F"/>
    <w:rsid w:val="CE9E6D24"/>
    <w:rsid w:val="CF7D457D"/>
    <w:rsid w:val="CFFF8599"/>
    <w:rsid w:val="D227F53F"/>
    <w:rsid w:val="D51F19AA"/>
    <w:rsid w:val="D66FE25B"/>
    <w:rsid w:val="D77B21B7"/>
    <w:rsid w:val="D7F0F017"/>
    <w:rsid w:val="D9DE8579"/>
    <w:rsid w:val="DAFFFE3E"/>
    <w:rsid w:val="DB7F4A39"/>
    <w:rsid w:val="DBDFB1C2"/>
    <w:rsid w:val="DDDB7806"/>
    <w:rsid w:val="DDE7ED43"/>
    <w:rsid w:val="DDF58FF8"/>
    <w:rsid w:val="DDFDD25B"/>
    <w:rsid w:val="DDFF6609"/>
    <w:rsid w:val="DDFFE84A"/>
    <w:rsid w:val="DEFEE394"/>
    <w:rsid w:val="DF1C4610"/>
    <w:rsid w:val="DF3363B7"/>
    <w:rsid w:val="DF3D198F"/>
    <w:rsid w:val="DF653801"/>
    <w:rsid w:val="DF7D807E"/>
    <w:rsid w:val="DF9A555E"/>
    <w:rsid w:val="DFEB9A01"/>
    <w:rsid w:val="DFF35808"/>
    <w:rsid w:val="E1F5D94D"/>
    <w:rsid w:val="E5B60BA5"/>
    <w:rsid w:val="E6CF5E18"/>
    <w:rsid w:val="E6E5A4FF"/>
    <w:rsid w:val="E6E7E04B"/>
    <w:rsid w:val="E77F19F3"/>
    <w:rsid w:val="E7BF76DD"/>
    <w:rsid w:val="E7DE4B35"/>
    <w:rsid w:val="E7FA889E"/>
    <w:rsid w:val="E7FC83A2"/>
    <w:rsid w:val="E9FF776B"/>
    <w:rsid w:val="EBD705CD"/>
    <w:rsid w:val="EC355000"/>
    <w:rsid w:val="ED6FE35D"/>
    <w:rsid w:val="EDF7402E"/>
    <w:rsid w:val="EDFDF0C2"/>
    <w:rsid w:val="EEA69609"/>
    <w:rsid w:val="EEBF6D5A"/>
    <w:rsid w:val="EEEA4297"/>
    <w:rsid w:val="EEF79B57"/>
    <w:rsid w:val="EEFFAC28"/>
    <w:rsid w:val="EFCFAF63"/>
    <w:rsid w:val="EFDAF962"/>
    <w:rsid w:val="EFF78B23"/>
    <w:rsid w:val="EFFB0461"/>
    <w:rsid w:val="EFFD9319"/>
    <w:rsid w:val="EFFFA5CC"/>
    <w:rsid w:val="EFFFB000"/>
    <w:rsid w:val="F36FD9B4"/>
    <w:rsid w:val="F379C772"/>
    <w:rsid w:val="F3BFB40E"/>
    <w:rsid w:val="F3D7A862"/>
    <w:rsid w:val="F3EF9FEC"/>
    <w:rsid w:val="F4ADC132"/>
    <w:rsid w:val="F4EF6959"/>
    <w:rsid w:val="F56F4EF4"/>
    <w:rsid w:val="F5BF1DA9"/>
    <w:rsid w:val="F5FDC12B"/>
    <w:rsid w:val="F6B274F2"/>
    <w:rsid w:val="F6BD5FF0"/>
    <w:rsid w:val="F6F33DDB"/>
    <w:rsid w:val="F73D3FC5"/>
    <w:rsid w:val="F7752E86"/>
    <w:rsid w:val="F7B9B9FA"/>
    <w:rsid w:val="F7FB3506"/>
    <w:rsid w:val="F7FF5B8B"/>
    <w:rsid w:val="F7FFB2FC"/>
    <w:rsid w:val="F8AAC4EA"/>
    <w:rsid w:val="FA6F850E"/>
    <w:rsid w:val="FAAFDC9A"/>
    <w:rsid w:val="FAB9AC5A"/>
    <w:rsid w:val="FAF59E26"/>
    <w:rsid w:val="FAFE30A4"/>
    <w:rsid w:val="FB365918"/>
    <w:rsid w:val="FB4F2279"/>
    <w:rsid w:val="FB7E323E"/>
    <w:rsid w:val="FB9B25F7"/>
    <w:rsid w:val="FB9C009C"/>
    <w:rsid w:val="FB9D5BFF"/>
    <w:rsid w:val="FB9F2D92"/>
    <w:rsid w:val="FBD25D81"/>
    <w:rsid w:val="FBE7B3FC"/>
    <w:rsid w:val="FBF757A2"/>
    <w:rsid w:val="FBFDB9F7"/>
    <w:rsid w:val="FBFF6167"/>
    <w:rsid w:val="FC7AB70C"/>
    <w:rsid w:val="FCA76985"/>
    <w:rsid w:val="FCB05892"/>
    <w:rsid w:val="FCBF17AF"/>
    <w:rsid w:val="FCD70925"/>
    <w:rsid w:val="FD71035B"/>
    <w:rsid w:val="FD7837EB"/>
    <w:rsid w:val="FD7FBF8D"/>
    <w:rsid w:val="FDBF86E6"/>
    <w:rsid w:val="FDD78F74"/>
    <w:rsid w:val="FDDB6147"/>
    <w:rsid w:val="FDDBC99B"/>
    <w:rsid w:val="FE7ACC6F"/>
    <w:rsid w:val="FE7B3840"/>
    <w:rsid w:val="FE7F416E"/>
    <w:rsid w:val="FEE7F4BC"/>
    <w:rsid w:val="FEF6BD28"/>
    <w:rsid w:val="FEF9965D"/>
    <w:rsid w:val="FEFFA560"/>
    <w:rsid w:val="FEFFD537"/>
    <w:rsid w:val="FF0FD94C"/>
    <w:rsid w:val="FF3DBA70"/>
    <w:rsid w:val="FF4F09ED"/>
    <w:rsid w:val="FF6D716A"/>
    <w:rsid w:val="FF7111D6"/>
    <w:rsid w:val="FF7E5FC7"/>
    <w:rsid w:val="FF7EB716"/>
    <w:rsid w:val="FF7F476C"/>
    <w:rsid w:val="FF7F7DDD"/>
    <w:rsid w:val="FF7F88D3"/>
    <w:rsid w:val="FF7FEDDE"/>
    <w:rsid w:val="FF9C3AA6"/>
    <w:rsid w:val="FFB8027A"/>
    <w:rsid w:val="FFBF5AEB"/>
    <w:rsid w:val="FFBF838E"/>
    <w:rsid w:val="FFDF5FD3"/>
    <w:rsid w:val="FFE3E02A"/>
    <w:rsid w:val="FFE6BE6C"/>
    <w:rsid w:val="FFF79ACA"/>
    <w:rsid w:val="FFF7C03F"/>
    <w:rsid w:val="FFFCCFFB"/>
    <w:rsid w:val="FFFD01E6"/>
    <w:rsid w:val="FFFD67AE"/>
    <w:rsid w:val="FFFD81C9"/>
    <w:rsid w:val="FFFE9B27"/>
    <w:rsid w:val="FFFF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_GB2312" w:hAnsi="Times" w:eastAsia="仿宋_GB2312" w:cs="Times New Roman"/>
      <w:kern w:val="2"/>
      <w:sz w:val="32"/>
      <w:szCs w:val="32"/>
      <w:lang w:val="en-US" w:eastAsia="zh-CN" w:bidi="ar-SA"/>
    </w:rPr>
  </w:style>
  <w:style w:type="paragraph" w:styleId="2">
    <w:name w:val="heading 2"/>
    <w:basedOn w:val="1"/>
    <w:next w:val="1"/>
    <w:unhideWhenUsed/>
    <w:qFormat/>
    <w:uiPriority w:val="0"/>
    <w:pPr>
      <w:keepNext/>
      <w:keepLines/>
      <w:outlineLvl w:val="1"/>
    </w:pPr>
    <w:rPr>
      <w:rFonts w:eastAsia="楷体" w:asciiTheme="majorHAnsi" w:hAnsiTheme="majorHAnsi" w:cstheme="majorBidi"/>
      <w:bCs/>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Normal Indent"/>
    <w:basedOn w:val="1"/>
    <w:next w:val="6"/>
    <w:qFormat/>
    <w:uiPriority w:val="0"/>
    <w:pPr>
      <w:ind w:firstLine="420" w:firstLineChars="200"/>
    </w:pPr>
  </w:style>
  <w:style w:type="paragraph" w:styleId="6">
    <w:name w:val="Body Text"/>
    <w:basedOn w:val="1"/>
    <w:next w:val="1"/>
    <w:semiHidden/>
    <w:unhideWhenUsed/>
    <w:qFormat/>
    <w:uiPriority w:val="99"/>
    <w:pPr>
      <w:spacing w:after="120"/>
    </w:pPr>
  </w:style>
  <w:style w:type="paragraph" w:styleId="7">
    <w:name w:val="annotation text"/>
    <w:basedOn w:val="1"/>
    <w:qFormat/>
    <w:uiPriority w:val="0"/>
    <w:pPr>
      <w:jc w:val="left"/>
    </w:pPr>
  </w:style>
  <w:style w:type="paragraph" w:styleId="8">
    <w:name w:val="Block Text"/>
    <w:basedOn w:val="1"/>
    <w:qFormat/>
    <w:uiPriority w:val="0"/>
    <w:pPr>
      <w:tabs>
        <w:tab w:val="left" w:pos="426"/>
      </w:tabs>
      <w:spacing w:after="120"/>
      <w:ind w:left="1440" w:leftChars="700" w:right="1440" w:rightChars="700"/>
    </w:pPr>
  </w:style>
  <w:style w:type="paragraph" w:styleId="9">
    <w:name w:val="Plain Text"/>
    <w:basedOn w:val="1"/>
    <w:next w:val="4"/>
    <w:unhideWhenUsed/>
    <w:qFormat/>
    <w:uiPriority w:val="99"/>
    <w:rPr>
      <w:rFonts w:ascii="宋体" w:hAnsi="Courier New" w:cs="Courier New"/>
      <w:szCs w:val="21"/>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semiHidden/>
    <w:unhideWhenUsed/>
    <w:qFormat/>
    <w:uiPriority w:val="99"/>
    <w:pPr>
      <w:spacing w:beforeAutospacing="1" w:afterAutospacing="1"/>
      <w:jc w:val="left"/>
    </w:pPr>
    <w:rPr>
      <w:kern w:val="0"/>
      <w:sz w:val="24"/>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7">
    <w:name w:val="NormalCharacter"/>
    <w:qFormat/>
    <w:uiPriority w:val="0"/>
    <w:rPr>
      <w:rFonts w:asciiTheme="minorHAnsi" w:hAnsiTheme="minorHAnsi" w:eastAsiaTheme="minorEastAsia" w:cstheme="minorBidi"/>
      <w:kern w:val="2"/>
      <w:sz w:val="21"/>
      <w:szCs w:val="22"/>
      <w:lang w:val="en-US" w:eastAsia="zh-CN" w:bidi="ar-SA"/>
    </w:rPr>
  </w:style>
  <w:style w:type="paragraph" w:customStyle="1" w:styleId="18">
    <w:name w:val="USE 1"/>
    <w:basedOn w:val="1"/>
    <w:qFormat/>
    <w:uiPriority w:val="0"/>
    <w:pPr>
      <w:spacing w:line="200" w:lineRule="atLeast"/>
      <w:jc w:val="left"/>
    </w:pPr>
    <w:rPr>
      <w:rFonts w:ascii="宋体" w:hAnsi="宋体"/>
      <w:b/>
      <w:sz w:val="24"/>
      <w:szCs w:val="28"/>
    </w:rPr>
  </w:style>
  <w:style w:type="character" w:customStyle="1" w:styleId="19">
    <w:name w:val="font11"/>
    <w:basedOn w:val="16"/>
    <w:qFormat/>
    <w:uiPriority w:val="0"/>
    <w:rPr>
      <w:rFonts w:hint="eastAsia" w:ascii="仿宋_GB2312" w:eastAsia="仿宋_GB2312" w:cs="仿宋_GB2312"/>
      <w:color w:val="000000"/>
      <w:sz w:val="24"/>
      <w:szCs w:val="24"/>
      <w:u w:val="none"/>
    </w:rPr>
  </w:style>
  <w:style w:type="paragraph" w:customStyle="1" w:styleId="20">
    <w:name w:val="mi.正文"/>
    <w:basedOn w:val="1"/>
    <w:qFormat/>
    <w:uiPriority w:val="0"/>
    <w:pPr>
      <w:widowControl/>
      <w:adjustRightInd w:val="0"/>
      <w:snapToGrid w:val="0"/>
      <w:spacing w:line="560" w:lineRule="exact"/>
      <w:ind w:firstLine="200" w:firstLineChars="200"/>
    </w:pPr>
    <w:rPr>
      <w:rFonts w:ascii="Times New Roman" w:hAnsi="Times New Roman" w:eastAsia="仿宋_GB2312" w:cs="Times New Roman"/>
      <w:color w:val="000000"/>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5123</Words>
  <Characters>5500</Characters>
  <Lines>0</Lines>
  <Paragraphs>0</Paragraphs>
  <TotalTime>4</TotalTime>
  <ScaleCrop>false</ScaleCrop>
  <LinksUpToDate>false</LinksUpToDate>
  <CharactersWithSpaces>5506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2023-07-21T07:13:00Z</dcterms:created>
  <dc:creator>江伟豪</dc:creator>
  <cp:lastModifiedBy>zhangzhenyu</cp:lastModifiedBy>
  <cp:lastPrinted>2023-12-17T06:55:00Z</cp:lastPrinted>
  <dcterms:modified xsi:type="dcterms:W3CDTF">2025-03-04T10:57:10Z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87D3F810CCD74F8FBBC0F5F4CFB5F6FB</vt:lpwstr>
  </property>
</Properties>
</file>