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00" w:lineRule="auto"/>
        <w:ind w:firstLine="2200" w:firstLineChars="1000"/>
        <w:jc w:val="right"/>
        <w:rPr>
          <w:rFonts w:ascii="宋体" w:hAnsi="宋体"/>
          <w:sz w:val="22"/>
          <w:u w:val="single"/>
        </w:rPr>
      </w:pPr>
      <w:r>
        <w:rPr>
          <w:rFonts w:hint="eastAsia" w:ascii="宋体" w:hAnsi="宋体"/>
          <w:sz w:val="22"/>
        </w:rPr>
        <w:t>采购编号：</w:t>
      </w:r>
      <w:r>
        <w:rPr>
          <w:rFonts w:ascii="宋体" w:hAnsi="宋体"/>
          <w:b/>
          <w:sz w:val="22"/>
          <w:u w:val="single"/>
        </w:rPr>
        <w:t xml:space="preserve">          </w:t>
      </w:r>
    </w:p>
    <w:p>
      <w:pPr>
        <w:spacing w:line="300" w:lineRule="auto"/>
        <w:rPr>
          <w:rFonts w:ascii="宋体" w:hAnsi="宋体"/>
        </w:rPr>
      </w:pPr>
    </w:p>
    <w:p>
      <w:pPr>
        <w:spacing w:line="300" w:lineRule="auto"/>
        <w:rPr>
          <w:rFonts w:ascii="宋体" w:hAnsi="宋体"/>
          <w:sz w:val="48"/>
          <w:szCs w:val="48"/>
        </w:rPr>
      </w:pPr>
    </w:p>
    <w:p>
      <w:pPr>
        <w:spacing w:line="300" w:lineRule="auto"/>
        <w:rPr>
          <w:rFonts w:ascii="宋体" w:hAnsi="宋体"/>
          <w:sz w:val="48"/>
          <w:szCs w:val="48"/>
        </w:rPr>
      </w:pPr>
    </w:p>
    <w:p>
      <w:pPr>
        <w:spacing w:line="300" w:lineRule="auto"/>
        <w:jc w:val="center"/>
        <w:rPr>
          <w:rFonts w:ascii="宋体" w:hAnsi="宋体" w:cs="Courier New"/>
          <w:b/>
          <w:bCs/>
          <w:sz w:val="72"/>
          <w:szCs w:val="21"/>
        </w:rPr>
      </w:pPr>
      <w:r>
        <w:rPr>
          <w:rFonts w:hint="eastAsia" w:ascii="宋体" w:hAnsi="宋体" w:cs="Courier New"/>
          <w:b/>
          <w:bCs/>
          <w:sz w:val="72"/>
          <w:szCs w:val="21"/>
        </w:rPr>
        <w:t>深圳市政府采购</w:t>
      </w:r>
    </w:p>
    <w:p>
      <w:pPr>
        <w:spacing w:line="300" w:lineRule="auto"/>
        <w:jc w:val="center"/>
        <w:rPr>
          <w:rFonts w:ascii="宋体" w:hAnsi="宋体" w:cs="Courier New"/>
          <w:b/>
          <w:bCs/>
          <w:sz w:val="72"/>
          <w:szCs w:val="21"/>
        </w:rPr>
      </w:pPr>
      <w:r>
        <w:rPr>
          <w:rFonts w:hint="eastAsia" w:ascii="宋体" w:hAnsi="宋体" w:cs="Courier New"/>
          <w:b/>
          <w:bCs/>
          <w:sz w:val="72"/>
          <w:szCs w:val="21"/>
        </w:rPr>
        <w:t>服务类招标文件</w:t>
      </w:r>
    </w:p>
    <w:p>
      <w:pPr>
        <w:spacing w:line="300" w:lineRule="auto"/>
        <w:rPr>
          <w:rFonts w:ascii="宋体" w:hAnsi="宋体"/>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ind w:left="3650" w:leftChars="400" w:right="932" w:rightChars="444" w:hanging="2810" w:hangingChars="1000"/>
        <w:rPr>
          <w:rFonts w:hint="eastAsia" w:ascii="宋体" w:hAnsi="宋体"/>
          <w:b/>
          <w:sz w:val="28"/>
          <w:szCs w:val="28"/>
          <w:u w:val="single"/>
          <w:lang w:eastAsia="zh-CN"/>
        </w:rPr>
      </w:pPr>
      <w:r>
        <w:rPr>
          <w:rFonts w:hint="eastAsia" w:ascii="宋体" w:hAnsi="宋体"/>
          <w:b/>
          <w:sz w:val="28"/>
          <w:szCs w:val="28"/>
        </w:rPr>
        <w:t>项  目  名  称：</w:t>
      </w:r>
      <w:r>
        <w:rPr>
          <w:rFonts w:hint="eastAsia" w:ascii="宋体" w:hAnsi="宋体"/>
          <w:b/>
          <w:sz w:val="28"/>
          <w:szCs w:val="28"/>
          <w:u w:val="single"/>
          <w:lang w:eastAsia="zh-CN"/>
        </w:rPr>
        <w:t>龙华区2019年度-2020年度建设工程</w:t>
      </w:r>
    </w:p>
    <w:p>
      <w:pPr>
        <w:spacing w:line="300" w:lineRule="auto"/>
        <w:ind w:left="3636" w:leftChars="1464" w:right="932" w:rightChars="444" w:hanging="562" w:hangingChars="200"/>
        <w:rPr>
          <w:rFonts w:ascii="宋体" w:hAnsi="宋体"/>
          <w:b/>
          <w:sz w:val="24"/>
          <w:szCs w:val="24"/>
          <w:u w:val="single"/>
        </w:rPr>
      </w:pPr>
      <w:r>
        <w:rPr>
          <w:rFonts w:hint="eastAsia" w:ascii="宋体" w:hAnsi="宋体"/>
          <w:b/>
          <w:sz w:val="28"/>
          <w:szCs w:val="28"/>
          <w:u w:val="single"/>
          <w:lang w:eastAsia="zh-CN"/>
        </w:rPr>
        <w:t>招投标情况后评估工作</w:t>
      </w:r>
      <w:r>
        <w:rPr>
          <w:rFonts w:hint="eastAsia" w:ascii="宋体" w:hAnsi="宋体"/>
          <w:b/>
          <w:sz w:val="28"/>
          <w:szCs w:val="28"/>
          <w:u w:val="single"/>
        </w:rPr>
        <w:t xml:space="preserve">                </w:t>
      </w:r>
      <w:r>
        <w:rPr>
          <w:rFonts w:ascii="宋体" w:hAnsi="宋体"/>
          <w:b/>
          <w:sz w:val="28"/>
          <w:szCs w:val="28"/>
          <w:u w:val="single"/>
        </w:rPr>
        <w:t xml:space="preserve">     </w:t>
      </w:r>
    </w:p>
    <w:p>
      <w:pPr>
        <w:spacing w:line="300" w:lineRule="auto"/>
        <w:rPr>
          <w:rFonts w:ascii="宋体" w:hAnsi="宋体"/>
          <w:b/>
          <w:sz w:val="28"/>
          <w:szCs w:val="28"/>
        </w:rPr>
      </w:pPr>
    </w:p>
    <w:p>
      <w:pPr>
        <w:spacing w:line="300" w:lineRule="auto"/>
        <w:ind w:left="561" w:leftChars="267" w:right="932" w:rightChars="444" w:firstLine="275" w:firstLineChars="98"/>
        <w:rPr>
          <w:rFonts w:ascii="宋体" w:hAnsi="宋体"/>
          <w:b/>
          <w:sz w:val="24"/>
          <w:szCs w:val="24"/>
          <w:u w:val="single"/>
        </w:rPr>
      </w:pPr>
      <w:r>
        <w:rPr>
          <w:rFonts w:hint="eastAsia" w:ascii="宋体" w:hAnsi="宋体"/>
          <w:b/>
          <w:sz w:val="28"/>
          <w:szCs w:val="28"/>
        </w:rPr>
        <w:t>采 购 人 名 称：</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深圳市龙华区住房和建设局</w:t>
      </w:r>
      <w:r>
        <w:rPr>
          <w:rFonts w:hint="eastAsia" w:ascii="宋体" w:hAnsi="宋体"/>
          <w:b/>
          <w:sz w:val="24"/>
          <w:szCs w:val="24"/>
          <w:u w:val="single"/>
        </w:rPr>
        <w:t xml:space="preserve">  </w:t>
      </w:r>
      <w:r>
        <w:rPr>
          <w:rFonts w:ascii="宋体" w:hAnsi="宋体"/>
          <w:b/>
          <w:sz w:val="24"/>
          <w:szCs w:val="24"/>
          <w:u w:val="single"/>
        </w:rPr>
        <w:t xml:space="preserve">     </w:t>
      </w:r>
    </w:p>
    <w:p>
      <w:pPr>
        <w:spacing w:line="300" w:lineRule="auto"/>
        <w:ind w:left="561" w:leftChars="267" w:right="932" w:rightChars="444" w:firstLine="134" w:firstLineChars="48"/>
        <w:rPr>
          <w:rFonts w:ascii="宋体" w:hAnsi="宋体"/>
          <w:b/>
          <w:sz w:val="28"/>
          <w:szCs w:val="28"/>
        </w:rPr>
      </w:pPr>
    </w:p>
    <w:p>
      <w:pPr>
        <w:spacing w:line="300" w:lineRule="auto"/>
        <w:rPr>
          <w:rFonts w:ascii="宋体" w:hAnsi="宋体"/>
          <w:b/>
          <w:sz w:val="28"/>
          <w:szCs w:val="28"/>
        </w:rPr>
      </w:pPr>
    </w:p>
    <w:p>
      <w:pPr>
        <w:spacing w:line="300" w:lineRule="auto"/>
        <w:rPr>
          <w:rFonts w:ascii="宋体" w:hAnsi="宋体"/>
          <w:b/>
          <w:sz w:val="28"/>
          <w:szCs w:val="28"/>
        </w:rPr>
      </w:pPr>
    </w:p>
    <w:p>
      <w:pPr>
        <w:widowControl/>
        <w:ind w:firstLine="3373" w:firstLineChars="1200"/>
        <w:jc w:val="left"/>
        <w:rPr>
          <w:rFonts w:ascii="宋体" w:hAnsi="宋体"/>
          <w:b/>
          <w:sz w:val="28"/>
          <w:szCs w:val="28"/>
        </w:rPr>
      </w:pPr>
      <w:r>
        <w:rPr>
          <w:rFonts w:hint="eastAsia" w:ascii="宋体" w:hAnsi="宋体"/>
          <w:b/>
          <w:sz w:val="28"/>
          <w:szCs w:val="28"/>
        </w:rPr>
        <w:t>二〇二〇年九月</w:t>
      </w:r>
    </w:p>
    <w:p>
      <w:pPr>
        <w:widowControl/>
        <w:ind w:firstLine="3373" w:firstLineChars="1200"/>
        <w:jc w:val="left"/>
        <w:rPr>
          <w:rFonts w:ascii="宋体" w:hAnsi="宋体"/>
          <w:b/>
          <w:sz w:val="28"/>
          <w:szCs w:val="28"/>
        </w:rPr>
      </w:pPr>
    </w:p>
    <w:p>
      <w:pPr>
        <w:widowControl/>
        <w:jc w:val="left"/>
        <w:rPr>
          <w:rFonts w:ascii="宋体" w:hAnsi="宋体"/>
          <w:b/>
          <w:sz w:val="28"/>
          <w:szCs w:val="28"/>
        </w:rPr>
        <w:sectPr>
          <w:footerReference r:id="rId3" w:type="default"/>
          <w:pgSz w:w="11906" w:h="16838"/>
          <w:pgMar w:top="1418" w:right="1588" w:bottom="1304" w:left="1588" w:header="1247" w:footer="737" w:gutter="0"/>
          <w:pgNumType w:fmt="upperRoman" w:start="1"/>
          <w:cols w:space="720" w:num="1"/>
          <w:docGrid w:linePitch="380" w:charSpace="-4301"/>
        </w:sectPr>
      </w:pPr>
    </w:p>
    <w:p>
      <w:pPr>
        <w:widowControl/>
        <w:jc w:val="left"/>
        <w:rPr>
          <w:rFonts w:ascii="宋体" w:hAnsi="宋体"/>
          <w:b/>
          <w:sz w:val="44"/>
          <w:szCs w:val="44"/>
          <w:lang w:val="zh-CN"/>
        </w:rPr>
      </w:pPr>
    </w:p>
    <w:p>
      <w:pPr>
        <w:spacing w:line="300" w:lineRule="auto"/>
        <w:jc w:val="center"/>
        <w:rPr>
          <w:rFonts w:ascii="宋体" w:hAnsi="宋体"/>
          <w:b/>
          <w:sz w:val="44"/>
          <w:szCs w:val="44"/>
        </w:rPr>
      </w:pPr>
      <w:r>
        <w:rPr>
          <w:rFonts w:ascii="宋体" w:hAnsi="宋体"/>
          <w:b/>
          <w:sz w:val="44"/>
          <w:szCs w:val="44"/>
          <w:lang w:val="zh-CN"/>
        </w:rPr>
        <w:t>目</w:t>
      </w:r>
      <w:r>
        <w:rPr>
          <w:rFonts w:hint="eastAsia" w:ascii="宋体" w:hAnsi="宋体"/>
          <w:b/>
          <w:sz w:val="44"/>
          <w:szCs w:val="44"/>
          <w:lang w:val="zh-CN"/>
        </w:rPr>
        <w:t xml:space="preserve">   </w:t>
      </w:r>
      <w:r>
        <w:rPr>
          <w:rFonts w:ascii="宋体" w:hAnsi="宋体"/>
          <w:b/>
          <w:sz w:val="44"/>
          <w:szCs w:val="44"/>
          <w:lang w:val="zh-CN"/>
        </w:rPr>
        <w:t>录</w:t>
      </w:r>
    </w:p>
    <w:p>
      <w:pPr>
        <w:pStyle w:val="56"/>
        <w:ind w:firstLine="422"/>
        <w:rPr>
          <w:rFonts w:asciiTheme="minorHAnsi" w:hAnsiTheme="minorHAnsi" w:eastAsiaTheme="minorEastAsia" w:cstheme="minorBidi"/>
          <w:bCs w:val="0"/>
          <w:caps w:val="0"/>
          <w:sz w:val="21"/>
          <w:szCs w:val="22"/>
        </w:rPr>
      </w:pPr>
      <w:r>
        <w:fldChar w:fldCharType="begin"/>
      </w:r>
      <w:r>
        <w:rPr>
          <w:rStyle w:val="138"/>
          <w:color w:val="auto"/>
        </w:rPr>
        <w:instrText xml:space="preserve"> TOC \o "1-3" \h \z \u </w:instrText>
      </w:r>
      <w:r>
        <w:fldChar w:fldCharType="separate"/>
      </w:r>
      <w:r>
        <w:fldChar w:fldCharType="begin"/>
      </w:r>
      <w:r>
        <w:instrText xml:space="preserve"> HYPERLINK \l "_Toc51235172" </w:instrText>
      </w:r>
      <w:r>
        <w:fldChar w:fldCharType="separate"/>
      </w:r>
      <w:r>
        <w:rPr>
          <w:rStyle w:val="138"/>
          <w:rFonts w:ascii="黑体" w:eastAsia="黑体"/>
        </w:rPr>
        <w:t>致投标人</w:t>
      </w:r>
      <w:r>
        <w:tab/>
      </w:r>
      <w:r>
        <w:fldChar w:fldCharType="begin"/>
      </w:r>
      <w:r>
        <w:instrText xml:space="preserve"> PAGEREF _Toc51235172 \h </w:instrText>
      </w:r>
      <w:r>
        <w:fldChar w:fldCharType="separate"/>
      </w:r>
      <w:r>
        <w:t>III</w:t>
      </w:r>
      <w:r>
        <w:fldChar w:fldCharType="end"/>
      </w:r>
      <w:r>
        <w:fldChar w:fldCharType="end"/>
      </w:r>
    </w:p>
    <w:p>
      <w:pPr>
        <w:pStyle w:val="56"/>
        <w:ind w:firstLine="422"/>
        <w:rPr>
          <w:rFonts w:asciiTheme="minorHAnsi" w:hAnsiTheme="minorHAnsi" w:eastAsiaTheme="minorEastAsia" w:cstheme="minorBidi"/>
          <w:bCs w:val="0"/>
          <w:caps w:val="0"/>
          <w:sz w:val="21"/>
          <w:szCs w:val="22"/>
        </w:rPr>
      </w:pPr>
      <w:r>
        <w:fldChar w:fldCharType="begin"/>
      </w:r>
      <w:r>
        <w:instrText xml:space="preserve"> HYPERLINK \l "_Toc51235173" </w:instrText>
      </w:r>
      <w:r>
        <w:fldChar w:fldCharType="separate"/>
      </w:r>
      <w:r>
        <w:rPr>
          <w:rStyle w:val="138"/>
        </w:rPr>
        <w:t>第一章  招标公告</w:t>
      </w:r>
      <w:r>
        <w:tab/>
      </w:r>
      <w:r>
        <w:fldChar w:fldCharType="begin"/>
      </w:r>
      <w:r>
        <w:instrText xml:space="preserve"> PAGEREF _Toc51235173 \h </w:instrText>
      </w:r>
      <w:r>
        <w:fldChar w:fldCharType="separate"/>
      </w:r>
      <w:r>
        <w:t>1</w:t>
      </w:r>
      <w:r>
        <w:fldChar w:fldCharType="end"/>
      </w:r>
      <w:r>
        <w:fldChar w:fldCharType="end"/>
      </w:r>
    </w:p>
    <w:p>
      <w:pPr>
        <w:pStyle w:val="56"/>
        <w:ind w:firstLine="422"/>
        <w:rPr>
          <w:rFonts w:asciiTheme="minorHAnsi" w:hAnsiTheme="minorHAnsi" w:eastAsiaTheme="minorEastAsia" w:cstheme="minorBidi"/>
          <w:bCs w:val="0"/>
          <w:caps w:val="0"/>
          <w:sz w:val="21"/>
          <w:szCs w:val="22"/>
        </w:rPr>
      </w:pPr>
      <w:r>
        <w:fldChar w:fldCharType="begin"/>
      </w:r>
      <w:r>
        <w:instrText xml:space="preserve"> HYPERLINK \l "_Toc51235174" </w:instrText>
      </w:r>
      <w:r>
        <w:fldChar w:fldCharType="separate"/>
      </w:r>
      <w:r>
        <w:rPr>
          <w:rStyle w:val="138"/>
          <w:rFonts w:ascii="黑体" w:eastAsia="黑体"/>
        </w:rPr>
        <w:t>第二章   投标须知</w:t>
      </w:r>
      <w:r>
        <w:tab/>
      </w:r>
      <w:r>
        <w:fldChar w:fldCharType="begin"/>
      </w:r>
      <w:r>
        <w:instrText xml:space="preserve"> PAGEREF _Toc51235174 \h </w:instrText>
      </w:r>
      <w:r>
        <w:fldChar w:fldCharType="separate"/>
      </w:r>
      <w:r>
        <w:t>4</w:t>
      </w:r>
      <w:r>
        <w:fldChar w:fldCharType="end"/>
      </w:r>
      <w:r>
        <w:fldChar w:fldCharType="end"/>
      </w:r>
    </w:p>
    <w:p>
      <w:pPr>
        <w:pStyle w:val="69"/>
        <w:rPr>
          <w:rFonts w:asciiTheme="minorHAnsi" w:hAnsiTheme="minorHAnsi" w:eastAsiaTheme="minorEastAsia" w:cstheme="minorBidi"/>
          <w:b w:val="0"/>
          <w:smallCaps w:val="0"/>
          <w:sz w:val="21"/>
          <w:szCs w:val="22"/>
        </w:rPr>
      </w:pPr>
      <w:r>
        <w:fldChar w:fldCharType="begin"/>
      </w:r>
      <w:r>
        <w:instrText xml:space="preserve"> HYPERLINK \l "_Toc51235175" </w:instrText>
      </w:r>
      <w:r>
        <w:fldChar w:fldCharType="separate"/>
      </w:r>
      <w:r>
        <w:rPr>
          <w:rStyle w:val="138"/>
        </w:rPr>
        <w:t>第一节  投标须知前附表</w:t>
      </w:r>
      <w:r>
        <w:tab/>
      </w:r>
      <w:r>
        <w:fldChar w:fldCharType="begin"/>
      </w:r>
      <w:r>
        <w:instrText xml:space="preserve"> PAGEREF _Toc51235175 \h </w:instrText>
      </w:r>
      <w:r>
        <w:fldChar w:fldCharType="separate"/>
      </w:r>
      <w:r>
        <w:t>4</w:t>
      </w:r>
      <w:r>
        <w:fldChar w:fldCharType="end"/>
      </w:r>
      <w:r>
        <w:fldChar w:fldCharType="end"/>
      </w:r>
    </w:p>
    <w:p>
      <w:pPr>
        <w:pStyle w:val="69"/>
        <w:rPr>
          <w:rFonts w:asciiTheme="minorHAnsi" w:hAnsiTheme="minorHAnsi" w:eastAsiaTheme="minorEastAsia" w:cstheme="minorBidi"/>
          <w:b w:val="0"/>
          <w:smallCaps w:val="0"/>
          <w:sz w:val="21"/>
          <w:szCs w:val="22"/>
        </w:rPr>
      </w:pPr>
      <w:r>
        <w:fldChar w:fldCharType="begin"/>
      </w:r>
      <w:r>
        <w:instrText xml:space="preserve"> HYPERLINK \l "_Toc51235176" </w:instrText>
      </w:r>
      <w:r>
        <w:fldChar w:fldCharType="separate"/>
      </w:r>
      <w:r>
        <w:rPr>
          <w:rStyle w:val="138"/>
          <w:bCs/>
        </w:rPr>
        <w:t>第二节  投标文件否决性条款汇总</w:t>
      </w:r>
      <w:r>
        <w:tab/>
      </w:r>
      <w:r>
        <w:fldChar w:fldCharType="begin"/>
      </w:r>
      <w:r>
        <w:instrText xml:space="preserve"> PAGEREF _Toc51235176 \h </w:instrText>
      </w:r>
      <w:r>
        <w:fldChar w:fldCharType="separate"/>
      </w:r>
      <w:r>
        <w:t>6</w:t>
      </w:r>
      <w:r>
        <w:fldChar w:fldCharType="end"/>
      </w:r>
      <w:r>
        <w:fldChar w:fldCharType="end"/>
      </w:r>
    </w:p>
    <w:p>
      <w:pPr>
        <w:pStyle w:val="69"/>
        <w:rPr>
          <w:rFonts w:asciiTheme="minorHAnsi" w:hAnsiTheme="minorHAnsi" w:eastAsiaTheme="minorEastAsia" w:cstheme="minorBidi"/>
          <w:b w:val="0"/>
          <w:smallCaps w:val="0"/>
          <w:sz w:val="21"/>
          <w:szCs w:val="22"/>
        </w:rPr>
      </w:pPr>
      <w:r>
        <w:fldChar w:fldCharType="begin"/>
      </w:r>
      <w:r>
        <w:instrText xml:space="preserve"> HYPERLINK \l "_Toc51235177" </w:instrText>
      </w:r>
      <w:r>
        <w:fldChar w:fldCharType="separate"/>
      </w:r>
      <w:r>
        <w:rPr>
          <w:rStyle w:val="138"/>
          <w:bCs/>
        </w:rPr>
        <w:t>第三节  投标须知</w:t>
      </w:r>
      <w:r>
        <w:tab/>
      </w:r>
      <w:r>
        <w:fldChar w:fldCharType="begin"/>
      </w:r>
      <w:r>
        <w:instrText xml:space="preserve"> PAGEREF _Toc51235177 \h </w:instrText>
      </w:r>
      <w:r>
        <w:fldChar w:fldCharType="separate"/>
      </w:r>
      <w:r>
        <w:t>7</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"_Toc51235178" </w:instrText>
      </w:r>
      <w:r>
        <w:fldChar w:fldCharType="separate"/>
      </w:r>
      <w:r>
        <w:rPr>
          <w:rStyle w:val="138"/>
        </w:rPr>
        <w:t>一、总  则</w:t>
      </w:r>
      <w:r>
        <w:tab/>
      </w:r>
      <w:r>
        <w:fldChar w:fldCharType="begin"/>
      </w:r>
      <w:r>
        <w:instrText xml:space="preserve"> PAGEREF _Toc51235178 \h </w:instrText>
      </w:r>
      <w:r>
        <w:fldChar w:fldCharType="separate"/>
      </w:r>
      <w:r>
        <w:t>7</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"_Toc51235179" </w:instrText>
      </w:r>
      <w:r>
        <w:fldChar w:fldCharType="separate"/>
      </w:r>
      <w:r>
        <w:rPr>
          <w:rStyle w:val="138"/>
        </w:rPr>
        <w:t>二、招标文件</w:t>
      </w:r>
      <w:r>
        <w:tab/>
      </w:r>
      <w:r>
        <w:fldChar w:fldCharType="begin"/>
      </w:r>
      <w:r>
        <w:instrText xml:space="preserve"> PAGEREF _Toc51235179 \h </w:instrText>
      </w:r>
      <w:r>
        <w:fldChar w:fldCharType="separate"/>
      </w:r>
      <w:r>
        <w:t>9</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"_Toc51235180" </w:instrText>
      </w:r>
      <w:r>
        <w:fldChar w:fldCharType="separate"/>
      </w:r>
      <w:r>
        <w:rPr>
          <w:rStyle w:val="138"/>
        </w:rPr>
        <w:t>三、投标文件的编制</w:t>
      </w:r>
      <w:r>
        <w:tab/>
      </w:r>
      <w:r>
        <w:fldChar w:fldCharType="begin"/>
      </w:r>
      <w:r>
        <w:instrText xml:space="preserve"> PAGEREF _Toc51235180 \h </w:instrText>
      </w:r>
      <w:r>
        <w:fldChar w:fldCharType="separate"/>
      </w:r>
      <w:r>
        <w:t>10</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"_Toc51235181" </w:instrText>
      </w:r>
      <w:r>
        <w:fldChar w:fldCharType="separate"/>
      </w:r>
      <w:r>
        <w:rPr>
          <w:rStyle w:val="138"/>
        </w:rPr>
        <w:t>四、投标文件的提交</w:t>
      </w:r>
      <w:r>
        <w:tab/>
      </w:r>
      <w:r>
        <w:fldChar w:fldCharType="begin"/>
      </w:r>
      <w:r>
        <w:instrText xml:space="preserve"> PAGEREF _Toc51235181 \h </w:instrText>
      </w:r>
      <w:r>
        <w:fldChar w:fldCharType="separate"/>
      </w:r>
      <w:r>
        <w:t>12</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"_Toc51235182" </w:instrText>
      </w:r>
      <w:r>
        <w:fldChar w:fldCharType="separate"/>
      </w:r>
      <w:r>
        <w:rPr>
          <w:rStyle w:val="138"/>
        </w:rPr>
        <w:t>五、开  标</w:t>
      </w:r>
      <w:r>
        <w:tab/>
      </w:r>
      <w:r>
        <w:fldChar w:fldCharType="begin"/>
      </w:r>
      <w:r>
        <w:instrText xml:space="preserve"> PAGEREF _Toc51235182 \h </w:instrText>
      </w:r>
      <w:r>
        <w:fldChar w:fldCharType="separate"/>
      </w:r>
      <w:r>
        <w:t>12</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"_Toc51235183" </w:instrText>
      </w:r>
      <w:r>
        <w:fldChar w:fldCharType="separate"/>
      </w:r>
      <w:r>
        <w:rPr>
          <w:rStyle w:val="138"/>
        </w:rPr>
        <w:t>六、评标与定标</w:t>
      </w:r>
      <w:r>
        <w:tab/>
      </w:r>
      <w:r>
        <w:fldChar w:fldCharType="begin"/>
      </w:r>
      <w:r>
        <w:instrText xml:space="preserve"> PAGEREF _Toc51235183 \h </w:instrText>
      </w:r>
      <w:r>
        <w:fldChar w:fldCharType="separate"/>
      </w:r>
      <w:r>
        <w:t>13</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"_Toc51235184" </w:instrText>
      </w:r>
      <w:r>
        <w:fldChar w:fldCharType="separate"/>
      </w:r>
      <w:r>
        <w:rPr>
          <w:rStyle w:val="138"/>
        </w:rPr>
        <w:t>七、公开招标失败的后续处理</w:t>
      </w:r>
      <w:r>
        <w:tab/>
      </w:r>
      <w:r>
        <w:fldChar w:fldCharType="begin"/>
      </w:r>
      <w:r>
        <w:instrText xml:space="preserve"> PAGEREF _Toc51235184 \h </w:instrText>
      </w:r>
      <w:r>
        <w:fldChar w:fldCharType="separate"/>
      </w:r>
      <w:r>
        <w:t>15</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"_Toc51235185" </w:instrText>
      </w:r>
      <w:r>
        <w:fldChar w:fldCharType="separate"/>
      </w:r>
      <w:r>
        <w:rPr>
          <w:rStyle w:val="138"/>
        </w:rPr>
        <w:t>八、合同授予</w:t>
      </w:r>
      <w:r>
        <w:tab/>
      </w:r>
      <w:r>
        <w:fldChar w:fldCharType="begin"/>
      </w:r>
      <w:r>
        <w:instrText xml:space="preserve"> PAGEREF _Toc51235185 \h </w:instrText>
      </w:r>
      <w:r>
        <w:fldChar w:fldCharType="separate"/>
      </w:r>
      <w:r>
        <w:t>15</w:t>
      </w:r>
      <w:r>
        <w:fldChar w:fldCharType="end"/>
      </w:r>
      <w:r>
        <w:fldChar w:fldCharType="end"/>
      </w:r>
    </w:p>
    <w:p>
      <w:pPr>
        <w:pStyle w:val="56"/>
        <w:ind w:firstLine="422"/>
        <w:rPr>
          <w:rFonts w:asciiTheme="minorHAnsi" w:hAnsiTheme="minorHAnsi" w:eastAsiaTheme="minorEastAsia" w:cstheme="minorBidi"/>
          <w:bCs w:val="0"/>
          <w:caps w:val="0"/>
          <w:sz w:val="21"/>
          <w:szCs w:val="22"/>
        </w:rPr>
      </w:pPr>
      <w:r>
        <w:fldChar w:fldCharType="begin"/>
      </w:r>
      <w:r>
        <w:instrText xml:space="preserve"> HYPERLINK \l "_Toc51235186" </w:instrText>
      </w:r>
      <w:r>
        <w:fldChar w:fldCharType="separate"/>
      </w:r>
      <w:r>
        <w:rPr>
          <w:rStyle w:val="138"/>
          <w:rFonts w:ascii="黑体" w:hAnsi="Courier New" w:eastAsia="黑体" w:cs="Courier New"/>
        </w:rPr>
        <w:t>第三章　投标文件格式</w:t>
      </w:r>
      <w:r>
        <w:tab/>
      </w:r>
      <w:r>
        <w:fldChar w:fldCharType="begin"/>
      </w:r>
      <w:r>
        <w:instrText xml:space="preserve"> PAGEREF _Toc51235186 \h </w:instrText>
      </w:r>
      <w:r>
        <w:fldChar w:fldCharType="separate"/>
      </w:r>
      <w:r>
        <w:t>17</w:t>
      </w:r>
      <w:r>
        <w:fldChar w:fldCharType="end"/>
      </w:r>
      <w:r>
        <w:fldChar w:fldCharType="end"/>
      </w:r>
    </w:p>
    <w:p>
      <w:pPr>
        <w:pStyle w:val="69"/>
        <w:rPr>
          <w:rFonts w:asciiTheme="minorHAnsi" w:hAnsiTheme="minorHAnsi" w:eastAsiaTheme="minorEastAsia" w:cstheme="minorBidi"/>
          <w:b w:val="0"/>
          <w:smallCaps w:val="0"/>
          <w:sz w:val="21"/>
          <w:szCs w:val="22"/>
        </w:rPr>
      </w:pPr>
      <w:r>
        <w:fldChar w:fldCharType="begin"/>
      </w:r>
      <w:r>
        <w:instrText xml:space="preserve"> HYPERLINK \l "_Toc51235187" </w:instrText>
      </w:r>
      <w:r>
        <w:fldChar w:fldCharType="separate"/>
      </w:r>
      <w:r>
        <w:rPr>
          <w:rStyle w:val="138"/>
        </w:rPr>
        <w:t>投标文件</w:t>
      </w:r>
      <w:r>
        <w:tab/>
      </w:r>
      <w:r>
        <w:fldChar w:fldCharType="begin"/>
      </w:r>
      <w:r>
        <w:instrText xml:space="preserve"> PAGEREF _Toc51235187 \h </w:instrText>
      </w:r>
      <w:r>
        <w:fldChar w:fldCharType="separate"/>
      </w:r>
      <w:r>
        <w:t>18</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"_Toc51235188" </w:instrText>
      </w:r>
      <w:r>
        <w:fldChar w:fldCharType="separate"/>
      </w:r>
      <w:r>
        <w:rPr>
          <w:rStyle w:val="138"/>
          <w:bCs/>
        </w:rPr>
        <w:t>一、法定代表人证明书</w:t>
      </w:r>
      <w:r>
        <w:tab/>
      </w:r>
      <w:r>
        <w:fldChar w:fldCharType="begin"/>
      </w:r>
      <w:r>
        <w:instrText xml:space="preserve"> PAGEREF _Toc51235188 \h </w:instrText>
      </w:r>
      <w:r>
        <w:fldChar w:fldCharType="separate"/>
      </w:r>
      <w:r>
        <w:t>19</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"_Toc51235189" </w:instrText>
      </w:r>
      <w:r>
        <w:fldChar w:fldCharType="separate"/>
      </w:r>
      <w:r>
        <w:rPr>
          <w:rStyle w:val="138"/>
          <w:bCs/>
        </w:rPr>
        <w:t>二、投标文件签署授权委托书</w:t>
      </w:r>
      <w:r>
        <w:tab/>
      </w:r>
      <w:r>
        <w:fldChar w:fldCharType="begin"/>
      </w:r>
      <w:r>
        <w:instrText xml:space="preserve"> PAGEREF _Toc51235189 \h </w:instrText>
      </w:r>
      <w:r>
        <w:fldChar w:fldCharType="separate"/>
      </w:r>
      <w:r>
        <w:t>20</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"_Toc51235190" </w:instrText>
      </w:r>
      <w:r>
        <w:fldChar w:fldCharType="separate"/>
      </w:r>
      <w:r>
        <w:rPr>
          <w:rStyle w:val="138"/>
          <w:bCs/>
        </w:rPr>
        <w:t>三、投标函</w:t>
      </w:r>
      <w:r>
        <w:tab/>
      </w:r>
      <w:r>
        <w:fldChar w:fldCharType="begin"/>
      </w:r>
      <w:r>
        <w:instrText xml:space="preserve"> PAGEREF _Toc51235190 \h </w:instrText>
      </w:r>
      <w:r>
        <w:fldChar w:fldCharType="separate"/>
      </w:r>
      <w:r>
        <w:t>21</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"_Toc51235191" </w:instrText>
      </w:r>
      <w:r>
        <w:fldChar w:fldCharType="separate"/>
      </w:r>
      <w:r>
        <w:rPr>
          <w:rStyle w:val="138"/>
          <w:bCs/>
        </w:rPr>
        <w:t>四、诚信声明函</w:t>
      </w:r>
      <w:r>
        <w:tab/>
      </w:r>
      <w:r>
        <w:fldChar w:fldCharType="begin"/>
      </w:r>
      <w:r>
        <w:instrText xml:space="preserve"> PAGEREF _Toc51235191 \h </w:instrText>
      </w:r>
      <w:r>
        <w:fldChar w:fldCharType="separate"/>
      </w:r>
      <w:r>
        <w:t>22</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"_Toc51235192" </w:instrText>
      </w:r>
      <w:r>
        <w:fldChar w:fldCharType="separate"/>
      </w:r>
      <w:r>
        <w:rPr>
          <w:rStyle w:val="138"/>
          <w:bCs/>
        </w:rPr>
        <w:t>五、政府采购投标及履约承诺函</w:t>
      </w:r>
      <w:r>
        <w:tab/>
      </w:r>
      <w:r>
        <w:fldChar w:fldCharType="begin"/>
      </w:r>
      <w:r>
        <w:instrText xml:space="preserve"> PAGEREF _Toc51235192 \h </w:instrText>
      </w:r>
      <w:r>
        <w:fldChar w:fldCharType="separate"/>
      </w:r>
      <w:r>
        <w:t>23</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"_Toc51235193" </w:instrText>
      </w:r>
      <w:r>
        <w:fldChar w:fldCharType="separate"/>
      </w:r>
      <w:r>
        <w:rPr>
          <w:rStyle w:val="138"/>
          <w:bCs/>
        </w:rPr>
        <w:t>六、开标一览表</w:t>
      </w:r>
      <w:r>
        <w:tab/>
      </w:r>
      <w:r>
        <w:fldChar w:fldCharType="begin"/>
      </w:r>
      <w:r>
        <w:instrText xml:space="preserve"> PAGEREF _Toc51235193 \h </w:instrText>
      </w:r>
      <w:r>
        <w:fldChar w:fldCharType="separate"/>
      </w:r>
      <w:r>
        <w:t>24</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"_Toc51235194" </w:instrText>
      </w:r>
      <w:r>
        <w:fldChar w:fldCharType="separate"/>
      </w:r>
      <w:r>
        <w:rPr>
          <w:rStyle w:val="138"/>
          <w:bCs/>
        </w:rPr>
        <w:t>七、投标人基本情况介绍</w:t>
      </w:r>
      <w:r>
        <w:tab/>
      </w:r>
      <w:r>
        <w:fldChar w:fldCharType="begin"/>
      </w:r>
      <w:r>
        <w:instrText xml:space="preserve"> PAGEREF _Toc51235194 \h </w:instrText>
      </w:r>
      <w:r>
        <w:fldChar w:fldCharType="separate"/>
      </w:r>
      <w:r>
        <w:t>25</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"_Toc51235195" </w:instrText>
      </w:r>
      <w:r>
        <w:fldChar w:fldCharType="separate"/>
      </w:r>
      <w:r>
        <w:rPr>
          <w:rStyle w:val="138"/>
          <w:bCs/>
        </w:rPr>
        <w:t>八、主要服务人员列表</w:t>
      </w:r>
      <w:r>
        <w:tab/>
      </w:r>
      <w:r>
        <w:fldChar w:fldCharType="begin"/>
      </w:r>
      <w:r>
        <w:instrText xml:space="preserve"> PAGEREF _Toc51235195 \h </w:instrText>
      </w:r>
      <w:r>
        <w:fldChar w:fldCharType="separate"/>
      </w:r>
      <w:r>
        <w:t>26</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"_Toc51235196" </w:instrText>
      </w:r>
      <w:r>
        <w:fldChar w:fldCharType="separate"/>
      </w:r>
      <w:r>
        <w:rPr>
          <w:rStyle w:val="138"/>
          <w:bCs/>
        </w:rPr>
        <w:t>九、评估方案</w:t>
      </w:r>
      <w:r>
        <w:tab/>
      </w:r>
      <w:r>
        <w:fldChar w:fldCharType="begin"/>
      </w:r>
      <w:r>
        <w:instrText xml:space="preserve"> PAGEREF _Toc51235196 \h </w:instrText>
      </w:r>
      <w:r>
        <w:fldChar w:fldCharType="separate"/>
      </w:r>
      <w:r>
        <w:t>27</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"_Toc51235197" </w:instrText>
      </w:r>
      <w:r>
        <w:fldChar w:fldCharType="separate"/>
      </w:r>
      <w:r>
        <w:rPr>
          <w:rStyle w:val="138"/>
          <w:bCs/>
        </w:rPr>
        <w:t>十、投标人自认为需要提交的其它资料。</w:t>
      </w:r>
      <w:r>
        <w:tab/>
      </w:r>
      <w:r>
        <w:fldChar w:fldCharType="begin"/>
      </w:r>
      <w:r>
        <w:instrText xml:space="preserve"> PAGEREF _Toc51235197 \h </w:instrText>
      </w:r>
      <w:r>
        <w:fldChar w:fldCharType="separate"/>
      </w:r>
      <w:r>
        <w:t>28</w:t>
      </w:r>
      <w:r>
        <w:fldChar w:fldCharType="end"/>
      </w:r>
      <w:r>
        <w:fldChar w:fldCharType="end"/>
      </w:r>
    </w:p>
    <w:p>
      <w:pPr>
        <w:pStyle w:val="56"/>
        <w:ind w:firstLine="422"/>
        <w:rPr>
          <w:rFonts w:asciiTheme="minorHAnsi" w:hAnsiTheme="minorHAnsi" w:eastAsiaTheme="minorEastAsia" w:cstheme="minorBidi"/>
          <w:bCs w:val="0"/>
          <w:caps w:val="0"/>
          <w:sz w:val="21"/>
          <w:szCs w:val="22"/>
        </w:rPr>
      </w:pPr>
      <w:r>
        <w:fldChar w:fldCharType="begin"/>
      </w:r>
      <w:r>
        <w:instrText xml:space="preserve"> HYPERLINK \l "_Toc51235198" </w:instrText>
      </w:r>
      <w:r>
        <w:fldChar w:fldCharType="separate"/>
      </w:r>
      <w:r>
        <w:rPr>
          <w:rStyle w:val="138"/>
          <w:rFonts w:ascii="黑体" w:eastAsia="黑体"/>
          <w:b/>
        </w:rPr>
        <w:t>第四章 合同文件格式（仅供参考）</w:t>
      </w:r>
      <w:r>
        <w:tab/>
      </w:r>
      <w:r>
        <w:fldChar w:fldCharType="begin"/>
      </w:r>
      <w:r>
        <w:instrText xml:space="preserve"> PAGEREF _Toc51235198 \h </w:instrText>
      </w:r>
      <w:r>
        <w:fldChar w:fldCharType="separate"/>
      </w:r>
      <w:r>
        <w:t>29</w:t>
      </w:r>
      <w:r>
        <w:fldChar w:fldCharType="end"/>
      </w:r>
      <w:r>
        <w:fldChar w:fldCharType="end"/>
      </w:r>
    </w:p>
    <w:p>
      <w:pPr>
        <w:pStyle w:val="42"/>
        <w:rPr>
          <w:rFonts w:asciiTheme="minorHAnsi" w:hAnsiTheme="minorHAnsi" w:eastAsiaTheme="minorEastAsia" w:cstheme="minorBidi"/>
          <w:b w:val="0"/>
          <w:iCs w:val="0"/>
          <w:sz w:val="21"/>
          <w:szCs w:val="22"/>
        </w:rPr>
      </w:pPr>
      <w:r>
        <w:fldChar w:fldCharType="begin"/>
      </w:r>
      <w:r>
        <w:instrText xml:space="preserve"> HYPERLINK \l "_Toc51235199" </w:instrText>
      </w:r>
      <w:r>
        <w:fldChar w:fldCharType="separate"/>
      </w:r>
      <w:r>
        <w:rPr>
          <w:rStyle w:val="138"/>
          <w:rFonts w:cs="Courier New"/>
          <w:bCs/>
        </w:rPr>
        <w:t>合同协议书</w:t>
      </w:r>
      <w:r>
        <w:tab/>
      </w:r>
      <w:r>
        <w:fldChar w:fldCharType="begin"/>
      </w:r>
      <w:r>
        <w:instrText xml:space="preserve"> PAGEREF _Toc51235199 \h </w:instrText>
      </w:r>
      <w:r>
        <w:fldChar w:fldCharType="separate"/>
      </w:r>
      <w:r>
        <w:t>29</w:t>
      </w:r>
      <w:r>
        <w:fldChar w:fldCharType="end"/>
      </w:r>
      <w:r>
        <w:fldChar w:fldCharType="end"/>
      </w:r>
    </w:p>
    <w:p>
      <w:pPr>
        <w:pStyle w:val="56"/>
        <w:ind w:firstLine="422"/>
        <w:rPr>
          <w:rFonts w:asciiTheme="minorHAnsi" w:hAnsiTheme="minorHAnsi" w:eastAsiaTheme="minorEastAsia" w:cstheme="minorBidi"/>
          <w:bCs w:val="0"/>
          <w:caps w:val="0"/>
          <w:sz w:val="21"/>
          <w:szCs w:val="22"/>
        </w:rPr>
      </w:pPr>
      <w:r>
        <w:fldChar w:fldCharType="begin"/>
      </w:r>
      <w:r>
        <w:instrText xml:space="preserve"> HYPERLINK \l "_Toc51235200" </w:instrText>
      </w:r>
      <w:r>
        <w:fldChar w:fldCharType="separate"/>
      </w:r>
      <w:r>
        <w:rPr>
          <w:rStyle w:val="138"/>
          <w:rFonts w:ascii="黑体" w:eastAsia="黑体"/>
          <w:b/>
        </w:rPr>
        <w:t>第五章  采购需求文件</w:t>
      </w:r>
      <w:r>
        <w:tab/>
      </w:r>
      <w:r>
        <w:fldChar w:fldCharType="begin"/>
      </w:r>
      <w:r>
        <w:instrText xml:space="preserve"> PAGEREF _Toc51235200 \h </w:instrText>
      </w:r>
      <w:r>
        <w:fldChar w:fldCharType="separate"/>
      </w:r>
      <w:r>
        <w:t>36</w:t>
      </w:r>
      <w:r>
        <w:fldChar w:fldCharType="end"/>
      </w:r>
      <w:r>
        <w:fldChar w:fldCharType="end"/>
      </w:r>
    </w:p>
    <w:p>
      <w:pPr>
        <w:pStyle w:val="42"/>
        <w:spacing w:line="240" w:lineRule="auto"/>
        <w:ind w:firstLine="0" w:firstLineChars="0"/>
        <w:jc w:val="both"/>
        <w:rPr>
          <w:b w:val="0"/>
        </w:rPr>
      </w:pPr>
      <w:r>
        <w:rPr>
          <w:b w:val="0"/>
        </w:rPr>
        <w:fldChar w:fldCharType="end"/>
      </w:r>
    </w:p>
    <w:p>
      <w:pPr>
        <w:pStyle w:val="2"/>
        <w:spacing w:line="360" w:lineRule="auto"/>
        <w:rPr>
          <w:rFonts w:ascii="宋体" w:hAnsi="宋体"/>
          <w:bCs/>
          <w:caps/>
          <w:szCs w:val="32"/>
        </w:rPr>
      </w:pPr>
      <w:bookmarkStart w:id="0" w:name="_Toc199215666"/>
      <w:bookmarkStart w:id="1" w:name="_Toc201742942"/>
      <w:bookmarkStart w:id="2" w:name="_Toc199213626"/>
      <w:bookmarkStart w:id="3" w:name="_Toc98817914"/>
      <w:bookmarkStart w:id="4" w:name="_Toc92212278"/>
      <w:r>
        <w:rPr>
          <w:rFonts w:ascii="宋体" w:hAnsi="宋体"/>
          <w:b w:val="0"/>
          <w:sz w:val="52"/>
          <w:szCs w:val="52"/>
        </w:rPr>
        <w:br w:type="page"/>
      </w:r>
      <w:bookmarkEnd w:id="0"/>
      <w:bookmarkEnd w:id="1"/>
      <w:bookmarkEnd w:id="2"/>
      <w:bookmarkStart w:id="5" w:name="_Toc51235172"/>
      <w:bookmarkStart w:id="6" w:name="_Toc201742688"/>
      <w:bookmarkStart w:id="7" w:name="_Toc201742943"/>
      <w:bookmarkStart w:id="8" w:name="_Toc201997802"/>
      <w:bookmarkStart w:id="9" w:name="_Toc199213627"/>
      <w:bookmarkStart w:id="10" w:name="_Toc199215667"/>
      <w:r>
        <w:rPr>
          <w:rFonts w:hint="eastAsia" w:ascii="黑体" w:eastAsia="黑体"/>
          <w:b w:val="0"/>
          <w:sz w:val="44"/>
          <w:szCs w:val="44"/>
        </w:rPr>
        <w:t>致投标人</w:t>
      </w:r>
      <w:bookmarkEnd w:id="5"/>
      <w:bookmarkEnd w:id="6"/>
      <w:bookmarkEnd w:id="7"/>
      <w:bookmarkEnd w:id="8"/>
      <w:bookmarkEnd w:id="9"/>
      <w:bookmarkEnd w:id="10"/>
    </w:p>
    <w:p>
      <w:pPr>
        <w:spacing w:line="360" w:lineRule="auto"/>
        <w:ind w:firstLine="420" w:firstLineChars="200"/>
        <w:rPr>
          <w:rFonts w:ascii="宋体" w:hAnsi="宋体"/>
          <w:szCs w:val="21"/>
        </w:rPr>
      </w:pPr>
      <w:bookmarkStart w:id="11" w:name="_Toc199213628"/>
      <w:bookmarkStart w:id="12" w:name="_Toc199215668"/>
      <w:bookmarkStart w:id="13" w:name="_Toc201742944"/>
      <w:bookmarkStart w:id="14" w:name="_Toc201997803"/>
      <w:r>
        <w:rPr>
          <w:rFonts w:hint="eastAsia" w:ascii="宋体" w:hAnsi="宋体"/>
          <w:szCs w:val="21"/>
        </w:rPr>
        <w:t>一、本招标文件是依据有关政府采购及招标投标的法律、法规、规章和规范性文件，根据本采购项目的特点和需要编制，并遵循了招标投标活动的公开、公平、公正和诚实信用的原则。本招标文件所包含的内容已清楚地反映了采购项目的各项要求、对投标人资格审查的标准、投标报价要求和评标方法及标准等。</w:t>
      </w:r>
    </w:p>
    <w:p>
      <w:pPr>
        <w:spacing w:line="360" w:lineRule="auto"/>
        <w:ind w:firstLine="420" w:firstLineChars="200"/>
        <w:rPr>
          <w:rFonts w:ascii="宋体" w:hAnsi="宋体"/>
          <w:szCs w:val="21"/>
        </w:rPr>
      </w:pPr>
      <w:r>
        <w:rPr>
          <w:rFonts w:hint="eastAsia" w:ascii="宋体" w:hAnsi="宋体"/>
          <w:szCs w:val="21"/>
        </w:rPr>
        <w:t>二、投标人获得招标文件后，应仔细阅读招标文件的全部内容（招标文件的补充、修改或澄清文件均为招标文件的组成部分）。在投标截止时间前，投标人应通过</w:t>
      </w:r>
      <w:r>
        <w:rPr>
          <w:rFonts w:hint="eastAsia" w:ascii="宋体" w:hAnsi="宋体" w:cs="Courier New"/>
          <w:b/>
          <w:bCs/>
          <w:szCs w:val="21"/>
        </w:rPr>
        <w:t>深圳市龙华区住房和建设局官方网站（</w:t>
      </w:r>
      <w:r>
        <w:rPr>
          <w:rFonts w:ascii="宋体" w:hAnsi="宋体" w:cs="Courier New"/>
          <w:b/>
          <w:bCs/>
          <w:szCs w:val="21"/>
        </w:rPr>
        <w:t>http://www.szlhq.gov.cn/bmxxgk/zfhjsj/</w:t>
      </w:r>
      <w:r>
        <w:rPr>
          <w:rFonts w:hint="eastAsia" w:ascii="宋体" w:hAnsi="宋体" w:cs="Courier New"/>
          <w:b/>
          <w:bCs/>
          <w:szCs w:val="21"/>
        </w:rPr>
        <w:t>）</w:t>
      </w:r>
      <w:r>
        <w:rPr>
          <w:rFonts w:hint="eastAsia" w:ascii="宋体" w:hAnsi="宋体"/>
          <w:szCs w:val="21"/>
        </w:rPr>
        <w:t>随时查看与本项目有关的所有信息。当招标文件与其补充、修改或澄清文件内容相互矛盾时，以发出日期最接近开标日期的文件为准。本招标文件所涉及的时间均为北京时间。</w:t>
      </w:r>
    </w:p>
    <w:p>
      <w:pPr>
        <w:spacing w:line="360" w:lineRule="auto"/>
        <w:ind w:firstLine="420" w:firstLineChars="200"/>
        <w:rPr>
          <w:rFonts w:ascii="宋体" w:hAnsi="宋体"/>
          <w:szCs w:val="21"/>
        </w:rPr>
      </w:pPr>
      <w:r>
        <w:rPr>
          <w:rFonts w:hint="eastAsia" w:ascii="宋体" w:hAnsi="宋体"/>
          <w:szCs w:val="21"/>
        </w:rPr>
        <w:t>三、投标人应在遵循招标文件的各项规定和要求的前提下，编制投标文件。编制</w:t>
      </w:r>
      <w:r>
        <w:rPr>
          <w:rFonts w:hint="eastAsia" w:ascii="宋体" w:hAnsi="宋体"/>
          <w:snapToGrid w:val="0"/>
          <w:kern w:val="0"/>
          <w:szCs w:val="21"/>
        </w:rPr>
        <w:t>投标文件时，应注意：</w:t>
      </w:r>
    </w:p>
    <w:p>
      <w:pPr>
        <w:spacing w:line="360" w:lineRule="auto"/>
        <w:ind w:firstLine="420" w:firstLineChars="200"/>
        <w:rPr>
          <w:rFonts w:ascii="宋体" w:hAnsi="宋体"/>
          <w:szCs w:val="21"/>
        </w:rPr>
      </w:pPr>
      <w:r>
        <w:rPr>
          <w:rFonts w:hint="eastAsia" w:ascii="宋体" w:hAnsi="宋体"/>
          <w:szCs w:val="21"/>
        </w:rPr>
        <w:t>1、对招标文件的实质性响应的规定。投标人制作的投标文件必须符合招标文件规定的实质性要求和条件。如果投标文件未能对招标文件作出实质性响应，其投标将会被拒绝。</w:t>
      </w:r>
    </w:p>
    <w:p>
      <w:pPr>
        <w:spacing w:line="360" w:lineRule="auto"/>
        <w:ind w:firstLine="420" w:firstLineChars="200"/>
        <w:rPr>
          <w:rFonts w:ascii="宋体" w:hAnsi="宋体"/>
          <w:szCs w:val="21"/>
        </w:rPr>
      </w:pPr>
      <w:r>
        <w:rPr>
          <w:rFonts w:hint="eastAsia" w:ascii="宋体" w:hAnsi="宋体"/>
          <w:szCs w:val="21"/>
        </w:rPr>
        <w:t>2、投标文件若出现招标文件第二章第二节《投标文件否决性条款汇总》中的任何一种情形，其投标将会被拒绝。</w:t>
      </w:r>
    </w:p>
    <w:p>
      <w:pPr>
        <w:spacing w:line="360" w:lineRule="auto"/>
        <w:ind w:firstLine="420" w:firstLineChars="200"/>
        <w:rPr>
          <w:rFonts w:ascii="宋体" w:hAnsi="宋体"/>
          <w:szCs w:val="21"/>
        </w:rPr>
      </w:pPr>
      <w:r>
        <w:rPr>
          <w:rFonts w:hint="eastAsia" w:ascii="宋体" w:hAnsi="宋体"/>
          <w:szCs w:val="21"/>
        </w:rPr>
        <w:t>3、投标人对招标文件内容有疑问的，应在规定时间前以书面形式要求采购人澄清。若采购人不接受，投标人必须按招标文件的要求作出回应，不得在投标文件中加进额外的条件。否则，其投标将会被拒绝。</w:t>
      </w:r>
    </w:p>
    <w:p>
      <w:pPr>
        <w:spacing w:line="360" w:lineRule="auto"/>
        <w:ind w:firstLine="420" w:firstLineChars="200"/>
        <w:rPr>
          <w:rFonts w:ascii="宋体" w:hAnsi="宋体"/>
          <w:szCs w:val="21"/>
        </w:rPr>
      </w:pPr>
      <w:r>
        <w:rPr>
          <w:rFonts w:hint="eastAsia" w:ascii="宋体" w:hAnsi="宋体"/>
          <w:szCs w:val="21"/>
        </w:rPr>
        <w:t>四、投标人在提交投标文件时，应注意：</w:t>
      </w:r>
    </w:p>
    <w:p>
      <w:pPr>
        <w:spacing w:line="360" w:lineRule="auto"/>
        <w:ind w:firstLine="420" w:firstLineChars="200"/>
        <w:rPr>
          <w:rFonts w:ascii="宋体" w:hAnsi="宋体"/>
          <w:szCs w:val="21"/>
        </w:rPr>
      </w:pPr>
      <w:r>
        <w:rPr>
          <w:rFonts w:hint="eastAsia" w:ascii="宋体" w:hAnsi="宋体"/>
          <w:szCs w:val="21"/>
        </w:rPr>
        <w:t>1、投标人应按照招标文件的规定对投标文件进行密封、标记。</w:t>
      </w:r>
    </w:p>
    <w:p>
      <w:pPr>
        <w:spacing w:line="360" w:lineRule="auto"/>
        <w:ind w:firstLine="420" w:firstLineChars="200"/>
        <w:rPr>
          <w:rFonts w:ascii="宋体" w:hAnsi="宋体"/>
          <w:szCs w:val="21"/>
        </w:rPr>
      </w:pPr>
      <w:r>
        <w:rPr>
          <w:rFonts w:hint="eastAsia" w:ascii="宋体" w:hAnsi="宋体"/>
          <w:szCs w:val="21"/>
        </w:rPr>
        <w:t>2、投标人应当在招标文件规定的投标截止时间前将投标文件送达指定地点。</w:t>
      </w:r>
    </w:p>
    <w:p>
      <w:pPr>
        <w:spacing w:line="360" w:lineRule="auto"/>
        <w:ind w:firstLine="420" w:firstLineChars="200"/>
        <w:rPr>
          <w:rFonts w:ascii="宋体" w:hAnsi="宋体"/>
          <w:szCs w:val="21"/>
        </w:rPr>
      </w:pPr>
      <w:r>
        <w:rPr>
          <w:rFonts w:hint="eastAsia" w:ascii="宋体" w:hAnsi="宋体"/>
          <w:szCs w:val="21"/>
        </w:rPr>
        <w:t xml:space="preserve">五、投标人应该注意的其他事项： </w:t>
      </w:r>
    </w:p>
    <w:p>
      <w:pPr>
        <w:spacing w:line="360" w:lineRule="auto"/>
        <w:ind w:firstLine="420" w:firstLineChars="200"/>
        <w:rPr>
          <w:rFonts w:ascii="宋体" w:hAnsi="宋体"/>
          <w:szCs w:val="21"/>
        </w:rPr>
      </w:pPr>
      <w:r>
        <w:rPr>
          <w:rFonts w:hint="eastAsia" w:ascii="宋体" w:hAnsi="宋体"/>
          <w:szCs w:val="21"/>
        </w:rPr>
        <w:t>1、投标人应首先取得深圳市政府采购投标人资格，相关手续请查看深圳政府采购网。</w:t>
      </w:r>
    </w:p>
    <w:p>
      <w:pPr>
        <w:spacing w:line="360" w:lineRule="auto"/>
        <w:ind w:firstLine="420" w:firstLineChars="200"/>
        <w:rPr>
          <w:rFonts w:ascii="宋体" w:hAnsi="宋体"/>
          <w:szCs w:val="21"/>
        </w:rPr>
      </w:pPr>
      <w:r>
        <w:rPr>
          <w:rFonts w:hint="eastAsia" w:ascii="宋体" w:hAnsi="宋体"/>
          <w:szCs w:val="21"/>
        </w:rPr>
        <w:t>2、投标人只能委派其法定代表人或其授权委托人办理与投标有关的事宜。</w:t>
      </w:r>
    </w:p>
    <w:p>
      <w:pPr>
        <w:spacing w:line="360" w:lineRule="auto"/>
        <w:ind w:firstLine="421" w:firstLineChars="200"/>
        <w:rPr>
          <w:rFonts w:ascii="宋体" w:hAnsi="宋体"/>
          <w:b/>
          <w:szCs w:val="21"/>
        </w:rPr>
      </w:pPr>
      <w:r>
        <w:rPr>
          <w:rFonts w:hint="eastAsia" w:ascii="宋体" w:hAnsi="宋体"/>
          <w:b/>
          <w:szCs w:val="21"/>
        </w:rPr>
        <w:t>3、投标人认为招标文件中存在不合理的条款对投标人构成差别待遇或者歧视待遇，或对其它条款有异议的，应在投标人提出疑问截止时间前以书面形式（加盖投标人公章）向采购人提出，逾期提出的，采购人可不予受理。</w:t>
      </w:r>
    </w:p>
    <w:p>
      <w:pPr>
        <w:spacing w:line="360" w:lineRule="auto"/>
        <w:ind w:firstLine="420" w:firstLineChars="200"/>
        <w:rPr>
          <w:rFonts w:ascii="宋体" w:hAnsi="宋体"/>
          <w:szCs w:val="21"/>
        </w:rPr>
      </w:pPr>
      <w:r>
        <w:rPr>
          <w:rFonts w:hint="eastAsia" w:ascii="宋体" w:hAnsi="宋体"/>
          <w:szCs w:val="21"/>
        </w:rPr>
        <w:t>4、投标人购买招标文件后决定放弃参加本项目投标的，请在获取招标文件后3日内以书面形式（加盖投标人公章）向采购人提出。</w:t>
      </w:r>
    </w:p>
    <w:p>
      <w:pPr>
        <w:spacing w:line="360" w:lineRule="auto"/>
        <w:ind w:firstLine="420" w:firstLineChars="200"/>
        <w:rPr>
          <w:rFonts w:ascii="宋体" w:hAnsi="宋体"/>
          <w:szCs w:val="21"/>
        </w:rPr>
        <w:sectPr>
          <w:headerReference r:id="rId4" w:type="default"/>
          <w:footerReference r:id="rId5" w:type="default"/>
          <w:pgSz w:w="11906" w:h="16838"/>
          <w:pgMar w:top="1418" w:right="1588" w:bottom="1304" w:left="1588" w:header="1247" w:footer="737" w:gutter="0"/>
          <w:pgNumType w:fmt="upperRoman" w:start="1"/>
          <w:cols w:space="720" w:num="1"/>
          <w:docGrid w:linePitch="380" w:charSpace="-4301"/>
        </w:sectPr>
      </w:pPr>
      <w:r>
        <w:rPr>
          <w:rFonts w:hint="eastAsia" w:ascii="宋体" w:hAnsi="宋体"/>
          <w:szCs w:val="21"/>
        </w:rPr>
        <w:t>5、投标人须对其投标资料的真实性负责。</w:t>
      </w:r>
    </w:p>
    <w:p>
      <w:pPr>
        <w:pStyle w:val="2"/>
        <w:spacing w:line="300" w:lineRule="auto"/>
        <w:rPr>
          <w:rFonts w:ascii="宋体" w:hAnsi="宋体"/>
          <w:sz w:val="44"/>
          <w:szCs w:val="44"/>
        </w:rPr>
      </w:pPr>
      <w:bookmarkStart w:id="15" w:name="_Toc51235173"/>
      <w:r>
        <w:rPr>
          <w:rFonts w:hint="eastAsia" w:ascii="宋体" w:hAnsi="宋体"/>
          <w:sz w:val="44"/>
          <w:szCs w:val="44"/>
        </w:rPr>
        <w:t>第一章  招标公告</w:t>
      </w:r>
      <w:bookmarkEnd w:id="15"/>
    </w:p>
    <w:p>
      <w:pPr>
        <w:autoSpaceDE w:val="0"/>
        <w:spacing w:line="360" w:lineRule="auto"/>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根据《深圳市建设工程招标投标情况后评估工作规则(试行)》(深建市场【2017】6号)第六条规定,参与标后评估的专家或专业机构,应熟悉深圳建筑市场从业企业的综合实力、信誉、履约能力等情况,要求个人的作风正派、品德端正,单位的信誉良好,确保评估工作过程保密、结果客观公正。为确保标后评估工作公平公正、科学有效,现面向社会公开采购第三方机构,承接龙华区2019年度-2020年度建设工程招投标情况后评估工作,重点评估招标结果是否达到“择优和竞价”进行评估。具体要求如下:</w:t>
      </w:r>
    </w:p>
    <w:p>
      <w:pPr>
        <w:pStyle w:val="76"/>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r>
        <w:rPr>
          <w:rFonts w:hint="eastAsia" w:cs="黑体" w:asciiTheme="minorEastAsia" w:hAnsiTheme="minorEastAsia" w:eastAsiaTheme="minorEastAsia"/>
          <w:sz w:val="21"/>
          <w:szCs w:val="21"/>
        </w:rPr>
        <w:t>　</w:t>
      </w:r>
      <w:r>
        <w:rPr>
          <w:rStyle w:val="129"/>
          <w:rFonts w:hint="eastAsia" w:cs="黑体" w:asciiTheme="minorEastAsia" w:hAnsiTheme="minorEastAsia" w:eastAsiaTheme="minorEastAsia"/>
          <w:bCs w:val="0"/>
          <w:sz w:val="21"/>
          <w:szCs w:val="21"/>
        </w:rPr>
        <w:t>一、项目名称</w:t>
      </w:r>
    </w:p>
    <w:p>
      <w:pPr>
        <w:autoSpaceDE w:val="0"/>
        <w:spacing w:line="360" w:lineRule="auto"/>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龙华区2019年度-2020年度建设工程招投标情况后评估工作</w:t>
      </w:r>
    </w:p>
    <w:p>
      <w:pPr>
        <w:pStyle w:val="76"/>
        <w:spacing w:before="0" w:beforeAutospacing="0" w:after="0" w:afterAutospacing="0" w:line="360" w:lineRule="auto"/>
        <w:rPr>
          <w:rStyle w:val="129"/>
          <w:rFonts w:cs="黑体" w:asciiTheme="minorEastAsia" w:hAnsiTheme="minorEastAsia" w:eastAsiaTheme="minorEastAsia"/>
          <w:sz w:val="21"/>
          <w:szCs w:val="21"/>
        </w:rPr>
      </w:pPr>
      <w:r>
        <w:rPr>
          <w:rStyle w:val="129"/>
          <w:rFonts w:hint="eastAsia" w:cs="黑体" w:asciiTheme="minorEastAsia" w:hAnsiTheme="minorEastAsia" w:eastAsiaTheme="minorEastAsia"/>
          <w:b w:val="0"/>
          <w:sz w:val="21"/>
          <w:szCs w:val="21"/>
        </w:rPr>
        <w:t>　　</w:t>
      </w:r>
      <w:r>
        <w:rPr>
          <w:rStyle w:val="129"/>
          <w:rFonts w:hint="eastAsia" w:cs="黑体" w:asciiTheme="minorEastAsia" w:hAnsiTheme="minorEastAsia" w:eastAsiaTheme="minorEastAsia"/>
          <w:bCs w:val="0"/>
          <w:sz w:val="21"/>
          <w:szCs w:val="21"/>
        </w:rPr>
        <w:t>二、项目范围</w:t>
      </w:r>
    </w:p>
    <w:p>
      <w:pPr>
        <w:spacing w:line="360" w:lineRule="auto"/>
        <w:ind w:firstLine="420" w:firstLineChars="200"/>
        <w:rPr>
          <w:rFonts w:cs="仿宋_GB2312" w:asciiTheme="minorEastAsia" w:hAnsiTheme="minorEastAsia" w:eastAsiaTheme="minorEastAsia"/>
          <w:szCs w:val="21"/>
        </w:rPr>
      </w:pPr>
      <w:r>
        <w:rPr>
          <w:rFonts w:hint="eastAsia" w:asciiTheme="minorEastAsia" w:hAnsiTheme="minorEastAsia" w:eastAsiaTheme="minorEastAsia"/>
          <w:kern w:val="0"/>
          <w:szCs w:val="21"/>
        </w:rPr>
        <w:t>采购一家合法成立，具备管理服务经验、综合服务实力较强、熟悉</w:t>
      </w:r>
      <w:r>
        <w:rPr>
          <w:rFonts w:hint="eastAsia" w:cs="仿宋_GB2312" w:asciiTheme="minorEastAsia" w:hAnsiTheme="minorEastAsia" w:eastAsiaTheme="minorEastAsia"/>
          <w:szCs w:val="21"/>
        </w:rPr>
        <w:t>深圳建筑市场从业企业的综合实力、信誉、履约能力等情况</w:t>
      </w:r>
      <w:r>
        <w:rPr>
          <w:rFonts w:hint="eastAsia" w:asciiTheme="minorEastAsia" w:hAnsiTheme="minorEastAsia" w:eastAsiaTheme="minorEastAsia"/>
          <w:kern w:val="0"/>
          <w:szCs w:val="21"/>
        </w:rPr>
        <w:t>的专业机构，协助龙华区住房和建设局</w:t>
      </w:r>
      <w:r>
        <w:rPr>
          <w:rFonts w:hint="eastAsia" w:cs="仿宋_GB2312" w:asciiTheme="minorEastAsia" w:hAnsiTheme="minorEastAsia" w:eastAsiaTheme="minorEastAsia"/>
          <w:szCs w:val="21"/>
        </w:rPr>
        <w:t>对我区监管范围的2019-2020年度工程建设项目（工程施工、服务、货物采购及其他类项目）的结果进行标后评估,针对约1300个项目进行初审,初审完成后遴选重点项目进行详细评审。主要考察入围方式、定标方式、下浮率区间、平均下浮率、入围单位综合实力、中标人综合实力等指标,重点评估招标结果是否达到“择优和竞价”的招标目的。</w:t>
      </w:r>
    </w:p>
    <w:p>
      <w:pPr>
        <w:pStyle w:val="76"/>
        <w:spacing w:before="0" w:beforeAutospacing="0" w:after="0" w:afterAutospacing="0" w:line="360" w:lineRule="auto"/>
        <w:rPr>
          <w:rStyle w:val="129"/>
          <w:rFonts w:cs="黑体" w:asciiTheme="minorEastAsia" w:hAnsiTheme="minorEastAsia" w:eastAsiaTheme="minorEastAsia"/>
          <w:sz w:val="21"/>
          <w:szCs w:val="21"/>
        </w:rPr>
      </w:pPr>
      <w:r>
        <w:rPr>
          <w:rStyle w:val="129"/>
          <w:rFonts w:hint="eastAsia" w:cs="黑体" w:asciiTheme="minorEastAsia" w:hAnsiTheme="minorEastAsia" w:eastAsiaTheme="minorEastAsia"/>
          <w:b w:val="0"/>
          <w:sz w:val="21"/>
          <w:szCs w:val="21"/>
        </w:rPr>
        <w:t>　　</w:t>
      </w:r>
      <w:r>
        <w:rPr>
          <w:rStyle w:val="129"/>
          <w:rFonts w:hint="eastAsia" w:cs="黑体" w:asciiTheme="minorEastAsia" w:hAnsiTheme="minorEastAsia" w:eastAsiaTheme="minorEastAsia"/>
          <w:bCs w:val="0"/>
          <w:sz w:val="21"/>
          <w:szCs w:val="21"/>
        </w:rPr>
        <w:t>三、服务内容</w:t>
      </w:r>
    </w:p>
    <w:p>
      <w:pPr>
        <w:spacing w:line="360" w:lineRule="auto"/>
        <w:ind w:firstLine="420" w:firstLineChars="200"/>
        <w:rPr>
          <w:rFonts w:cs="仿宋_GB2312" w:asciiTheme="minorEastAsia" w:hAnsiTheme="minorEastAsia" w:eastAsiaTheme="minorEastAsia"/>
          <w:szCs w:val="21"/>
        </w:rPr>
      </w:pPr>
      <w:r>
        <w:rPr>
          <w:rFonts w:asciiTheme="minorEastAsia" w:hAnsiTheme="minorEastAsia" w:eastAsiaTheme="minorEastAsia"/>
          <w:szCs w:val="21"/>
        </w:rPr>
        <w:t>　　</w:t>
      </w:r>
      <w:r>
        <w:rPr>
          <w:rFonts w:hint="eastAsia" w:cs="仿宋_GB2312" w:asciiTheme="minorEastAsia" w:hAnsiTheme="minorEastAsia" w:eastAsiaTheme="minorEastAsia"/>
          <w:szCs w:val="21"/>
        </w:rPr>
        <w:t>本次标后评估拟对采用定性评审法定标的施工项目及部分前期服务类重点项目开展评估工作，以招标结果的合理性为导向，重点对招标投标各环节进行核查，对异常情况和招标结果进行调查分析，科学、客观、公正地评估工程招标投标情况的合法合规性以及疑似“合法不合理”的现象。主要工作内容包括：</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1、招标程序的合法性、合规性评估；</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2、评估招标人是否引导投标人合理有序竞价；</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3、评估过多投标人淘汰环节是否遵循择优和竞价原则；</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4、评估定标工作的合法性、合规性；</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5、评估中标人在所有递交文件的投标人中是否属于实力较强、信誉较好、价格合理的投标人；</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6、招标过程其它异常情况。</w:t>
      </w:r>
    </w:p>
    <w:p>
      <w:pPr>
        <w:pStyle w:val="76"/>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r>
        <w:rPr>
          <w:rStyle w:val="129"/>
          <w:rFonts w:hint="eastAsia" w:cs="黑体" w:asciiTheme="minorEastAsia" w:hAnsiTheme="minorEastAsia" w:eastAsiaTheme="minorEastAsia"/>
          <w:b w:val="0"/>
          <w:sz w:val="21"/>
          <w:szCs w:val="21"/>
        </w:rPr>
        <w:t>　</w:t>
      </w:r>
      <w:r>
        <w:rPr>
          <w:rStyle w:val="129"/>
          <w:rFonts w:hint="eastAsia" w:cs="黑体" w:asciiTheme="minorEastAsia" w:hAnsiTheme="minorEastAsia" w:eastAsiaTheme="minorEastAsia"/>
          <w:bCs w:val="0"/>
          <w:sz w:val="21"/>
          <w:szCs w:val="21"/>
        </w:rPr>
        <w:t>四、投标条件</w:t>
      </w:r>
    </w:p>
    <w:p>
      <w:pPr>
        <w:pStyle w:val="76"/>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（一）具有独立法人资格。</w:t>
      </w:r>
    </w:p>
    <w:p>
      <w:pPr>
        <w:pStyle w:val="76"/>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（二）项目负责人要求：具有高级以上工程师职称。</w:t>
      </w:r>
    </w:p>
    <w:p>
      <w:pPr>
        <w:pStyle w:val="76"/>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（三）本项目不接受联合体投标。</w:t>
      </w:r>
    </w:p>
    <w:p>
      <w:pPr>
        <w:pStyle w:val="43"/>
        <w:spacing w:line="360" w:lineRule="auto"/>
        <w:ind w:firstLine="420" w:firstLineChars="200"/>
        <w:rPr>
          <w:rFonts w:cs="仿宋_GB2312" w:asciiTheme="minorEastAsia" w:hAnsiTheme="minorEastAsia" w:eastAsiaTheme="minorEastAsia"/>
        </w:rPr>
      </w:pPr>
      <w:r>
        <w:rPr>
          <w:rFonts w:hint="eastAsia" w:cs="仿宋_GB2312" w:asciiTheme="minorEastAsia" w:hAnsiTheme="minorEastAsia" w:eastAsiaTheme="minorEastAsia"/>
        </w:rPr>
        <w:t>（四）参与本项目政府采购活动时不存在被有关部门列入失信被执行人、重大税收违法案件当事人名单的情况,投</w:t>
      </w:r>
      <w:r>
        <w:rPr>
          <w:rFonts w:hint="eastAsia" w:cs="仿宋_GB2312" w:asciiTheme="minorEastAsia" w:hAnsiTheme="minorEastAsia" w:eastAsiaTheme="minorEastAsia"/>
          <w:bCs/>
        </w:rPr>
        <w:t>标人须按要求提供通过“信用中国”网</w:t>
      </w:r>
      <w:r>
        <w:rPr>
          <w:rFonts w:hint="eastAsia" w:cs="仿宋_GB2312" w:asciiTheme="minorEastAsia" w:hAnsiTheme="minorEastAsia" w:eastAsiaTheme="minorEastAsia"/>
        </w:rPr>
        <w:t>（www.creditchina.gov.cn）信用信息查询记录网络截图。</w:t>
      </w:r>
    </w:p>
    <w:p>
      <w:pPr>
        <w:pStyle w:val="43"/>
        <w:spacing w:line="360" w:lineRule="auto"/>
        <w:ind w:firstLine="420" w:firstLineChars="200"/>
        <w:rPr>
          <w:rFonts w:cs="仿宋_GB2312" w:asciiTheme="minorEastAsia" w:hAnsiTheme="minorEastAsia" w:eastAsiaTheme="minorEastAsia"/>
        </w:rPr>
      </w:pPr>
      <w:r>
        <w:rPr>
          <w:rFonts w:cs="仿宋_GB2312" w:asciiTheme="minorEastAsia" w:hAnsiTheme="minorEastAsia" w:eastAsiaTheme="minorEastAsia"/>
        </w:rPr>
        <w:t>（</w:t>
      </w:r>
      <w:r>
        <w:rPr>
          <w:rFonts w:hint="eastAsia" w:cs="仿宋_GB2312" w:asciiTheme="minorEastAsia" w:hAnsiTheme="minorEastAsia" w:eastAsiaTheme="minorEastAsia"/>
        </w:rPr>
        <w:t>五</w:t>
      </w:r>
      <w:r>
        <w:rPr>
          <w:rFonts w:cs="仿宋_GB2312" w:asciiTheme="minorEastAsia" w:hAnsiTheme="minorEastAsia" w:eastAsiaTheme="minorEastAsia"/>
        </w:rPr>
        <w:t>）参与本项目投标前三年内，在经营活动中没有重大违法记录（由投标人在《政府采购投标及履约承诺函》中作出声明）。</w:t>
      </w:r>
    </w:p>
    <w:p>
      <w:pPr>
        <w:pStyle w:val="43"/>
        <w:spacing w:line="360" w:lineRule="auto"/>
        <w:ind w:firstLine="420" w:firstLineChars="200"/>
        <w:rPr>
          <w:rFonts w:cs="仿宋_GB2312" w:asciiTheme="minorEastAsia" w:hAnsiTheme="minorEastAsia" w:eastAsiaTheme="minorEastAsia"/>
        </w:rPr>
      </w:pPr>
      <w:r>
        <w:rPr>
          <w:rFonts w:cs="仿宋_GB2312" w:asciiTheme="minorEastAsia" w:hAnsiTheme="minorEastAsia" w:eastAsiaTheme="minorEastAsia"/>
        </w:rPr>
        <w:t>（</w:t>
      </w:r>
      <w:r>
        <w:rPr>
          <w:rFonts w:hint="eastAsia" w:cs="仿宋_GB2312" w:asciiTheme="minorEastAsia" w:hAnsiTheme="minorEastAsia" w:eastAsiaTheme="minorEastAsia"/>
        </w:rPr>
        <w:t>六</w:t>
      </w:r>
      <w:r>
        <w:rPr>
          <w:rFonts w:cs="仿宋_GB2312" w:asciiTheme="minorEastAsia" w:hAnsiTheme="minorEastAsia" w:eastAsiaTheme="minorEastAsia"/>
        </w:rPr>
        <w:t>）参与本项目政府采购活动时不存在被有关部门禁止参与政府采购活动且在有效期内的情况（由投标人在《政府采购投标及履约承诺函》中作出声明）。</w:t>
      </w:r>
    </w:p>
    <w:p>
      <w:pPr>
        <w:pStyle w:val="43"/>
        <w:spacing w:line="360" w:lineRule="auto"/>
        <w:ind w:firstLine="420" w:firstLineChars="200"/>
        <w:rPr>
          <w:rFonts w:cs="仿宋_GB2312" w:asciiTheme="minorEastAsia" w:hAnsiTheme="minorEastAsia" w:eastAsiaTheme="minorEastAsia"/>
        </w:rPr>
      </w:pPr>
      <w:r>
        <w:rPr>
          <w:rFonts w:cs="仿宋_GB2312" w:asciiTheme="minorEastAsia" w:hAnsiTheme="minorEastAsia" w:eastAsiaTheme="minorEastAsia"/>
        </w:rPr>
        <w:t>（</w:t>
      </w:r>
      <w:r>
        <w:rPr>
          <w:rFonts w:hint="eastAsia" w:cs="仿宋_GB2312" w:asciiTheme="minorEastAsia" w:hAnsiTheme="minorEastAsia" w:eastAsiaTheme="minorEastAsia"/>
        </w:rPr>
        <w:t>七</w:t>
      </w:r>
      <w:r>
        <w:rPr>
          <w:rFonts w:cs="仿宋_GB2312" w:asciiTheme="minorEastAsia" w:hAnsiTheme="minorEastAsia" w:eastAsiaTheme="minorEastAsia"/>
        </w:rPr>
        <w:t>）具备《中华人民共和国政府采购法》第二十二条第一款的条件（由投标人在《政府采购投标及履约承诺函》中作出声明）。</w:t>
      </w:r>
    </w:p>
    <w:p>
      <w:pPr>
        <w:pStyle w:val="43"/>
        <w:spacing w:line="360" w:lineRule="auto"/>
        <w:ind w:firstLine="420" w:firstLineChars="200"/>
        <w:rPr>
          <w:rFonts w:asciiTheme="minorEastAsia" w:hAnsiTheme="minorEastAsia" w:eastAsiaTheme="minorEastAsia"/>
          <w:kern w:val="0"/>
        </w:rPr>
      </w:pPr>
      <w:r>
        <w:rPr>
          <w:rFonts w:cs="仿宋_GB2312" w:asciiTheme="minorEastAsia" w:hAnsiTheme="minorEastAsia" w:eastAsiaTheme="minorEastAsia"/>
        </w:rPr>
        <w:t>（</w:t>
      </w:r>
      <w:r>
        <w:rPr>
          <w:rFonts w:hint="eastAsia" w:cs="仿宋_GB2312" w:asciiTheme="minorEastAsia" w:hAnsiTheme="minorEastAsia" w:eastAsiaTheme="minorEastAsia"/>
        </w:rPr>
        <w:t>八</w:t>
      </w:r>
      <w:r>
        <w:rPr>
          <w:rFonts w:cs="仿宋_GB2312" w:asciiTheme="minorEastAsia" w:hAnsiTheme="minorEastAsia" w:eastAsiaTheme="minorEastAsia"/>
        </w:rPr>
        <w:t>）未被列入失信被执行人、重大税收违法案件当事人名单、政府采购严重违法失信行为记录名单（由投标人在《政府采购投标及履约承诺函》中作出声明）。</w:t>
      </w:r>
    </w:p>
    <w:p>
      <w:pPr>
        <w:pStyle w:val="76"/>
        <w:spacing w:before="0" w:beforeAutospacing="0" w:after="0" w:afterAutospacing="0" w:line="360" w:lineRule="auto"/>
        <w:rPr>
          <w:rStyle w:val="129"/>
          <w:rFonts w:cs="黑体" w:asciiTheme="minorEastAsia" w:hAnsiTheme="minorEastAsia" w:eastAsiaTheme="minorEastAsia"/>
          <w:sz w:val="21"/>
          <w:szCs w:val="21"/>
        </w:rPr>
      </w:pPr>
      <w:r>
        <w:rPr>
          <w:rFonts w:asciiTheme="minorEastAsia" w:hAnsiTheme="minorEastAsia" w:eastAsiaTheme="minorEastAsia"/>
          <w:sz w:val="21"/>
          <w:szCs w:val="21"/>
        </w:rPr>
        <w:t>　</w:t>
      </w:r>
      <w:r>
        <w:rPr>
          <w:rStyle w:val="129"/>
          <w:rFonts w:hint="eastAsia" w:cs="黑体" w:asciiTheme="minorEastAsia" w:hAnsiTheme="minorEastAsia" w:eastAsiaTheme="minorEastAsia"/>
          <w:bCs w:val="0"/>
          <w:sz w:val="21"/>
          <w:szCs w:val="21"/>
        </w:rPr>
        <w:t>　五、投标报名提交的资料</w:t>
      </w:r>
    </w:p>
    <w:p>
      <w:pPr>
        <w:pStyle w:val="76"/>
        <w:spacing w:before="0" w:beforeAutospacing="0" w:after="0" w:afterAutospacing="0" w:line="360" w:lineRule="auto"/>
        <w:ind w:firstLine="420" w:firstLineChars="200"/>
        <w:jc w:val="both"/>
        <w:rPr>
          <w:rFonts w:cs="仿宋_GB2312" w:asciiTheme="minorEastAsia" w:hAnsiTheme="minorEastAsia" w:eastAsiaTheme="minorEastAsia"/>
          <w:bCs/>
          <w:kern w:val="2"/>
          <w:sz w:val="21"/>
          <w:szCs w:val="21"/>
        </w:rPr>
      </w:pPr>
      <w:r>
        <w:rPr>
          <w:rFonts w:hint="eastAsia" w:asciiTheme="minorEastAsia" w:hAnsiTheme="minorEastAsia" w:eastAsiaTheme="minorEastAsia"/>
          <w:sz w:val="21"/>
          <w:szCs w:val="21"/>
        </w:rPr>
        <w:t>（一）</w:t>
      </w:r>
      <w:r>
        <w:rPr>
          <w:rFonts w:hint="eastAsia" w:cs="仿宋_GB2312" w:asciiTheme="minorEastAsia" w:hAnsiTheme="minorEastAsia" w:eastAsiaTheme="minorEastAsia"/>
          <w:bCs/>
          <w:kern w:val="2"/>
          <w:sz w:val="21"/>
          <w:szCs w:val="21"/>
        </w:rPr>
        <w:t>《龙华区2019-2020年度建设工程招投标情况后评估工作技术服务机构申报表》（按附件格式填写并签字盖章）；</w:t>
      </w:r>
    </w:p>
    <w:p>
      <w:pPr>
        <w:pStyle w:val="76"/>
        <w:spacing w:before="0" w:beforeAutospacing="0" w:after="0" w:afterAutospacing="0" w:line="360" w:lineRule="auto"/>
        <w:ind w:firstLine="420" w:firstLineChars="200"/>
        <w:jc w:val="both"/>
        <w:rPr>
          <w:rFonts w:cs="仿宋_GB2312" w:asciiTheme="minorEastAsia" w:hAnsiTheme="minorEastAsia" w:eastAsiaTheme="minorEastAsia"/>
          <w:bCs/>
          <w:kern w:val="2"/>
          <w:sz w:val="21"/>
          <w:szCs w:val="21"/>
        </w:rPr>
      </w:pPr>
      <w:r>
        <w:rPr>
          <w:rFonts w:hint="eastAsia" w:asciiTheme="minorEastAsia" w:hAnsiTheme="minorEastAsia" w:eastAsiaTheme="minorEastAsia"/>
          <w:sz w:val="21"/>
          <w:szCs w:val="21"/>
        </w:rPr>
        <w:t>（二）营业执照或事业单位法人证等法人证明复印件（加盖公章）</w:t>
      </w:r>
      <w:r>
        <w:rPr>
          <w:rFonts w:hint="eastAsia" w:cs="仿宋_GB2312" w:asciiTheme="minorEastAsia" w:hAnsiTheme="minorEastAsia" w:eastAsiaTheme="minorEastAsia"/>
          <w:bCs/>
          <w:kern w:val="2"/>
          <w:sz w:val="21"/>
          <w:szCs w:val="21"/>
        </w:rPr>
        <w:t>。</w:t>
      </w:r>
    </w:p>
    <w:p>
      <w:pPr>
        <w:pStyle w:val="76"/>
        <w:spacing w:before="0" w:beforeAutospacing="0" w:after="0" w:afterAutospacing="0" w:line="360" w:lineRule="auto"/>
        <w:ind w:firstLine="420" w:firstLineChars="200"/>
        <w:jc w:val="both"/>
        <w:rPr>
          <w:rFonts w:cs="仿宋_GB2312" w:asciiTheme="minorEastAsia" w:hAnsiTheme="minorEastAsia" w:eastAsiaTheme="minorEastAsia"/>
          <w:bCs/>
          <w:kern w:val="2"/>
          <w:sz w:val="21"/>
          <w:szCs w:val="21"/>
        </w:rPr>
      </w:pPr>
      <w:r>
        <w:rPr>
          <w:rFonts w:hint="eastAsia" w:cs="仿宋_GB2312" w:asciiTheme="minorEastAsia" w:hAnsiTheme="minorEastAsia" w:eastAsiaTheme="minorEastAsia"/>
          <w:bCs/>
          <w:kern w:val="2"/>
          <w:sz w:val="21"/>
          <w:szCs w:val="21"/>
        </w:rPr>
        <w:t>（三）项目负责人职称证复印件（加盖公章）</w:t>
      </w:r>
    </w:p>
    <w:p>
      <w:pPr>
        <w:pStyle w:val="76"/>
        <w:spacing w:before="0" w:beforeAutospacing="0" w:after="0" w:afterAutospacing="0" w:line="360" w:lineRule="auto"/>
        <w:ind w:firstLine="421" w:firstLineChars="200"/>
        <w:rPr>
          <w:rStyle w:val="129"/>
          <w:rFonts w:cs="黑体" w:asciiTheme="minorEastAsia" w:hAnsiTheme="minorEastAsia" w:eastAsiaTheme="minorEastAsia"/>
          <w:bCs w:val="0"/>
          <w:sz w:val="21"/>
          <w:szCs w:val="21"/>
          <w:lang w:bidi="ar"/>
        </w:rPr>
      </w:pPr>
      <w:r>
        <w:rPr>
          <w:rStyle w:val="129"/>
          <w:rFonts w:hint="eastAsia" w:cs="黑体" w:asciiTheme="minorEastAsia" w:hAnsiTheme="minorEastAsia" w:eastAsiaTheme="minorEastAsia"/>
          <w:bCs w:val="0"/>
          <w:sz w:val="21"/>
          <w:szCs w:val="21"/>
          <w:lang w:bidi="ar"/>
        </w:rPr>
        <w:t>六、服务时间及价款</w:t>
      </w:r>
    </w:p>
    <w:p>
      <w:pPr>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（一）本项目对应预算总金额约为人民币捌拾玖万伍仟捌佰元整（¥89.58万元），下浮率上限为10%，投标人参与投标时须按此费用进行下浮率报价。（不承诺最低价者中标）</w:t>
      </w:r>
    </w:p>
    <w:p>
      <w:pPr>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szCs w:val="21"/>
        </w:rPr>
        <w:t>（二）</w:t>
      </w:r>
      <w:r>
        <w:rPr>
          <w:rFonts w:hint="eastAsia" w:cs="仿宋_GB2312" w:asciiTheme="minorEastAsia" w:hAnsiTheme="minorEastAsia" w:eastAsiaTheme="minorEastAsia"/>
          <w:bCs/>
          <w:szCs w:val="21"/>
        </w:rPr>
        <w:t>本项目服务期限为自合同签订之日起至完成合同要求。服务开始日期以合同签订生效的日期</w:t>
      </w:r>
      <w:r>
        <w:rPr>
          <w:rFonts w:hint="eastAsia" w:cs="仿宋_GB2312" w:asciiTheme="minorEastAsia" w:hAnsiTheme="minorEastAsia" w:eastAsiaTheme="minorEastAsia"/>
          <w:szCs w:val="21"/>
        </w:rPr>
        <w:t>为准，服务终止日期以合同约定为准。</w:t>
      </w:r>
    </w:p>
    <w:p>
      <w:pPr>
        <w:pStyle w:val="76"/>
        <w:spacing w:before="0" w:beforeAutospacing="0" w:after="0" w:afterAutospacing="0" w:line="360" w:lineRule="auto"/>
        <w:rPr>
          <w:rStyle w:val="129"/>
          <w:rFonts w:cs="黑体" w:asciiTheme="minorEastAsia" w:hAnsiTheme="minorEastAsia" w:eastAsiaTheme="minorEastAsia"/>
          <w:b w:val="0"/>
          <w:bCs w:val="0"/>
          <w:sz w:val="21"/>
          <w:szCs w:val="21"/>
          <w:lang w:bidi="ar"/>
        </w:rPr>
      </w:pPr>
      <w:r>
        <w:rPr>
          <w:rStyle w:val="129"/>
          <w:rFonts w:hint="eastAsia" w:cs="黑体" w:asciiTheme="minorEastAsia" w:hAnsiTheme="minorEastAsia" w:eastAsiaTheme="minorEastAsia"/>
          <w:bCs w:val="0"/>
          <w:sz w:val="21"/>
          <w:szCs w:val="21"/>
          <w:lang w:bidi="ar"/>
        </w:rPr>
        <w:t>　　七、报名方式及时间</w:t>
      </w:r>
    </w:p>
    <w:p>
      <w:pPr>
        <w:pStyle w:val="76"/>
        <w:spacing w:before="0" w:beforeAutospacing="0" w:after="0" w:afterAutospacing="0" w:line="360" w:lineRule="auto"/>
        <w:ind w:firstLine="420"/>
        <w:rPr>
          <w:rFonts w:cs="仿宋_GB2312" w:asciiTheme="minorEastAsia" w:hAnsiTheme="minorEastAsia" w:eastAsiaTheme="minorEastAsia"/>
          <w:bCs/>
          <w:kern w:val="2"/>
          <w:sz w:val="21"/>
          <w:szCs w:val="21"/>
        </w:rPr>
      </w:pPr>
      <w:r>
        <w:rPr>
          <w:rFonts w:hint="eastAsia" w:cs="仿宋_GB2312" w:asciiTheme="minorEastAsia" w:hAnsiTheme="minorEastAsia" w:eastAsiaTheme="minorEastAsia"/>
          <w:bCs/>
          <w:kern w:val="2"/>
          <w:sz w:val="21"/>
          <w:szCs w:val="21"/>
        </w:rPr>
        <w:t>凡具备条件有意申报的单位可从即日起至</w:t>
      </w:r>
      <w:r>
        <w:rPr>
          <w:rFonts w:hint="eastAsia"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u w:val="single"/>
        </w:rPr>
        <w:t xml:space="preserve">   </w:t>
      </w:r>
      <w:r>
        <w:rPr>
          <w:rFonts w:hint="eastAsia" w:cs="仿宋_GB2312" w:asciiTheme="minorEastAsia" w:hAnsiTheme="minorEastAsia" w:eastAsiaTheme="minorEastAsia"/>
          <w:bCs/>
          <w:kern w:val="2"/>
          <w:sz w:val="21"/>
          <w:szCs w:val="21"/>
        </w:rPr>
        <w:t>年</w:t>
      </w:r>
      <w:r>
        <w:rPr>
          <w:rFonts w:cs="仿宋_GB2312" w:asciiTheme="minorEastAsia" w:hAnsiTheme="minorEastAsia" w:eastAsiaTheme="minorEastAsia"/>
          <w:bCs/>
          <w:kern w:val="2"/>
          <w:sz w:val="21"/>
          <w:szCs w:val="21"/>
          <w:u w:val="single"/>
        </w:rPr>
        <w:t xml:space="preserve">    </w:t>
      </w:r>
      <w:r>
        <w:rPr>
          <w:rFonts w:hint="eastAsia" w:cs="仿宋_GB2312" w:asciiTheme="minorEastAsia" w:hAnsiTheme="minorEastAsia" w:eastAsiaTheme="minorEastAsia"/>
          <w:bCs/>
          <w:kern w:val="2"/>
          <w:sz w:val="21"/>
          <w:szCs w:val="21"/>
        </w:rPr>
        <w:t>月</w:t>
      </w:r>
      <w:r>
        <w:rPr>
          <w:rFonts w:cs="仿宋_GB2312" w:asciiTheme="minorEastAsia" w:hAnsiTheme="minorEastAsia" w:eastAsiaTheme="minorEastAsia"/>
          <w:bCs/>
          <w:kern w:val="2"/>
          <w:sz w:val="21"/>
          <w:szCs w:val="21"/>
          <w:u w:val="single"/>
        </w:rPr>
        <w:t xml:space="preserve">     </w:t>
      </w:r>
      <w:r>
        <w:rPr>
          <w:rFonts w:hint="eastAsia" w:cs="仿宋_GB2312" w:asciiTheme="minorEastAsia" w:hAnsiTheme="minorEastAsia" w:eastAsiaTheme="minorEastAsia"/>
          <w:bCs/>
          <w:kern w:val="2"/>
          <w:sz w:val="21"/>
          <w:szCs w:val="21"/>
        </w:rPr>
        <w:t>日</w:t>
      </w:r>
      <w:r>
        <w:rPr>
          <w:rFonts w:hint="eastAsia" w:cs="仿宋_GB2312" w:asciiTheme="minorEastAsia" w:hAnsiTheme="minorEastAsia" w:eastAsiaTheme="minorEastAsia"/>
          <w:bCs/>
          <w:kern w:val="2"/>
          <w:sz w:val="21"/>
          <w:szCs w:val="21"/>
          <w:u w:val="single"/>
        </w:rPr>
        <w:t>18:00</w:t>
      </w:r>
      <w:r>
        <w:rPr>
          <w:rFonts w:hint="eastAsia" w:cs="仿宋_GB2312" w:asciiTheme="minorEastAsia" w:hAnsiTheme="minorEastAsia" w:eastAsiaTheme="minorEastAsia"/>
          <w:bCs/>
          <w:kern w:val="2"/>
          <w:sz w:val="21"/>
          <w:szCs w:val="21"/>
        </w:rPr>
        <w:t>期间携带投标报名材料至龙华区龙华大道98号清湖行政服务中心三栋310室（区住建局采购办）提交。联系人:龚成,联系电话:28118159。</w:t>
      </w:r>
    </w:p>
    <w:p>
      <w:pPr>
        <w:pStyle w:val="76"/>
        <w:spacing w:before="0" w:beforeAutospacing="0" w:after="0" w:afterAutospacing="0" w:line="360" w:lineRule="auto"/>
        <w:rPr>
          <w:rStyle w:val="129"/>
          <w:rFonts w:cs="黑体" w:asciiTheme="minorEastAsia" w:hAnsiTheme="minorEastAsia" w:eastAsiaTheme="minorEastAsia"/>
          <w:bCs w:val="0"/>
          <w:sz w:val="21"/>
          <w:szCs w:val="21"/>
          <w:lang w:bidi="ar"/>
        </w:rPr>
      </w:pPr>
      <w:r>
        <w:rPr>
          <w:rStyle w:val="129"/>
          <w:rFonts w:hint="eastAsia" w:cs="黑体" w:asciiTheme="minorEastAsia" w:hAnsiTheme="minorEastAsia" w:eastAsiaTheme="minorEastAsia"/>
          <w:bCs w:val="0"/>
          <w:sz w:val="21"/>
          <w:szCs w:val="21"/>
          <w:lang w:bidi="ar"/>
        </w:rPr>
        <w:t>　　八、</w:t>
      </w:r>
      <w:r>
        <w:rPr>
          <w:rStyle w:val="129"/>
          <w:rFonts w:cs="黑体" w:asciiTheme="minorEastAsia" w:hAnsiTheme="minorEastAsia" w:eastAsiaTheme="minorEastAsia"/>
          <w:sz w:val="21"/>
          <w:szCs w:val="21"/>
          <w:lang w:bidi="ar"/>
        </w:rPr>
        <w:t>提交投标文件截止时间、开标时间和地点</w:t>
      </w:r>
    </w:p>
    <w:p>
      <w:pPr>
        <w:pStyle w:val="76"/>
        <w:spacing w:before="0" w:beforeAutospacing="0" w:after="0" w:afterAutospacing="0" w:line="360" w:lineRule="auto"/>
        <w:ind w:firstLine="420"/>
        <w:rPr>
          <w:rFonts w:cs="仿宋_GB2312" w:asciiTheme="minorEastAsia" w:hAnsiTheme="minorEastAsia" w:eastAsiaTheme="minorEastAsia"/>
          <w:bCs/>
          <w:kern w:val="2"/>
          <w:sz w:val="21"/>
          <w:szCs w:val="21"/>
        </w:rPr>
      </w:pPr>
      <w:r>
        <w:rPr>
          <w:rFonts w:hint="eastAsia" w:cs="仿宋_GB2312" w:asciiTheme="minorEastAsia" w:hAnsiTheme="minorEastAsia" w:eastAsiaTheme="minorEastAsia"/>
          <w:bCs/>
          <w:kern w:val="2"/>
          <w:sz w:val="21"/>
          <w:szCs w:val="21"/>
        </w:rPr>
        <w:t>（一）</w:t>
      </w:r>
      <w:r>
        <w:rPr>
          <w:rFonts w:cs="仿宋_GB2312" w:asciiTheme="minorEastAsia" w:hAnsiTheme="minorEastAsia" w:eastAsiaTheme="minorEastAsia"/>
          <w:bCs/>
          <w:kern w:val="2"/>
          <w:sz w:val="21"/>
          <w:szCs w:val="21"/>
        </w:rPr>
        <w:t>递交投标文件时间：</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年</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月</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日</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 xml:space="preserve"> ～</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w:t>
      </w:r>
    </w:p>
    <w:p>
      <w:pPr>
        <w:pStyle w:val="76"/>
        <w:spacing w:before="0" w:beforeAutospacing="0" w:after="0" w:afterAutospacing="0" w:line="360" w:lineRule="auto"/>
        <w:ind w:firstLine="420"/>
        <w:rPr>
          <w:rFonts w:cs="仿宋_GB2312" w:asciiTheme="minorEastAsia" w:hAnsiTheme="minorEastAsia" w:eastAsiaTheme="minorEastAsia"/>
          <w:bCs/>
          <w:kern w:val="2"/>
          <w:sz w:val="21"/>
          <w:szCs w:val="21"/>
        </w:rPr>
      </w:pPr>
      <w:r>
        <w:rPr>
          <w:rFonts w:hint="eastAsia" w:cs="仿宋_GB2312" w:asciiTheme="minorEastAsia" w:hAnsiTheme="minorEastAsia" w:eastAsiaTheme="minorEastAsia"/>
          <w:bCs/>
          <w:kern w:val="2"/>
          <w:sz w:val="21"/>
          <w:szCs w:val="21"/>
        </w:rPr>
        <w:t>（二）</w:t>
      </w:r>
      <w:r>
        <w:rPr>
          <w:rFonts w:cs="仿宋_GB2312" w:asciiTheme="minorEastAsia" w:hAnsiTheme="minorEastAsia" w:eastAsiaTheme="minorEastAsia"/>
          <w:bCs/>
          <w:kern w:val="2"/>
          <w:sz w:val="21"/>
          <w:szCs w:val="21"/>
        </w:rPr>
        <w:t>投标截止及开标时间：</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年</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月</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日</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 xml:space="preserve"> ～</w:t>
      </w:r>
      <w:r>
        <w:rPr>
          <w:rFonts w:cs="仿宋_GB2312" w:asciiTheme="minorEastAsia" w:hAnsiTheme="minorEastAsia" w:eastAsiaTheme="minorEastAsia"/>
          <w:bCs/>
          <w:kern w:val="2"/>
          <w:sz w:val="21"/>
          <w:szCs w:val="21"/>
          <w:u w:val="single"/>
        </w:rPr>
        <w:t xml:space="preserve">      </w:t>
      </w:r>
      <w:r>
        <w:rPr>
          <w:rFonts w:cs="仿宋_GB2312" w:asciiTheme="minorEastAsia" w:hAnsiTheme="minorEastAsia" w:eastAsiaTheme="minorEastAsia"/>
          <w:bCs/>
          <w:kern w:val="2"/>
          <w:sz w:val="21"/>
          <w:szCs w:val="21"/>
        </w:rPr>
        <w:t>。</w:t>
      </w:r>
    </w:p>
    <w:p>
      <w:pPr>
        <w:pStyle w:val="76"/>
        <w:spacing w:before="0" w:beforeAutospacing="0" w:after="0" w:afterAutospacing="0" w:line="360" w:lineRule="auto"/>
        <w:ind w:firstLine="420"/>
        <w:rPr>
          <w:rFonts w:hint="eastAsia" w:cs="仿宋_GB2312" w:asciiTheme="minorEastAsia" w:hAnsiTheme="minorEastAsia" w:eastAsiaTheme="minorEastAsia"/>
          <w:bCs/>
          <w:kern w:val="2"/>
          <w:sz w:val="21"/>
          <w:szCs w:val="21"/>
        </w:rPr>
      </w:pPr>
      <w:r>
        <w:rPr>
          <w:rFonts w:hint="eastAsia" w:cs="仿宋_GB2312" w:asciiTheme="minorEastAsia" w:hAnsiTheme="minorEastAsia" w:eastAsiaTheme="minorEastAsia"/>
          <w:bCs/>
          <w:kern w:val="2"/>
          <w:sz w:val="21"/>
          <w:szCs w:val="21"/>
        </w:rPr>
        <w:t>（三）递交投标文件地点：龙华区龙华大道98号清湖行政服务中心三栋310室（区住建局采购办，联系人:龚成,联系电话:28118159）。</w:t>
      </w:r>
    </w:p>
    <w:p>
      <w:pPr>
        <w:pStyle w:val="76"/>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r>
        <w:rPr>
          <w:rStyle w:val="129"/>
          <w:rFonts w:hint="eastAsia" w:cs="黑体" w:asciiTheme="minorEastAsia" w:hAnsiTheme="minorEastAsia" w:eastAsiaTheme="minorEastAsia"/>
          <w:bCs w:val="0"/>
          <w:sz w:val="21"/>
          <w:szCs w:val="21"/>
          <w:lang w:bidi="ar"/>
        </w:rPr>
        <w:t>　九、采购人联系方式</w:t>
      </w:r>
    </w:p>
    <w:p>
      <w:pPr>
        <w:pStyle w:val="76"/>
        <w:spacing w:before="0" w:beforeAutospacing="0" w:after="0" w:afterAutospacing="0" w:line="360" w:lineRule="auto"/>
        <w:ind w:firstLine="420"/>
        <w:rPr>
          <w:rFonts w:cs="仿宋_GB2312" w:asciiTheme="minorEastAsia" w:hAnsiTheme="minorEastAsia" w:eastAsiaTheme="minorEastAsia"/>
          <w:bCs/>
          <w:kern w:val="2"/>
          <w:sz w:val="21"/>
          <w:szCs w:val="21"/>
        </w:rPr>
      </w:pPr>
      <w:bookmarkStart w:id="16" w:name="_Toc51235174"/>
      <w:r>
        <w:rPr>
          <w:rFonts w:cs="仿宋_GB2312" w:asciiTheme="minorEastAsia" w:hAnsiTheme="minorEastAsia" w:eastAsiaTheme="minorEastAsia"/>
          <w:bCs/>
          <w:kern w:val="2"/>
          <w:sz w:val="21"/>
          <w:szCs w:val="21"/>
        </w:rPr>
        <w:t>采购人：深圳市龙华区住房和建设局</w:t>
      </w:r>
    </w:p>
    <w:p>
      <w:pPr>
        <w:pStyle w:val="76"/>
        <w:spacing w:before="0" w:beforeAutospacing="0" w:after="0" w:afterAutospacing="0" w:line="360" w:lineRule="auto"/>
        <w:ind w:firstLine="420"/>
        <w:rPr>
          <w:rFonts w:cs="仿宋_GB2312" w:asciiTheme="minorEastAsia" w:hAnsiTheme="minorEastAsia" w:eastAsiaTheme="minorEastAsia"/>
          <w:bCs/>
          <w:kern w:val="2"/>
          <w:sz w:val="21"/>
          <w:szCs w:val="21"/>
        </w:rPr>
      </w:pPr>
      <w:r>
        <w:rPr>
          <w:rFonts w:cs="仿宋_GB2312" w:asciiTheme="minorEastAsia" w:hAnsiTheme="minorEastAsia" w:eastAsiaTheme="minorEastAsia"/>
          <w:bCs/>
          <w:kern w:val="2"/>
          <w:sz w:val="21"/>
          <w:szCs w:val="21"/>
        </w:rPr>
        <w:t>地  址：龙华区梅龙大道2283号清湖行政服务中心3栋</w:t>
      </w:r>
      <w:r>
        <w:rPr>
          <w:rFonts w:hint="eastAsia" w:cs="仿宋_GB2312" w:asciiTheme="minorEastAsia" w:hAnsiTheme="minorEastAsia" w:eastAsiaTheme="minorEastAsia"/>
          <w:bCs/>
          <w:kern w:val="2"/>
          <w:sz w:val="21"/>
          <w:szCs w:val="21"/>
        </w:rPr>
        <w:t>3</w:t>
      </w:r>
      <w:r>
        <w:rPr>
          <w:rFonts w:cs="仿宋_GB2312" w:asciiTheme="minorEastAsia" w:hAnsiTheme="minorEastAsia" w:eastAsiaTheme="minorEastAsia"/>
          <w:bCs/>
          <w:kern w:val="2"/>
          <w:sz w:val="21"/>
          <w:szCs w:val="21"/>
        </w:rPr>
        <w:t>10</w:t>
      </w:r>
      <w:r>
        <w:rPr>
          <w:rFonts w:hint="eastAsia" w:cs="仿宋_GB2312" w:asciiTheme="minorEastAsia" w:hAnsiTheme="minorEastAsia" w:eastAsiaTheme="minorEastAsia"/>
          <w:bCs/>
          <w:kern w:val="2"/>
          <w:sz w:val="21"/>
          <w:szCs w:val="21"/>
        </w:rPr>
        <w:t>室</w:t>
      </w:r>
    </w:p>
    <w:p>
      <w:pPr>
        <w:pStyle w:val="76"/>
        <w:spacing w:before="0" w:beforeAutospacing="0" w:after="0" w:afterAutospacing="0" w:line="360" w:lineRule="auto"/>
        <w:ind w:firstLine="420"/>
        <w:rPr>
          <w:rFonts w:hint="eastAsia" w:cs="仿宋_GB2312" w:asciiTheme="minorEastAsia" w:hAnsiTheme="minorEastAsia" w:eastAsiaTheme="minorEastAsia"/>
          <w:bCs/>
          <w:kern w:val="2"/>
          <w:sz w:val="21"/>
          <w:szCs w:val="21"/>
        </w:rPr>
      </w:pPr>
      <w:r>
        <w:rPr>
          <w:rFonts w:cs="仿宋_GB2312" w:asciiTheme="minorEastAsia" w:hAnsiTheme="minorEastAsia" w:eastAsiaTheme="minorEastAsia"/>
          <w:bCs/>
          <w:kern w:val="2"/>
          <w:sz w:val="21"/>
          <w:szCs w:val="21"/>
        </w:rPr>
        <w:t>联系人：</w:t>
      </w:r>
      <w:r>
        <w:rPr>
          <w:rFonts w:hint="eastAsia" w:cs="仿宋_GB2312" w:asciiTheme="minorEastAsia" w:hAnsiTheme="minorEastAsia" w:eastAsiaTheme="minorEastAsia"/>
          <w:bCs/>
          <w:kern w:val="2"/>
          <w:sz w:val="21"/>
          <w:szCs w:val="21"/>
        </w:rPr>
        <w:t>龚成</w:t>
      </w:r>
    </w:p>
    <w:p>
      <w:pPr>
        <w:pStyle w:val="76"/>
        <w:spacing w:before="0" w:beforeAutospacing="0" w:after="0" w:afterAutospacing="0" w:line="360" w:lineRule="auto"/>
        <w:ind w:firstLine="420"/>
        <w:rPr>
          <w:rFonts w:cs="仿宋_GB2312" w:asciiTheme="minorEastAsia" w:hAnsiTheme="minorEastAsia" w:eastAsiaTheme="minorEastAsia"/>
          <w:bCs/>
          <w:kern w:val="2"/>
          <w:sz w:val="21"/>
          <w:szCs w:val="21"/>
        </w:rPr>
      </w:pPr>
      <w:r>
        <w:rPr>
          <w:rFonts w:cs="仿宋_GB2312" w:asciiTheme="minorEastAsia" w:hAnsiTheme="minorEastAsia" w:eastAsiaTheme="minorEastAsia"/>
          <w:bCs/>
          <w:kern w:val="2"/>
          <w:sz w:val="21"/>
          <w:szCs w:val="21"/>
        </w:rPr>
        <w:t>联系电话：0755-</w:t>
      </w:r>
      <w:r>
        <w:rPr>
          <w:rFonts w:hint="eastAsia" w:cs="仿宋_GB2312" w:asciiTheme="minorEastAsia" w:hAnsiTheme="minorEastAsia" w:eastAsiaTheme="minorEastAsia"/>
          <w:bCs/>
          <w:kern w:val="2"/>
          <w:sz w:val="21"/>
          <w:szCs w:val="21"/>
        </w:rPr>
        <w:t>28118159</w:t>
      </w:r>
    </w:p>
    <w:p>
      <w:pPr>
        <w:pStyle w:val="76"/>
        <w:spacing w:line="560" w:lineRule="exact"/>
        <w:ind w:firstLine="420"/>
        <w:rPr>
          <w:rFonts w:cs="仿宋_GB2312" w:asciiTheme="minorEastAsia" w:hAnsiTheme="minorEastAsia" w:eastAsiaTheme="minorEastAsia"/>
          <w:bCs/>
          <w:kern w:val="2"/>
          <w:sz w:val="21"/>
          <w:szCs w:val="21"/>
        </w:rPr>
        <w:sectPr>
          <w:headerReference r:id="rId6" w:type="default"/>
          <w:pgSz w:w="11906" w:h="16838"/>
          <w:pgMar w:top="1701" w:right="1588" w:bottom="1304" w:left="1588" w:header="1247" w:footer="737" w:gutter="0"/>
          <w:cols w:space="720" w:num="1"/>
          <w:docGrid w:linePitch="380" w:charSpace="-4301"/>
        </w:sectPr>
      </w:pPr>
    </w:p>
    <w:p>
      <w:pPr>
        <w:pStyle w:val="2"/>
        <w:rPr>
          <w:rFonts w:ascii="黑体" w:eastAsia="黑体"/>
          <w:b w:val="0"/>
          <w:sz w:val="44"/>
          <w:szCs w:val="44"/>
        </w:rPr>
      </w:pPr>
      <w:r>
        <w:rPr>
          <w:rFonts w:hint="eastAsia" w:ascii="黑体" w:eastAsia="黑体"/>
          <w:b w:val="0"/>
          <w:sz w:val="44"/>
          <w:szCs w:val="44"/>
        </w:rPr>
        <w:t>第二章   投标须知</w:t>
      </w:r>
      <w:bookmarkEnd w:id="11"/>
      <w:bookmarkEnd w:id="12"/>
      <w:bookmarkEnd w:id="13"/>
      <w:bookmarkEnd w:id="14"/>
      <w:bookmarkEnd w:id="16"/>
    </w:p>
    <w:p>
      <w:pPr>
        <w:pStyle w:val="3"/>
        <w:spacing w:before="120" w:after="120" w:line="300" w:lineRule="auto"/>
        <w:rPr>
          <w:rFonts w:ascii="宋体" w:hAnsi="宋体"/>
          <w:sz w:val="30"/>
          <w:szCs w:val="30"/>
        </w:rPr>
      </w:pPr>
      <w:bookmarkStart w:id="17" w:name="_Toc51235175"/>
      <w:bookmarkStart w:id="18" w:name="_Toc201997804"/>
      <w:bookmarkStart w:id="19" w:name="_Toc201742945"/>
      <w:r>
        <w:rPr>
          <w:rFonts w:hint="eastAsia" w:ascii="宋体" w:hAnsi="宋体"/>
          <w:sz w:val="30"/>
          <w:szCs w:val="30"/>
        </w:rPr>
        <w:t>第一节  投标须知前附表</w:t>
      </w:r>
      <w:bookmarkEnd w:id="17"/>
    </w:p>
    <w:tbl>
      <w:tblPr>
        <w:tblStyle w:val="83"/>
        <w:tblW w:w="94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559"/>
        <w:gridCol w:w="64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b/>
                <w:szCs w:val="21"/>
              </w:rPr>
            </w:pPr>
            <w:r>
              <w:rPr>
                <w:rFonts w:hint="eastAsia" w:ascii="宋体" w:hAnsi="宋体"/>
                <w:b/>
                <w:szCs w:val="21"/>
              </w:rPr>
              <w:t>序号</w:t>
            </w:r>
          </w:p>
        </w:tc>
        <w:tc>
          <w:tcPr>
            <w:tcW w:w="851" w:type="dxa"/>
            <w:vAlign w:val="center"/>
          </w:tcPr>
          <w:p>
            <w:pPr>
              <w:spacing w:line="360" w:lineRule="exact"/>
              <w:jc w:val="center"/>
              <w:rPr>
                <w:rFonts w:ascii="宋体" w:hAnsi="宋体"/>
                <w:b/>
                <w:szCs w:val="21"/>
              </w:rPr>
            </w:pPr>
            <w:r>
              <w:rPr>
                <w:rFonts w:ascii="宋体" w:hAnsi="宋体"/>
                <w:b/>
                <w:szCs w:val="21"/>
              </w:rPr>
              <w:t>条款号</w:t>
            </w:r>
          </w:p>
        </w:tc>
        <w:tc>
          <w:tcPr>
            <w:tcW w:w="1559" w:type="dxa"/>
            <w:vAlign w:val="center"/>
          </w:tcPr>
          <w:p>
            <w:pPr>
              <w:spacing w:line="360" w:lineRule="exact"/>
              <w:jc w:val="center"/>
              <w:rPr>
                <w:rFonts w:ascii="宋体" w:hAnsi="宋体"/>
                <w:b/>
                <w:szCs w:val="21"/>
              </w:rPr>
            </w:pPr>
            <w:r>
              <w:rPr>
                <w:rFonts w:hint="eastAsia" w:ascii="宋体" w:hAnsi="宋体"/>
                <w:b/>
                <w:szCs w:val="21"/>
              </w:rPr>
              <w:t>内容</w:t>
            </w:r>
          </w:p>
        </w:tc>
        <w:tc>
          <w:tcPr>
            <w:tcW w:w="6413" w:type="dxa"/>
            <w:vAlign w:val="center"/>
          </w:tcPr>
          <w:p>
            <w:pPr>
              <w:spacing w:line="360" w:lineRule="exact"/>
              <w:jc w:val="center"/>
              <w:rPr>
                <w:rFonts w:ascii="宋体" w:hAnsi="宋体"/>
                <w:b/>
                <w:szCs w:val="21"/>
              </w:rPr>
            </w:pPr>
            <w:r>
              <w:rPr>
                <w:rFonts w:hint="eastAsia" w:ascii="宋体" w:hAnsi="宋体"/>
                <w:b/>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ascii="宋体" w:hAnsi="宋体"/>
                <w:szCs w:val="21"/>
              </w:rPr>
              <w:t>1</w:t>
            </w:r>
          </w:p>
        </w:tc>
        <w:tc>
          <w:tcPr>
            <w:tcW w:w="851" w:type="dxa"/>
            <w:vAlign w:val="center"/>
          </w:tcPr>
          <w:p>
            <w:pPr>
              <w:spacing w:line="360" w:lineRule="exact"/>
              <w:jc w:val="center"/>
              <w:rPr>
                <w:rFonts w:ascii="宋体" w:hAnsi="宋体"/>
                <w:szCs w:val="21"/>
              </w:rPr>
            </w:pPr>
            <w:r>
              <w:rPr>
                <w:rFonts w:hint="eastAsia" w:ascii="宋体" w:hAnsi="宋体"/>
                <w:szCs w:val="21"/>
              </w:rPr>
              <w:t>2</w:t>
            </w:r>
            <w:r>
              <w:rPr>
                <w:rFonts w:ascii="宋体" w:hAnsi="宋体"/>
                <w:szCs w:val="21"/>
              </w:rPr>
              <w:t>.1</w:t>
            </w:r>
          </w:p>
        </w:tc>
        <w:tc>
          <w:tcPr>
            <w:tcW w:w="1559" w:type="dxa"/>
            <w:vAlign w:val="center"/>
          </w:tcPr>
          <w:p>
            <w:pPr>
              <w:spacing w:line="360" w:lineRule="exact"/>
              <w:rPr>
                <w:rFonts w:ascii="宋体" w:hAnsi="宋体"/>
                <w:szCs w:val="21"/>
              </w:rPr>
            </w:pPr>
            <w:r>
              <w:rPr>
                <w:rFonts w:ascii="宋体" w:hAnsi="宋体"/>
                <w:szCs w:val="21"/>
              </w:rPr>
              <w:t>项目名称</w:t>
            </w:r>
          </w:p>
        </w:tc>
        <w:tc>
          <w:tcPr>
            <w:tcW w:w="6413" w:type="dxa"/>
            <w:vAlign w:val="center"/>
          </w:tcPr>
          <w:p>
            <w:pPr>
              <w:rPr>
                <w:rFonts w:hint="eastAsia"/>
              </w:rPr>
            </w:pPr>
            <w:r>
              <w:rPr>
                <w:rFonts w:hint="eastAsia"/>
              </w:rPr>
              <w:t>龙华区2019年度-2020年度建设工程招投标情况后评估工作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2</w:t>
            </w:r>
          </w:p>
        </w:tc>
        <w:tc>
          <w:tcPr>
            <w:tcW w:w="851" w:type="dxa"/>
            <w:vAlign w:val="center"/>
          </w:tcPr>
          <w:p>
            <w:pPr>
              <w:spacing w:line="360" w:lineRule="exact"/>
              <w:jc w:val="center"/>
              <w:rPr>
                <w:rFonts w:ascii="宋体" w:hAnsi="宋体"/>
                <w:szCs w:val="21"/>
              </w:rPr>
            </w:pPr>
            <w:r>
              <w:rPr>
                <w:rFonts w:hint="eastAsia" w:ascii="宋体" w:hAnsi="宋体"/>
                <w:szCs w:val="21"/>
              </w:rPr>
              <w:t>2.2</w:t>
            </w:r>
          </w:p>
        </w:tc>
        <w:tc>
          <w:tcPr>
            <w:tcW w:w="1559" w:type="dxa"/>
            <w:vAlign w:val="center"/>
          </w:tcPr>
          <w:p>
            <w:pPr>
              <w:spacing w:line="360" w:lineRule="exact"/>
              <w:rPr>
                <w:rFonts w:ascii="宋体" w:hAnsi="宋体"/>
                <w:szCs w:val="21"/>
              </w:rPr>
            </w:pPr>
            <w:r>
              <w:rPr>
                <w:rFonts w:hint="eastAsia" w:ascii="宋体" w:hAnsi="宋体"/>
                <w:szCs w:val="21"/>
              </w:rPr>
              <w:t>采购人</w:t>
            </w:r>
          </w:p>
        </w:tc>
        <w:tc>
          <w:tcPr>
            <w:tcW w:w="6413" w:type="dxa"/>
            <w:vAlign w:val="center"/>
          </w:tcPr>
          <w:p>
            <w:r>
              <w:rPr>
                <w:rFonts w:hint="eastAsia"/>
              </w:rPr>
              <w:t>深圳市龙华区住房和建设局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3</w:t>
            </w:r>
          </w:p>
        </w:tc>
        <w:tc>
          <w:tcPr>
            <w:tcW w:w="851" w:type="dxa"/>
            <w:vAlign w:val="center"/>
          </w:tcPr>
          <w:p>
            <w:pPr>
              <w:spacing w:line="360" w:lineRule="exact"/>
              <w:jc w:val="center"/>
              <w:rPr>
                <w:rFonts w:ascii="宋体" w:hAnsi="宋体"/>
                <w:szCs w:val="21"/>
              </w:rPr>
            </w:pPr>
            <w:r>
              <w:rPr>
                <w:rFonts w:hint="eastAsia" w:ascii="宋体" w:hAnsi="宋体"/>
                <w:szCs w:val="21"/>
              </w:rPr>
              <w:t>2.</w:t>
            </w:r>
            <w:r>
              <w:rPr>
                <w:rFonts w:ascii="宋体" w:hAnsi="宋体"/>
                <w:szCs w:val="21"/>
              </w:rPr>
              <w:t>3</w:t>
            </w:r>
          </w:p>
        </w:tc>
        <w:tc>
          <w:tcPr>
            <w:tcW w:w="1559" w:type="dxa"/>
            <w:vAlign w:val="center"/>
          </w:tcPr>
          <w:p>
            <w:pPr>
              <w:spacing w:line="360" w:lineRule="exact"/>
              <w:rPr>
                <w:rFonts w:ascii="宋体" w:hAnsi="宋体"/>
                <w:szCs w:val="21"/>
              </w:rPr>
            </w:pPr>
            <w:r>
              <w:rPr>
                <w:rFonts w:hint="eastAsia" w:ascii="宋体" w:hAnsi="宋体"/>
                <w:szCs w:val="21"/>
              </w:rPr>
              <w:t>项目地点</w:t>
            </w:r>
          </w:p>
        </w:tc>
        <w:tc>
          <w:tcPr>
            <w:tcW w:w="6413" w:type="dxa"/>
            <w:vAlign w:val="center"/>
          </w:tcPr>
          <w:p>
            <w:pPr>
              <w:spacing w:line="360" w:lineRule="exact"/>
              <w:rPr>
                <w:rFonts w:ascii="宋体" w:hAnsi="宋体"/>
                <w:szCs w:val="21"/>
              </w:rPr>
            </w:pPr>
            <w:r>
              <w:rPr>
                <w:rFonts w:hint="eastAsia" w:ascii="宋体" w:hAnsi="宋体"/>
                <w:szCs w:val="21"/>
              </w:rPr>
              <w:t>深圳市龙华区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4</w:t>
            </w:r>
          </w:p>
        </w:tc>
        <w:tc>
          <w:tcPr>
            <w:tcW w:w="851" w:type="dxa"/>
            <w:vAlign w:val="center"/>
          </w:tcPr>
          <w:p>
            <w:pPr>
              <w:spacing w:line="360" w:lineRule="exact"/>
              <w:jc w:val="center"/>
              <w:rPr>
                <w:rFonts w:ascii="宋体" w:hAnsi="宋体"/>
                <w:szCs w:val="21"/>
              </w:rPr>
            </w:pPr>
            <w:r>
              <w:rPr>
                <w:rFonts w:hint="eastAsia" w:ascii="宋体" w:hAnsi="宋体"/>
                <w:szCs w:val="21"/>
              </w:rPr>
              <w:t>2.</w:t>
            </w:r>
            <w:r>
              <w:rPr>
                <w:rFonts w:ascii="宋体" w:hAnsi="宋体"/>
                <w:szCs w:val="21"/>
              </w:rPr>
              <w:t>4</w:t>
            </w:r>
          </w:p>
        </w:tc>
        <w:tc>
          <w:tcPr>
            <w:tcW w:w="1559" w:type="dxa"/>
            <w:vAlign w:val="center"/>
          </w:tcPr>
          <w:p>
            <w:pPr>
              <w:spacing w:line="360" w:lineRule="exact"/>
              <w:rPr>
                <w:rFonts w:ascii="宋体" w:hAnsi="宋体"/>
                <w:szCs w:val="21"/>
              </w:rPr>
            </w:pPr>
            <w:r>
              <w:rPr>
                <w:rFonts w:hint="eastAsia" w:ascii="宋体" w:hAnsi="宋体"/>
                <w:szCs w:val="21"/>
              </w:rPr>
              <w:t>采购内容</w:t>
            </w:r>
          </w:p>
        </w:tc>
        <w:tc>
          <w:tcPr>
            <w:tcW w:w="6413" w:type="dxa"/>
            <w:vAlign w:val="center"/>
          </w:tcPr>
          <w:p>
            <w:pPr>
              <w:spacing w:line="360" w:lineRule="exact"/>
              <w:rPr>
                <w:rFonts w:ascii="宋体" w:hAnsi="宋体"/>
                <w:szCs w:val="21"/>
              </w:rPr>
            </w:pPr>
            <w:r>
              <w:rPr>
                <w:rFonts w:hint="eastAsia"/>
              </w:rPr>
              <w:t>龙华区2019年度-2020年度建设工程招投标情况后评估工作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5</w:t>
            </w:r>
          </w:p>
        </w:tc>
        <w:tc>
          <w:tcPr>
            <w:tcW w:w="851" w:type="dxa"/>
            <w:vAlign w:val="center"/>
          </w:tcPr>
          <w:p>
            <w:pPr>
              <w:spacing w:line="360" w:lineRule="exact"/>
              <w:jc w:val="center"/>
              <w:rPr>
                <w:rFonts w:ascii="宋体" w:hAnsi="宋体"/>
                <w:szCs w:val="21"/>
              </w:rPr>
            </w:pPr>
            <w:r>
              <w:rPr>
                <w:rFonts w:hint="eastAsia" w:ascii="宋体" w:hAnsi="宋体"/>
                <w:szCs w:val="21"/>
              </w:rPr>
              <w:t>3</w:t>
            </w:r>
            <w:r>
              <w:rPr>
                <w:rFonts w:ascii="宋体" w:hAnsi="宋体"/>
                <w:szCs w:val="21"/>
              </w:rPr>
              <w:t>.1</w:t>
            </w:r>
          </w:p>
        </w:tc>
        <w:tc>
          <w:tcPr>
            <w:tcW w:w="1559" w:type="dxa"/>
            <w:vAlign w:val="center"/>
          </w:tcPr>
          <w:p>
            <w:pPr>
              <w:spacing w:line="360" w:lineRule="exact"/>
              <w:rPr>
                <w:rFonts w:ascii="宋体" w:hAnsi="宋体"/>
                <w:szCs w:val="21"/>
              </w:rPr>
            </w:pPr>
            <w:r>
              <w:rPr>
                <w:rFonts w:ascii="宋体" w:hAnsi="宋体"/>
                <w:szCs w:val="21"/>
              </w:rPr>
              <w:t>资金来源</w:t>
            </w:r>
          </w:p>
        </w:tc>
        <w:tc>
          <w:tcPr>
            <w:tcW w:w="6413" w:type="dxa"/>
            <w:vAlign w:val="center"/>
          </w:tcPr>
          <w:p>
            <w:pPr>
              <w:spacing w:line="360" w:lineRule="exact"/>
              <w:rPr>
                <w:rFonts w:ascii="宋体" w:hAnsi="宋体"/>
                <w:szCs w:val="21"/>
              </w:rPr>
            </w:pPr>
            <w:r>
              <w:rPr>
                <w:rFonts w:hint="eastAsia"/>
                <w:szCs w:val="24"/>
              </w:rPr>
              <w:t>政府投资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6</w:t>
            </w:r>
          </w:p>
        </w:tc>
        <w:tc>
          <w:tcPr>
            <w:tcW w:w="851" w:type="dxa"/>
            <w:vAlign w:val="center"/>
          </w:tcPr>
          <w:p>
            <w:pPr>
              <w:spacing w:line="360" w:lineRule="exact"/>
              <w:jc w:val="center"/>
              <w:rPr>
                <w:rFonts w:ascii="宋体" w:hAnsi="宋体"/>
                <w:szCs w:val="21"/>
              </w:rPr>
            </w:pPr>
            <w:r>
              <w:rPr>
                <w:rFonts w:hint="eastAsia" w:ascii="宋体" w:hAnsi="宋体"/>
                <w:szCs w:val="21"/>
              </w:rPr>
              <w:t>4.1.1</w:t>
            </w:r>
          </w:p>
        </w:tc>
        <w:tc>
          <w:tcPr>
            <w:tcW w:w="1559" w:type="dxa"/>
            <w:vAlign w:val="center"/>
          </w:tcPr>
          <w:p>
            <w:pPr>
              <w:spacing w:line="360" w:lineRule="exact"/>
              <w:rPr>
                <w:rFonts w:ascii="宋体" w:hAnsi="宋体"/>
                <w:szCs w:val="21"/>
              </w:rPr>
            </w:pPr>
            <w:r>
              <w:rPr>
                <w:rFonts w:hint="eastAsia" w:ascii="宋体" w:hAnsi="宋体"/>
                <w:szCs w:val="21"/>
              </w:rPr>
              <w:t>投标人资格</w:t>
            </w:r>
            <w:r>
              <w:rPr>
                <w:rFonts w:ascii="宋体" w:hAnsi="宋体"/>
                <w:szCs w:val="21"/>
              </w:rPr>
              <w:t>要求</w:t>
            </w:r>
          </w:p>
        </w:tc>
        <w:tc>
          <w:tcPr>
            <w:tcW w:w="6413" w:type="dxa"/>
            <w:vAlign w:val="center"/>
          </w:tcPr>
          <w:p>
            <w:pPr>
              <w:widowControl/>
              <w:spacing w:line="360" w:lineRule="auto"/>
              <w:ind w:firstLine="27" w:firstLineChars="13"/>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具有独立法人资格。（提供营业执照扫描件或事业单位法人证等法人证明扫描件，原件备查。）</w:t>
            </w:r>
          </w:p>
          <w:p>
            <w:pPr>
              <w:widowControl/>
              <w:spacing w:line="360" w:lineRule="auto"/>
              <w:ind w:firstLine="27" w:firstLineChars="13"/>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项目负责人要求：具有高级以上工程师职称。</w:t>
            </w:r>
          </w:p>
          <w:p>
            <w:pPr>
              <w:widowControl/>
              <w:spacing w:line="360" w:lineRule="auto"/>
              <w:ind w:firstLine="27" w:firstLineChars="13"/>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参与本项目政府采购活动时不存在被有关部门列入失信被执行人、重大税收违法案件当事人名单的情况,投标人须按要求提供通过“信用中国”网（www.creditchina.gov.cn）信用信息查询记录网络截图。</w:t>
            </w:r>
          </w:p>
          <w:p>
            <w:pPr>
              <w:spacing w:line="360" w:lineRule="exact"/>
              <w:rPr>
                <w:szCs w:val="24"/>
              </w:rPr>
            </w:pPr>
            <w:r>
              <w:rPr>
                <w:rFonts w:hint="eastAsia" w:ascii="宋体" w:hAnsi="宋体"/>
                <w:szCs w:val="21"/>
              </w:rPr>
              <w:t>4</w:t>
            </w:r>
            <w:r>
              <w:rPr>
                <w:rFonts w:ascii="宋体" w:hAnsi="宋体"/>
                <w:szCs w:val="21"/>
              </w:rPr>
              <w:t>.</w:t>
            </w:r>
            <w:r>
              <w:rPr>
                <w:rFonts w:hint="eastAsia" w:ascii="宋体" w:hAnsi="宋体"/>
                <w:szCs w:val="21"/>
              </w:rPr>
              <w:t>不接受分包转包。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7</w:t>
            </w:r>
          </w:p>
        </w:tc>
        <w:tc>
          <w:tcPr>
            <w:tcW w:w="851" w:type="dxa"/>
            <w:vAlign w:val="center"/>
          </w:tcPr>
          <w:p>
            <w:pPr>
              <w:spacing w:line="360" w:lineRule="exact"/>
              <w:jc w:val="center"/>
              <w:rPr>
                <w:rFonts w:ascii="宋体" w:hAnsi="宋体"/>
                <w:szCs w:val="21"/>
              </w:rPr>
            </w:pPr>
            <w:r>
              <w:rPr>
                <w:rFonts w:hint="eastAsia" w:ascii="宋体" w:hAnsi="宋体"/>
                <w:szCs w:val="21"/>
              </w:rPr>
              <w:t>4.1.2</w:t>
            </w:r>
          </w:p>
        </w:tc>
        <w:tc>
          <w:tcPr>
            <w:tcW w:w="1559" w:type="dxa"/>
            <w:vAlign w:val="center"/>
          </w:tcPr>
          <w:p>
            <w:pPr>
              <w:spacing w:line="360" w:lineRule="exact"/>
              <w:rPr>
                <w:rFonts w:ascii="宋体" w:hAnsi="宋体"/>
                <w:szCs w:val="21"/>
              </w:rPr>
            </w:pPr>
            <w:r>
              <w:rPr>
                <w:rFonts w:hint="eastAsia" w:ascii="宋体" w:hAnsi="宋体"/>
                <w:szCs w:val="21"/>
              </w:rPr>
              <w:t>联合体投标</w:t>
            </w:r>
          </w:p>
        </w:tc>
        <w:tc>
          <w:tcPr>
            <w:tcW w:w="6413" w:type="dxa"/>
            <w:vAlign w:val="center"/>
          </w:tcPr>
          <w:p>
            <w:pPr>
              <w:spacing w:line="360" w:lineRule="exact"/>
              <w:rPr>
                <w:rFonts w:ascii="宋体" w:hAnsi="宋体"/>
                <w:szCs w:val="21"/>
              </w:rPr>
            </w:pPr>
            <w:r>
              <w:rPr>
                <w:rFonts w:hint="eastAsia" w:ascii="宋体" w:hAnsi="宋体"/>
                <w:szCs w:val="21"/>
              </w:rPr>
              <w:t>■不接受（招标文件中有关联合体规定均不适用）</w:t>
            </w:r>
          </w:p>
          <w:p>
            <w:pPr>
              <w:widowControl/>
              <w:spacing w:line="360" w:lineRule="auto"/>
              <w:ind w:firstLine="27" w:firstLineChars="13"/>
              <w:jc w:val="left"/>
              <w:rPr>
                <w:rFonts w:ascii="宋体" w:hAnsi="宋体"/>
                <w:bCs/>
                <w:szCs w:val="21"/>
              </w:rPr>
            </w:pPr>
            <w:r>
              <w:rPr>
                <w:rFonts w:hint="eastAsia" w:ascii="宋体" w:hAnsi="宋体"/>
                <w:szCs w:val="21"/>
              </w:rPr>
              <w:t>口接受，对联合体的要求</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8</w:t>
            </w:r>
          </w:p>
        </w:tc>
        <w:tc>
          <w:tcPr>
            <w:tcW w:w="851" w:type="dxa"/>
            <w:vAlign w:val="center"/>
          </w:tcPr>
          <w:p>
            <w:pPr>
              <w:spacing w:line="360" w:lineRule="exact"/>
              <w:jc w:val="center"/>
              <w:rPr>
                <w:rFonts w:ascii="宋体" w:hAnsi="宋体"/>
                <w:szCs w:val="21"/>
              </w:rPr>
            </w:pPr>
            <w:r>
              <w:rPr>
                <w:rFonts w:hint="eastAsia" w:ascii="宋体" w:hAnsi="宋体"/>
                <w:szCs w:val="21"/>
              </w:rPr>
              <w:t>6.1</w:t>
            </w:r>
          </w:p>
        </w:tc>
        <w:tc>
          <w:tcPr>
            <w:tcW w:w="1559" w:type="dxa"/>
            <w:vAlign w:val="center"/>
          </w:tcPr>
          <w:p>
            <w:pPr>
              <w:spacing w:line="360" w:lineRule="exact"/>
              <w:rPr>
                <w:rFonts w:ascii="宋体" w:hAnsi="宋体"/>
                <w:szCs w:val="21"/>
              </w:rPr>
            </w:pPr>
            <w:r>
              <w:rPr>
                <w:rFonts w:ascii="宋体" w:hAnsi="宋体"/>
                <w:szCs w:val="21"/>
              </w:rPr>
              <w:t>踏勘现场</w:t>
            </w:r>
          </w:p>
        </w:tc>
        <w:tc>
          <w:tcPr>
            <w:tcW w:w="6413" w:type="dxa"/>
            <w:vAlign w:val="center"/>
          </w:tcPr>
          <w:p>
            <w:pPr>
              <w:spacing w:line="360" w:lineRule="exact"/>
              <w:rPr>
                <w:rFonts w:ascii="宋体" w:hAnsi="宋体"/>
                <w:szCs w:val="21"/>
              </w:rPr>
            </w:pPr>
            <w:r>
              <w:rPr>
                <w:rFonts w:hint="eastAsia" w:ascii="宋体" w:hAnsi="宋体"/>
                <w:szCs w:val="21"/>
              </w:rPr>
              <w:t>■不组织</w:t>
            </w:r>
          </w:p>
          <w:p>
            <w:pPr>
              <w:spacing w:line="360" w:lineRule="exact"/>
              <w:rPr>
                <w:rFonts w:ascii="宋体" w:hAnsi="宋体"/>
                <w:szCs w:val="21"/>
              </w:rPr>
            </w:pPr>
            <w:r>
              <w:rPr>
                <w:rFonts w:hint="eastAsia" w:ascii="宋体" w:hAnsi="宋体"/>
                <w:szCs w:val="21"/>
              </w:rPr>
              <w:t>口组织，踏勘时间：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日     时</w:t>
            </w:r>
          </w:p>
          <w:p>
            <w:pPr>
              <w:spacing w:line="360" w:lineRule="exact"/>
              <w:rPr>
                <w:rFonts w:ascii="宋体" w:hAnsi="宋体"/>
                <w:szCs w:val="21"/>
                <w:u w:val="single"/>
              </w:rPr>
            </w:pPr>
            <w:r>
              <w:rPr>
                <w:rFonts w:hint="eastAsia" w:ascii="宋体" w:hAnsi="宋体"/>
                <w:szCs w:val="21"/>
              </w:rPr>
              <w:t xml:space="preserve">        集合地点：</w:t>
            </w:r>
            <w:r>
              <w:rPr>
                <w:rFonts w:hint="eastAsia" w:ascii="宋体" w:hAnsi="宋体"/>
                <w:szCs w:val="21"/>
                <w:u w:val="single"/>
              </w:rPr>
              <w:t xml:space="preserve">          </w:t>
            </w:r>
          </w:p>
          <w:p>
            <w:pPr>
              <w:spacing w:line="360" w:lineRule="exact"/>
              <w:rPr>
                <w:rFonts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9</w:t>
            </w:r>
          </w:p>
        </w:tc>
        <w:tc>
          <w:tcPr>
            <w:tcW w:w="851" w:type="dxa"/>
            <w:vAlign w:val="center"/>
          </w:tcPr>
          <w:p>
            <w:pPr>
              <w:spacing w:line="360" w:lineRule="exact"/>
              <w:jc w:val="center"/>
              <w:rPr>
                <w:rFonts w:ascii="宋体" w:hAnsi="宋体"/>
                <w:szCs w:val="21"/>
              </w:rPr>
            </w:pPr>
            <w:r>
              <w:rPr>
                <w:rFonts w:hint="eastAsia" w:ascii="宋体" w:hAnsi="宋体"/>
                <w:szCs w:val="21"/>
              </w:rPr>
              <w:t>7.1</w:t>
            </w:r>
          </w:p>
        </w:tc>
        <w:tc>
          <w:tcPr>
            <w:tcW w:w="1559" w:type="dxa"/>
            <w:vAlign w:val="center"/>
          </w:tcPr>
          <w:p>
            <w:pPr>
              <w:spacing w:line="360" w:lineRule="exact"/>
              <w:rPr>
                <w:rFonts w:ascii="宋体" w:hAnsi="宋体"/>
                <w:szCs w:val="21"/>
              </w:rPr>
            </w:pPr>
            <w:r>
              <w:rPr>
                <w:rFonts w:hint="eastAsia" w:ascii="宋体" w:hAnsi="宋体" w:cs="Courier New"/>
                <w:szCs w:val="21"/>
              </w:rPr>
              <w:t>投标预备会   （答疑会）</w:t>
            </w:r>
          </w:p>
        </w:tc>
        <w:tc>
          <w:tcPr>
            <w:tcW w:w="6413" w:type="dxa"/>
            <w:vAlign w:val="center"/>
          </w:tcPr>
          <w:p>
            <w:pPr>
              <w:spacing w:line="360" w:lineRule="exact"/>
              <w:rPr>
                <w:rFonts w:ascii="宋体" w:hAnsi="宋体" w:cs="Courier New"/>
                <w:szCs w:val="21"/>
              </w:rPr>
            </w:pPr>
            <w:r>
              <w:rPr>
                <w:rFonts w:hint="eastAsia" w:ascii="宋体" w:hAnsi="宋体" w:cs="Courier New"/>
                <w:szCs w:val="21"/>
              </w:rPr>
              <w:t>■不召开</w:t>
            </w:r>
          </w:p>
          <w:p>
            <w:pPr>
              <w:spacing w:line="360" w:lineRule="exact"/>
              <w:rPr>
                <w:rFonts w:ascii="宋体" w:hAnsi="宋体" w:cs="Courier New"/>
                <w:szCs w:val="21"/>
              </w:rPr>
            </w:pPr>
            <w:r>
              <w:rPr>
                <w:rFonts w:hint="eastAsia" w:ascii="宋体" w:hAnsi="宋体"/>
                <w:szCs w:val="21"/>
              </w:rPr>
              <w:t>口</w:t>
            </w:r>
            <w:r>
              <w:rPr>
                <w:rFonts w:hint="eastAsia" w:ascii="宋体" w:hAnsi="宋体" w:cs="Courier New"/>
                <w:szCs w:val="21"/>
              </w:rPr>
              <w:t>召开，召开时间：</w:t>
            </w:r>
            <w:r>
              <w:rPr>
                <w:rFonts w:hint="eastAsia" w:ascii="宋体" w:hAnsi="宋体" w:cs="Courier New"/>
                <w:szCs w:val="21"/>
                <w:u w:val="single"/>
              </w:rPr>
              <w:t xml:space="preserve">        年   月   日    时 </w:t>
            </w:r>
          </w:p>
          <w:p>
            <w:pPr>
              <w:spacing w:line="360" w:lineRule="exact"/>
              <w:ind w:firstLine="840" w:firstLineChars="400"/>
              <w:rPr>
                <w:rFonts w:ascii="宋体" w:hAnsi="宋体"/>
                <w:szCs w:val="21"/>
              </w:rPr>
            </w:pPr>
            <w:r>
              <w:rPr>
                <w:rFonts w:hint="eastAsia" w:ascii="宋体" w:hAnsi="宋体" w:cs="Courier New"/>
                <w:szCs w:val="21"/>
              </w:rPr>
              <w:t>召开地点：</w:t>
            </w:r>
            <w:r>
              <w:rPr>
                <w:rFonts w:hint="eastAsia"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10</w:t>
            </w:r>
          </w:p>
        </w:tc>
        <w:tc>
          <w:tcPr>
            <w:tcW w:w="851" w:type="dxa"/>
            <w:vAlign w:val="center"/>
          </w:tcPr>
          <w:p>
            <w:pPr>
              <w:spacing w:line="360" w:lineRule="exact"/>
              <w:jc w:val="center"/>
              <w:rPr>
                <w:rFonts w:ascii="宋体" w:hAnsi="宋体"/>
                <w:szCs w:val="21"/>
              </w:rPr>
            </w:pPr>
            <w:r>
              <w:rPr>
                <w:rFonts w:hint="eastAsia" w:ascii="宋体" w:hAnsi="宋体"/>
                <w:szCs w:val="21"/>
              </w:rPr>
              <w:t>9.1</w:t>
            </w:r>
          </w:p>
        </w:tc>
        <w:tc>
          <w:tcPr>
            <w:tcW w:w="1559" w:type="dxa"/>
            <w:vAlign w:val="center"/>
          </w:tcPr>
          <w:p>
            <w:pPr>
              <w:spacing w:line="360" w:lineRule="exact"/>
              <w:rPr>
                <w:rFonts w:ascii="宋体" w:hAnsi="宋体" w:cs="Courier New"/>
                <w:szCs w:val="21"/>
              </w:rPr>
            </w:pPr>
            <w:bookmarkStart w:id="20" w:name="_Hlk43123784"/>
            <w:r>
              <w:rPr>
                <w:rFonts w:hint="eastAsia" w:ascii="宋体" w:hAnsi="宋体"/>
                <w:szCs w:val="21"/>
              </w:rPr>
              <w:t>投标人提出疑问截止时间</w:t>
            </w:r>
            <w:bookmarkEnd w:id="20"/>
          </w:p>
        </w:tc>
        <w:tc>
          <w:tcPr>
            <w:tcW w:w="6413" w:type="dxa"/>
            <w:vAlign w:val="center"/>
          </w:tcPr>
          <w:p>
            <w:pPr>
              <w:spacing w:line="360" w:lineRule="exact"/>
              <w:rPr>
                <w:rFonts w:ascii="宋体" w:hAnsi="宋体" w:cs="Courier New"/>
                <w:szCs w:val="21"/>
              </w:rPr>
            </w:pPr>
            <w:bookmarkStart w:id="21" w:name="_Hlk43123765"/>
            <w:r>
              <w:rPr>
                <w:rFonts w:hint="eastAsia"/>
                <w:szCs w:val="21"/>
                <w:highlight w:val="none"/>
              </w:rPr>
              <w:t>截标时间前</w:t>
            </w:r>
            <w:r>
              <w:rPr>
                <w:rFonts w:hint="eastAsia"/>
                <w:szCs w:val="21"/>
                <w:highlight w:val="none"/>
                <w:lang w:val="en-US" w:eastAsia="zh-CN"/>
              </w:rPr>
              <w:t>3</w:t>
            </w:r>
            <w:r>
              <w:rPr>
                <w:rFonts w:hint="eastAsia"/>
                <w:szCs w:val="21"/>
                <w:highlight w:val="none"/>
              </w:rPr>
              <w:t>日</w:t>
            </w:r>
            <w:bookmarkEnd w:id="2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11</w:t>
            </w:r>
          </w:p>
        </w:tc>
        <w:tc>
          <w:tcPr>
            <w:tcW w:w="851" w:type="dxa"/>
            <w:vAlign w:val="center"/>
          </w:tcPr>
          <w:p>
            <w:pPr>
              <w:spacing w:line="360" w:lineRule="exact"/>
              <w:jc w:val="center"/>
              <w:rPr>
                <w:rFonts w:ascii="宋体" w:hAnsi="宋体"/>
                <w:szCs w:val="21"/>
              </w:rPr>
            </w:pPr>
            <w:r>
              <w:rPr>
                <w:rFonts w:hint="eastAsia" w:ascii="宋体" w:hAnsi="宋体"/>
                <w:szCs w:val="21"/>
              </w:rPr>
              <w:t>7.3</w:t>
            </w:r>
          </w:p>
          <w:p>
            <w:pPr>
              <w:spacing w:line="360" w:lineRule="exact"/>
              <w:jc w:val="center"/>
              <w:rPr>
                <w:rFonts w:ascii="宋体" w:hAnsi="宋体"/>
                <w:szCs w:val="21"/>
              </w:rPr>
            </w:pPr>
            <w:r>
              <w:rPr>
                <w:rFonts w:hint="eastAsia" w:ascii="宋体" w:hAnsi="宋体"/>
                <w:szCs w:val="21"/>
              </w:rPr>
              <w:t>9.2</w:t>
            </w:r>
          </w:p>
        </w:tc>
        <w:tc>
          <w:tcPr>
            <w:tcW w:w="1559" w:type="dxa"/>
            <w:vAlign w:val="center"/>
          </w:tcPr>
          <w:p>
            <w:pPr>
              <w:spacing w:line="360" w:lineRule="exact"/>
              <w:rPr>
                <w:rFonts w:ascii="宋体" w:hAnsi="宋体"/>
                <w:szCs w:val="21"/>
              </w:rPr>
            </w:pPr>
            <w:bookmarkStart w:id="22" w:name="_Hlk43123792"/>
            <w:r>
              <w:rPr>
                <w:rFonts w:hint="eastAsia" w:ascii="宋体" w:hAnsi="宋体"/>
                <w:szCs w:val="21"/>
              </w:rPr>
              <w:t>澄清或修补、答疑的期限</w:t>
            </w:r>
            <w:bookmarkEnd w:id="22"/>
          </w:p>
        </w:tc>
        <w:tc>
          <w:tcPr>
            <w:tcW w:w="6413" w:type="dxa"/>
            <w:vAlign w:val="center"/>
          </w:tcPr>
          <w:p>
            <w:pPr>
              <w:spacing w:line="360" w:lineRule="exact"/>
              <w:rPr>
                <w:szCs w:val="21"/>
              </w:rPr>
            </w:pPr>
            <w:r>
              <w:rPr>
                <w:rFonts w:hint="eastAsia"/>
                <w:szCs w:val="21"/>
                <w:highlight w:val="none"/>
              </w:rPr>
              <w:t>截标时间前</w:t>
            </w:r>
            <w:r>
              <w:rPr>
                <w:rFonts w:hint="eastAsia"/>
                <w:szCs w:val="21"/>
                <w:highlight w:val="none"/>
                <w:lang w:val="en-US" w:eastAsia="zh-CN"/>
              </w:rPr>
              <w:t>2</w:t>
            </w:r>
            <w:r>
              <w:rPr>
                <w:rFonts w:hint="eastAsia"/>
                <w:szCs w:val="21"/>
                <w:highlight w:val="none"/>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12</w:t>
            </w:r>
          </w:p>
        </w:tc>
        <w:tc>
          <w:tcPr>
            <w:tcW w:w="851" w:type="dxa"/>
            <w:vAlign w:val="center"/>
          </w:tcPr>
          <w:p>
            <w:pPr>
              <w:spacing w:line="360" w:lineRule="exact"/>
              <w:jc w:val="center"/>
              <w:rPr>
                <w:rFonts w:ascii="宋体" w:hAnsi="宋体"/>
                <w:szCs w:val="21"/>
              </w:rPr>
            </w:pPr>
            <w:r>
              <w:rPr>
                <w:rFonts w:hint="eastAsia" w:ascii="宋体" w:hAnsi="宋体"/>
                <w:szCs w:val="21"/>
              </w:rPr>
              <w:t>12.2</w:t>
            </w:r>
          </w:p>
        </w:tc>
        <w:tc>
          <w:tcPr>
            <w:tcW w:w="1559" w:type="dxa"/>
            <w:vAlign w:val="center"/>
          </w:tcPr>
          <w:p>
            <w:pPr>
              <w:spacing w:line="360" w:lineRule="exact"/>
              <w:rPr>
                <w:rFonts w:ascii="宋体" w:hAnsi="宋体"/>
                <w:szCs w:val="21"/>
              </w:rPr>
            </w:pPr>
            <w:r>
              <w:rPr>
                <w:rFonts w:ascii="宋体" w:hAnsi="宋体"/>
                <w:szCs w:val="21"/>
              </w:rPr>
              <w:t>投标文件份数</w:t>
            </w:r>
          </w:p>
        </w:tc>
        <w:tc>
          <w:tcPr>
            <w:tcW w:w="6413" w:type="dxa"/>
            <w:vAlign w:val="center"/>
          </w:tcPr>
          <w:p>
            <w:pPr>
              <w:spacing w:line="360" w:lineRule="exact"/>
              <w:rPr>
                <w:szCs w:val="21"/>
              </w:rPr>
            </w:pPr>
            <w:r>
              <w:rPr>
                <w:rFonts w:ascii="宋体" w:hAnsi="宋体"/>
                <w:szCs w:val="21"/>
              </w:rPr>
              <w:t>正本</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 </w:t>
            </w:r>
            <w:r>
              <w:rPr>
                <w:rFonts w:hint="eastAsia" w:ascii="宋体" w:hAnsi="宋体"/>
                <w:szCs w:val="21"/>
              </w:rPr>
              <w:t>份</w:t>
            </w:r>
            <w:r>
              <w:rPr>
                <w:rFonts w:ascii="宋体" w:hAnsi="宋体"/>
                <w:szCs w:val="21"/>
              </w:rPr>
              <w:t>，副本</w:t>
            </w:r>
            <w:r>
              <w:rPr>
                <w:rFonts w:hint="eastAsia" w:ascii="宋体" w:hAnsi="宋体"/>
                <w:szCs w:val="21"/>
                <w:u w:val="single"/>
              </w:rPr>
              <w:t xml:space="preserve"> 2</w:t>
            </w:r>
            <w:r>
              <w:rPr>
                <w:rFonts w:ascii="宋体" w:hAnsi="宋体"/>
                <w:szCs w:val="21"/>
                <w:u w:val="single"/>
              </w:rPr>
              <w:t xml:space="preserve"> </w:t>
            </w:r>
            <w:r>
              <w:rPr>
                <w:rFonts w:hint="eastAsia" w:ascii="宋体" w:hAnsi="宋体"/>
                <w:szCs w:val="21"/>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13</w:t>
            </w:r>
          </w:p>
        </w:tc>
        <w:tc>
          <w:tcPr>
            <w:tcW w:w="851" w:type="dxa"/>
            <w:vAlign w:val="center"/>
          </w:tcPr>
          <w:p>
            <w:pPr>
              <w:spacing w:line="360" w:lineRule="exact"/>
              <w:jc w:val="center"/>
              <w:rPr>
                <w:rFonts w:ascii="宋体" w:hAnsi="宋体"/>
                <w:szCs w:val="21"/>
              </w:rPr>
            </w:pPr>
            <w:r>
              <w:rPr>
                <w:rFonts w:hint="eastAsia" w:ascii="宋体" w:hAnsi="宋体"/>
                <w:szCs w:val="21"/>
              </w:rPr>
              <w:t>13.1</w:t>
            </w:r>
          </w:p>
        </w:tc>
        <w:tc>
          <w:tcPr>
            <w:tcW w:w="1559" w:type="dxa"/>
            <w:vAlign w:val="center"/>
          </w:tcPr>
          <w:p>
            <w:pPr>
              <w:spacing w:line="360" w:lineRule="exact"/>
              <w:rPr>
                <w:rFonts w:ascii="宋体" w:hAnsi="宋体"/>
                <w:szCs w:val="21"/>
              </w:rPr>
            </w:pPr>
            <w:r>
              <w:rPr>
                <w:rFonts w:hint="eastAsia" w:ascii="宋体" w:hAnsi="宋体"/>
                <w:szCs w:val="21"/>
              </w:rPr>
              <w:t>投标货币</w:t>
            </w:r>
          </w:p>
        </w:tc>
        <w:tc>
          <w:tcPr>
            <w:tcW w:w="6413" w:type="dxa"/>
            <w:vAlign w:val="center"/>
          </w:tcPr>
          <w:p>
            <w:pPr>
              <w:spacing w:line="360" w:lineRule="exact"/>
              <w:rPr>
                <w:rFonts w:ascii="宋体" w:hAnsi="宋体"/>
                <w:szCs w:val="21"/>
              </w:rPr>
            </w:pPr>
            <w:r>
              <w:rPr>
                <w:rFonts w:hint="eastAsia" w:ascii="宋体" w:hAnsi="宋体"/>
                <w:szCs w:val="21"/>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14</w:t>
            </w:r>
          </w:p>
        </w:tc>
        <w:tc>
          <w:tcPr>
            <w:tcW w:w="851" w:type="dxa"/>
            <w:vAlign w:val="center"/>
          </w:tcPr>
          <w:p>
            <w:pPr>
              <w:spacing w:line="360" w:lineRule="exact"/>
              <w:jc w:val="center"/>
              <w:rPr>
                <w:rFonts w:ascii="宋体" w:hAnsi="宋体"/>
                <w:szCs w:val="21"/>
              </w:rPr>
            </w:pPr>
            <w:r>
              <w:rPr>
                <w:rFonts w:hint="eastAsia" w:ascii="宋体" w:hAnsi="宋体"/>
                <w:szCs w:val="21"/>
              </w:rPr>
              <w:t>14.1</w:t>
            </w:r>
          </w:p>
        </w:tc>
        <w:tc>
          <w:tcPr>
            <w:tcW w:w="1559" w:type="dxa"/>
            <w:vAlign w:val="center"/>
          </w:tcPr>
          <w:p>
            <w:pPr>
              <w:spacing w:line="360" w:lineRule="exact"/>
              <w:rPr>
                <w:rFonts w:ascii="宋体" w:hAnsi="宋体"/>
                <w:szCs w:val="21"/>
              </w:rPr>
            </w:pPr>
            <w:r>
              <w:rPr>
                <w:rFonts w:hint="eastAsia" w:ascii="宋体" w:hAnsi="宋体"/>
                <w:szCs w:val="21"/>
              </w:rPr>
              <w:t>合同方式</w:t>
            </w:r>
          </w:p>
        </w:tc>
        <w:tc>
          <w:tcPr>
            <w:tcW w:w="6413" w:type="dxa"/>
            <w:vAlign w:val="center"/>
          </w:tcPr>
          <w:p>
            <w:pPr>
              <w:spacing w:line="360" w:lineRule="exact"/>
              <w:rPr>
                <w:rFonts w:ascii="宋体" w:hAnsi="宋体"/>
                <w:szCs w:val="21"/>
              </w:rPr>
            </w:pPr>
            <w:bookmarkStart w:id="23" w:name="可调单价合同"/>
            <w:r>
              <w:rPr>
                <w:rFonts w:hint="eastAsia" w:ascii="宋体" w:hAnsi="宋体"/>
                <w:szCs w:val="21"/>
              </w:rPr>
              <w:t>□</w:t>
            </w:r>
            <w:bookmarkEnd w:id="23"/>
            <w:r>
              <w:rPr>
                <w:rFonts w:hint="eastAsia" w:ascii="宋体" w:hAnsi="宋体"/>
                <w:szCs w:val="21"/>
              </w:rPr>
              <w:t xml:space="preserve">固定单价合同     </w:t>
            </w:r>
            <w:r>
              <w:rPr>
                <w:rFonts w:hint="eastAsia" w:ascii="宋体" w:hAnsi="宋体" w:cs="Courier New"/>
                <w:szCs w:val="21"/>
              </w:rPr>
              <w:t>■</w:t>
            </w:r>
            <w:r>
              <w:rPr>
                <w:rFonts w:hint="eastAsia" w:ascii="宋体" w:hAnsi="宋体"/>
                <w:szCs w:val="21"/>
              </w:rPr>
              <w:t>固定总价合同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15</w:t>
            </w:r>
          </w:p>
        </w:tc>
        <w:tc>
          <w:tcPr>
            <w:tcW w:w="851" w:type="dxa"/>
            <w:vAlign w:val="center"/>
          </w:tcPr>
          <w:p>
            <w:pPr>
              <w:spacing w:line="360" w:lineRule="exact"/>
              <w:jc w:val="center"/>
              <w:rPr>
                <w:rFonts w:ascii="宋体" w:hAnsi="宋体"/>
                <w:szCs w:val="21"/>
              </w:rPr>
            </w:pPr>
            <w:r>
              <w:rPr>
                <w:rFonts w:hint="eastAsia" w:ascii="宋体" w:hAnsi="宋体"/>
                <w:szCs w:val="21"/>
              </w:rPr>
              <w:t>14.2</w:t>
            </w:r>
          </w:p>
        </w:tc>
        <w:tc>
          <w:tcPr>
            <w:tcW w:w="1559" w:type="dxa"/>
            <w:vAlign w:val="center"/>
          </w:tcPr>
          <w:p>
            <w:pPr>
              <w:spacing w:line="360" w:lineRule="exact"/>
              <w:rPr>
                <w:rFonts w:ascii="宋体" w:hAnsi="宋体"/>
                <w:szCs w:val="21"/>
              </w:rPr>
            </w:pPr>
            <w:r>
              <w:rPr>
                <w:rFonts w:hint="eastAsia" w:ascii="宋体" w:hAnsi="宋体"/>
                <w:szCs w:val="21"/>
              </w:rPr>
              <w:t>预算限额</w:t>
            </w:r>
          </w:p>
        </w:tc>
        <w:tc>
          <w:tcPr>
            <w:tcW w:w="6413" w:type="dxa"/>
            <w:vAlign w:val="center"/>
          </w:tcPr>
          <w:p>
            <w:pPr>
              <w:spacing w:line="360" w:lineRule="exact"/>
              <w:rPr>
                <w:rFonts w:ascii="宋体" w:hAnsi="宋体"/>
                <w:szCs w:val="21"/>
              </w:rPr>
            </w:pPr>
            <w:r>
              <w:rPr>
                <w:rFonts w:hint="eastAsia" w:ascii="宋体" w:hAnsi="宋体"/>
                <w:szCs w:val="21"/>
              </w:rPr>
              <w:t>预算金额：</w:t>
            </w:r>
            <w:r>
              <w:rPr>
                <w:rFonts w:hint="eastAsia" w:ascii="宋体" w:hAnsi="宋体"/>
                <w:szCs w:val="21"/>
                <w:u w:val="single"/>
              </w:rPr>
              <w:t>捌拾玖万伍仟捌佰元整（¥89.58万元）</w:t>
            </w:r>
          </w:p>
          <w:p>
            <w:pPr>
              <w:spacing w:line="360" w:lineRule="exact"/>
              <w:rPr>
                <w:rFonts w:ascii="宋体" w:hAnsi="宋体"/>
                <w:szCs w:val="21"/>
              </w:rPr>
            </w:pPr>
            <w:r>
              <w:rPr>
                <w:rFonts w:hint="eastAsia" w:ascii="宋体" w:hAnsi="宋体"/>
                <w:szCs w:val="21"/>
              </w:rPr>
              <w:t>下浮率上限：</w:t>
            </w:r>
            <w:r>
              <w:rPr>
                <w:rFonts w:hint="eastAsia" w:ascii="宋体" w:hAnsi="宋体"/>
                <w:szCs w:val="21"/>
                <w:u w:val="single"/>
              </w:rPr>
              <w:t xml:space="preserve"> 10%</w:t>
            </w:r>
            <w:r>
              <w:rPr>
                <w:rFonts w:ascii="宋体" w:hAnsi="宋体"/>
                <w:szCs w:val="21"/>
                <w:u w:val="single"/>
              </w:rPr>
              <w:t xml:space="preserve"> </w:t>
            </w:r>
            <w:r>
              <w:rPr>
                <w:rFonts w:hint="eastAsia" w:ascii="宋体" w:hAnsi="宋体"/>
                <w:szCs w:val="21"/>
                <w:u w:val="single"/>
              </w:rPr>
              <w:t>（即预算限额：8</w:t>
            </w:r>
            <w:r>
              <w:rPr>
                <w:rFonts w:ascii="宋体" w:hAnsi="宋体"/>
                <w:szCs w:val="21"/>
                <w:u w:val="single"/>
              </w:rPr>
              <w:t>0.622</w:t>
            </w:r>
            <w:r>
              <w:rPr>
                <w:rFonts w:hint="eastAsia" w:ascii="宋体" w:hAnsi="宋体"/>
                <w:szCs w:val="21"/>
                <w:u w:val="singl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16</w:t>
            </w:r>
          </w:p>
        </w:tc>
        <w:tc>
          <w:tcPr>
            <w:tcW w:w="851" w:type="dxa"/>
            <w:vAlign w:val="center"/>
          </w:tcPr>
          <w:p>
            <w:pPr>
              <w:spacing w:line="360" w:lineRule="exact"/>
              <w:jc w:val="center"/>
              <w:rPr>
                <w:rFonts w:ascii="宋体" w:hAnsi="宋体"/>
                <w:szCs w:val="21"/>
              </w:rPr>
            </w:pPr>
            <w:r>
              <w:rPr>
                <w:rFonts w:ascii="宋体" w:hAnsi="宋体"/>
                <w:szCs w:val="21"/>
              </w:rPr>
              <w:t>1</w:t>
            </w:r>
            <w:r>
              <w:rPr>
                <w:rFonts w:hint="eastAsia" w:ascii="宋体" w:hAnsi="宋体"/>
                <w:szCs w:val="21"/>
              </w:rPr>
              <w:t>6</w:t>
            </w:r>
            <w:r>
              <w:rPr>
                <w:rFonts w:ascii="宋体" w:hAnsi="宋体"/>
                <w:szCs w:val="21"/>
              </w:rPr>
              <w:t>.1</w:t>
            </w:r>
          </w:p>
        </w:tc>
        <w:tc>
          <w:tcPr>
            <w:tcW w:w="1559" w:type="dxa"/>
            <w:vAlign w:val="center"/>
          </w:tcPr>
          <w:p>
            <w:pPr>
              <w:spacing w:line="360" w:lineRule="exact"/>
              <w:rPr>
                <w:rFonts w:ascii="宋体" w:hAnsi="宋体"/>
                <w:szCs w:val="21"/>
              </w:rPr>
            </w:pPr>
            <w:r>
              <w:rPr>
                <w:rFonts w:ascii="宋体" w:hAnsi="宋体"/>
                <w:szCs w:val="21"/>
              </w:rPr>
              <w:t>投标有效期</w:t>
            </w:r>
          </w:p>
        </w:tc>
        <w:tc>
          <w:tcPr>
            <w:tcW w:w="6413" w:type="dxa"/>
            <w:vAlign w:val="center"/>
          </w:tcPr>
          <w:p>
            <w:pPr>
              <w:spacing w:line="360" w:lineRule="exact"/>
              <w:rPr>
                <w:rFonts w:ascii="宋体" w:hAnsi="宋体"/>
                <w:color w:val="FF0000"/>
                <w:szCs w:val="21"/>
              </w:rPr>
            </w:pPr>
            <w:r>
              <w:rPr>
                <w:rFonts w:hint="eastAsia" w:ascii="宋体" w:hAnsi="宋体"/>
                <w:szCs w:val="21"/>
              </w:rPr>
              <w:t>90</w:t>
            </w:r>
            <w:r>
              <w:rPr>
                <w:rFonts w:ascii="宋体" w:hAnsi="宋体"/>
                <w:szCs w:val="21"/>
              </w:rPr>
              <w:t>日历天（</w:t>
            </w:r>
            <w:r>
              <w:rPr>
                <w:rFonts w:hint="eastAsia" w:ascii="宋体" w:hAnsi="宋体"/>
                <w:szCs w:val="21"/>
              </w:rPr>
              <w:t>从投标截止之日算起</w:t>
            </w:r>
            <w:r>
              <w:rPr>
                <w:rFonts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17</w:t>
            </w:r>
          </w:p>
        </w:tc>
        <w:tc>
          <w:tcPr>
            <w:tcW w:w="851" w:type="dxa"/>
            <w:vAlign w:val="center"/>
          </w:tcPr>
          <w:p>
            <w:pPr>
              <w:spacing w:line="360" w:lineRule="exact"/>
              <w:jc w:val="center"/>
              <w:rPr>
                <w:rFonts w:ascii="宋体" w:hAnsi="宋体"/>
                <w:szCs w:val="21"/>
              </w:rPr>
            </w:pPr>
            <w:r>
              <w:rPr>
                <w:rFonts w:hint="eastAsia" w:ascii="宋体" w:hAnsi="宋体"/>
                <w:szCs w:val="21"/>
              </w:rPr>
              <w:t>17.1</w:t>
            </w:r>
          </w:p>
        </w:tc>
        <w:tc>
          <w:tcPr>
            <w:tcW w:w="1559" w:type="dxa"/>
            <w:vAlign w:val="center"/>
          </w:tcPr>
          <w:p>
            <w:pPr>
              <w:spacing w:line="360" w:lineRule="exact"/>
              <w:rPr>
                <w:rFonts w:ascii="宋体" w:hAnsi="宋体"/>
                <w:szCs w:val="21"/>
              </w:rPr>
            </w:pPr>
            <w:r>
              <w:rPr>
                <w:rFonts w:hint="eastAsia" w:ascii="宋体" w:hAnsi="宋体"/>
                <w:szCs w:val="21"/>
              </w:rPr>
              <w:t>备选方案</w:t>
            </w:r>
          </w:p>
        </w:tc>
        <w:tc>
          <w:tcPr>
            <w:tcW w:w="6413" w:type="dxa"/>
            <w:vAlign w:val="center"/>
          </w:tcPr>
          <w:p>
            <w:pPr>
              <w:spacing w:line="360" w:lineRule="exact"/>
              <w:rPr>
                <w:rFonts w:ascii="宋体" w:hAnsi="宋体"/>
                <w:szCs w:val="21"/>
              </w:rPr>
            </w:pPr>
            <w:r>
              <w:rPr>
                <w:rFonts w:hint="eastAsia" w:ascii="宋体" w:hAnsi="宋体"/>
                <w:szCs w:val="21"/>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18</w:t>
            </w:r>
          </w:p>
        </w:tc>
        <w:tc>
          <w:tcPr>
            <w:tcW w:w="851" w:type="dxa"/>
            <w:vAlign w:val="center"/>
          </w:tcPr>
          <w:p>
            <w:pPr>
              <w:spacing w:line="360" w:lineRule="exact"/>
              <w:jc w:val="center"/>
              <w:rPr>
                <w:rFonts w:ascii="宋体" w:hAnsi="宋体"/>
                <w:szCs w:val="21"/>
              </w:rPr>
            </w:pPr>
            <w:r>
              <w:rPr>
                <w:rFonts w:hint="eastAsia" w:ascii="宋体" w:hAnsi="宋体"/>
                <w:szCs w:val="21"/>
              </w:rPr>
              <w:t>19.1</w:t>
            </w:r>
          </w:p>
        </w:tc>
        <w:tc>
          <w:tcPr>
            <w:tcW w:w="1559" w:type="dxa"/>
            <w:vAlign w:val="center"/>
          </w:tcPr>
          <w:p>
            <w:pPr>
              <w:spacing w:line="360" w:lineRule="exact"/>
              <w:rPr>
                <w:rFonts w:ascii="宋体" w:hAnsi="宋体"/>
                <w:szCs w:val="21"/>
              </w:rPr>
            </w:pPr>
            <w:r>
              <w:rPr>
                <w:rFonts w:ascii="宋体" w:hAnsi="宋体"/>
                <w:szCs w:val="21"/>
              </w:rPr>
              <w:t>投标截止时间</w:t>
            </w:r>
            <w:r>
              <w:rPr>
                <w:rFonts w:hint="eastAsia" w:ascii="宋体" w:hAnsi="宋体"/>
                <w:szCs w:val="21"/>
              </w:rPr>
              <w:t>和地点</w:t>
            </w:r>
          </w:p>
        </w:tc>
        <w:tc>
          <w:tcPr>
            <w:tcW w:w="6413" w:type="dxa"/>
            <w:vAlign w:val="center"/>
          </w:tcPr>
          <w:p>
            <w:pPr>
              <w:spacing w:line="360" w:lineRule="exact"/>
              <w:rPr>
                <w:rFonts w:ascii="宋体" w:hAnsi="宋体"/>
                <w:szCs w:val="21"/>
              </w:rPr>
            </w:pPr>
            <w:r>
              <w:rPr>
                <w:rFonts w:hint="eastAsia" w:ascii="宋体" w:hAnsi="宋体"/>
                <w:szCs w:val="21"/>
              </w:rPr>
              <w:t>时间：详见招标公告</w:t>
            </w:r>
          </w:p>
          <w:p>
            <w:pPr>
              <w:spacing w:line="360" w:lineRule="exact"/>
            </w:pPr>
            <w:r>
              <w:rPr>
                <w:rFonts w:hint="eastAsia" w:ascii="宋体" w:hAnsi="宋体"/>
                <w:szCs w:val="21"/>
              </w:rPr>
              <w:t>地点：龙华区龙华大道98号清湖行政服务中心三栋310室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19</w:t>
            </w:r>
          </w:p>
        </w:tc>
        <w:tc>
          <w:tcPr>
            <w:tcW w:w="851" w:type="dxa"/>
            <w:vAlign w:val="center"/>
          </w:tcPr>
          <w:p>
            <w:pPr>
              <w:spacing w:line="360" w:lineRule="exact"/>
              <w:jc w:val="center"/>
              <w:rPr>
                <w:rFonts w:ascii="宋体" w:hAnsi="宋体"/>
                <w:szCs w:val="21"/>
              </w:rPr>
            </w:pPr>
            <w:r>
              <w:rPr>
                <w:rFonts w:hint="eastAsia" w:ascii="宋体" w:hAnsi="宋体"/>
                <w:szCs w:val="21"/>
              </w:rPr>
              <w:t>22.1</w:t>
            </w:r>
          </w:p>
        </w:tc>
        <w:tc>
          <w:tcPr>
            <w:tcW w:w="1559" w:type="dxa"/>
            <w:vAlign w:val="center"/>
          </w:tcPr>
          <w:p>
            <w:pPr>
              <w:spacing w:line="360" w:lineRule="exact"/>
              <w:rPr>
                <w:rFonts w:ascii="宋体" w:hAnsi="宋体"/>
                <w:szCs w:val="21"/>
              </w:rPr>
            </w:pPr>
            <w:r>
              <w:rPr>
                <w:rFonts w:ascii="宋体" w:hAnsi="宋体"/>
                <w:szCs w:val="21"/>
              </w:rPr>
              <w:t>开标</w:t>
            </w:r>
            <w:r>
              <w:rPr>
                <w:rFonts w:hint="eastAsia" w:ascii="宋体" w:hAnsi="宋体"/>
                <w:szCs w:val="21"/>
              </w:rPr>
              <w:t>时间</w:t>
            </w:r>
          </w:p>
          <w:p>
            <w:pPr>
              <w:spacing w:line="360" w:lineRule="exact"/>
              <w:rPr>
                <w:rFonts w:ascii="宋体" w:hAnsi="宋体"/>
                <w:szCs w:val="21"/>
              </w:rPr>
            </w:pPr>
            <w:r>
              <w:rPr>
                <w:rFonts w:hint="eastAsia" w:ascii="宋体" w:hAnsi="宋体"/>
                <w:szCs w:val="21"/>
              </w:rPr>
              <w:t>和地点</w:t>
            </w:r>
          </w:p>
        </w:tc>
        <w:tc>
          <w:tcPr>
            <w:tcW w:w="6413" w:type="dxa"/>
            <w:vAlign w:val="center"/>
          </w:tcPr>
          <w:p>
            <w:pPr>
              <w:spacing w:line="360" w:lineRule="exact"/>
              <w:rPr>
                <w:rFonts w:ascii="宋体" w:hAnsi="宋体"/>
                <w:szCs w:val="21"/>
              </w:rPr>
            </w:pPr>
            <w:r>
              <w:rPr>
                <w:rFonts w:ascii="宋体" w:hAnsi="宋体"/>
                <w:szCs w:val="21"/>
              </w:rPr>
              <w:t>时间：</w:t>
            </w:r>
            <w:r>
              <w:rPr>
                <w:rFonts w:hint="eastAsia" w:ascii="宋体" w:hAnsi="宋体"/>
                <w:szCs w:val="21"/>
              </w:rPr>
              <w:t>同截标时间</w:t>
            </w:r>
          </w:p>
          <w:p>
            <w:pPr>
              <w:spacing w:line="360" w:lineRule="exact"/>
              <w:rPr>
                <w:rFonts w:ascii="宋体" w:hAnsi="宋体"/>
                <w:szCs w:val="21"/>
              </w:rPr>
            </w:pPr>
            <w:r>
              <w:rPr>
                <w:rFonts w:ascii="宋体" w:hAnsi="宋体"/>
                <w:szCs w:val="21"/>
              </w:rPr>
              <w:t>地点：</w:t>
            </w:r>
            <w:r>
              <w:rPr>
                <w:rFonts w:hint="eastAsia" w:ascii="宋体" w:hAnsi="宋体"/>
                <w:szCs w:val="21"/>
              </w:rPr>
              <w:t>同截标地点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20</w:t>
            </w:r>
          </w:p>
        </w:tc>
        <w:tc>
          <w:tcPr>
            <w:tcW w:w="851" w:type="dxa"/>
            <w:vAlign w:val="center"/>
          </w:tcPr>
          <w:p>
            <w:pPr>
              <w:spacing w:line="360" w:lineRule="exact"/>
              <w:jc w:val="center"/>
              <w:rPr>
                <w:rFonts w:ascii="宋体" w:hAnsi="宋体"/>
                <w:szCs w:val="21"/>
              </w:rPr>
            </w:pPr>
            <w:r>
              <w:rPr>
                <w:rFonts w:ascii="宋体" w:hAnsi="宋体"/>
              </w:rPr>
              <w:t>32.1</w:t>
            </w:r>
          </w:p>
        </w:tc>
        <w:tc>
          <w:tcPr>
            <w:tcW w:w="1559" w:type="dxa"/>
            <w:vAlign w:val="center"/>
          </w:tcPr>
          <w:p>
            <w:pPr>
              <w:spacing w:line="360" w:lineRule="exact"/>
              <w:rPr>
                <w:rFonts w:ascii="宋体" w:hAnsi="宋体"/>
                <w:szCs w:val="21"/>
              </w:rPr>
            </w:pPr>
            <w:r>
              <w:rPr>
                <w:rFonts w:hint="eastAsia"/>
              </w:rPr>
              <w:t>评标办法</w:t>
            </w:r>
          </w:p>
        </w:tc>
        <w:tc>
          <w:tcPr>
            <w:tcW w:w="6413" w:type="dxa"/>
            <w:vAlign w:val="center"/>
          </w:tcPr>
          <w:p>
            <w:pPr>
              <w:spacing w:line="360" w:lineRule="exact"/>
              <w:rPr>
                <w:rFonts w:ascii="宋体" w:hAnsi="宋体"/>
                <w:szCs w:val="21"/>
              </w:rPr>
            </w:pPr>
            <w:r>
              <w:rPr>
                <w:rFonts w:hint="eastAsia"/>
                <w:szCs w:val="21"/>
              </w:rPr>
              <w:t>定性评审法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21</w:t>
            </w:r>
          </w:p>
        </w:tc>
        <w:tc>
          <w:tcPr>
            <w:tcW w:w="851" w:type="dxa"/>
            <w:vAlign w:val="center"/>
          </w:tcPr>
          <w:p>
            <w:pPr>
              <w:spacing w:line="360" w:lineRule="exact"/>
              <w:jc w:val="center"/>
              <w:rPr>
                <w:rFonts w:ascii="宋体" w:hAnsi="宋体"/>
                <w:szCs w:val="21"/>
              </w:rPr>
            </w:pPr>
            <w:r>
              <w:rPr>
                <w:rFonts w:hint="eastAsia" w:ascii="宋体" w:hAnsi="宋体"/>
                <w:szCs w:val="21"/>
              </w:rPr>
              <w:t>35.1</w:t>
            </w:r>
          </w:p>
        </w:tc>
        <w:tc>
          <w:tcPr>
            <w:tcW w:w="1559" w:type="dxa"/>
            <w:vAlign w:val="center"/>
          </w:tcPr>
          <w:p>
            <w:pPr>
              <w:spacing w:line="360" w:lineRule="exact"/>
              <w:rPr>
                <w:rFonts w:ascii="宋体" w:hAnsi="宋体"/>
                <w:szCs w:val="21"/>
              </w:rPr>
            </w:pPr>
            <w:r>
              <w:rPr>
                <w:rFonts w:hint="eastAsia" w:ascii="宋体" w:hAnsi="宋体"/>
                <w:szCs w:val="21"/>
              </w:rPr>
              <w:t>定标办法</w:t>
            </w:r>
          </w:p>
        </w:tc>
        <w:tc>
          <w:tcPr>
            <w:tcW w:w="6413" w:type="dxa"/>
            <w:vAlign w:val="center"/>
          </w:tcPr>
          <w:p>
            <w:pPr>
              <w:spacing w:line="360" w:lineRule="exact"/>
              <w:rPr>
                <w:rFonts w:ascii="宋体" w:hAnsi="宋体"/>
                <w:szCs w:val="21"/>
              </w:rPr>
            </w:pPr>
            <w:r>
              <w:rPr>
                <w:rFonts w:hint="eastAsia" w:cs="Courier New"/>
                <w:szCs w:val="21"/>
              </w:rPr>
              <w:t>票决定标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5" w:type="dxa"/>
            <w:vAlign w:val="center"/>
          </w:tcPr>
          <w:p>
            <w:pPr>
              <w:spacing w:line="360" w:lineRule="exact"/>
              <w:jc w:val="center"/>
              <w:rPr>
                <w:rFonts w:ascii="宋体" w:hAnsi="宋体"/>
                <w:szCs w:val="21"/>
              </w:rPr>
            </w:pPr>
            <w:r>
              <w:rPr>
                <w:rFonts w:hint="eastAsia" w:ascii="宋体" w:hAnsi="宋体"/>
                <w:szCs w:val="21"/>
              </w:rPr>
              <w:t>22</w:t>
            </w:r>
          </w:p>
        </w:tc>
        <w:tc>
          <w:tcPr>
            <w:tcW w:w="851" w:type="dxa"/>
            <w:vAlign w:val="center"/>
          </w:tcPr>
          <w:p>
            <w:pPr>
              <w:spacing w:line="360" w:lineRule="exact"/>
              <w:jc w:val="center"/>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.1</w:t>
            </w:r>
          </w:p>
        </w:tc>
        <w:tc>
          <w:tcPr>
            <w:tcW w:w="1559" w:type="dxa"/>
            <w:vAlign w:val="center"/>
          </w:tcPr>
          <w:p>
            <w:pPr>
              <w:spacing w:line="360" w:lineRule="exact"/>
              <w:rPr>
                <w:rFonts w:ascii="宋体" w:hAnsi="宋体"/>
                <w:szCs w:val="21"/>
              </w:rPr>
            </w:pPr>
            <w:r>
              <w:rPr>
                <w:rFonts w:hint="eastAsia" w:ascii="宋体" w:hAnsi="宋体"/>
                <w:szCs w:val="21"/>
              </w:rPr>
              <w:t>签订合同</w:t>
            </w:r>
          </w:p>
        </w:tc>
        <w:tc>
          <w:tcPr>
            <w:tcW w:w="6413" w:type="dxa"/>
            <w:vAlign w:val="center"/>
          </w:tcPr>
          <w:p>
            <w:pPr>
              <w:spacing w:line="360" w:lineRule="exact"/>
              <w:rPr>
                <w:rFonts w:ascii="宋体" w:hAnsi="宋体" w:cs="Courier New"/>
                <w:szCs w:val="21"/>
              </w:rPr>
            </w:pPr>
            <w:r>
              <w:rPr>
                <w:rFonts w:hint="eastAsia"/>
              </w:rPr>
              <w:t>中标通知书发出之日起10个工作日内</w:t>
            </w:r>
          </w:p>
        </w:tc>
      </w:tr>
    </w:tbl>
    <w:p>
      <w:pPr>
        <w:pStyle w:val="3"/>
        <w:spacing w:line="300" w:lineRule="auto"/>
        <w:rPr>
          <w:rFonts w:ascii="宋体" w:hAnsi="宋体"/>
          <w:bCs/>
          <w:sz w:val="32"/>
          <w:szCs w:val="32"/>
        </w:rPr>
      </w:pPr>
      <w:r>
        <w:rPr>
          <w:rFonts w:ascii="宋体" w:hAnsi="宋体"/>
          <w:bCs/>
          <w:sz w:val="32"/>
          <w:szCs w:val="32"/>
        </w:rPr>
        <w:br w:type="page"/>
      </w:r>
      <w:bookmarkStart w:id="24" w:name="_Toc51235176"/>
      <w:r>
        <w:rPr>
          <w:rFonts w:hint="eastAsia" w:ascii="宋体" w:hAnsi="宋体"/>
          <w:bCs/>
          <w:sz w:val="32"/>
          <w:szCs w:val="32"/>
        </w:rPr>
        <w:t xml:space="preserve">第二节  </w:t>
      </w:r>
      <w:bookmarkEnd w:id="18"/>
      <w:bookmarkEnd w:id="19"/>
      <w:r>
        <w:rPr>
          <w:rFonts w:hint="eastAsia" w:ascii="宋体" w:hAnsi="宋体"/>
          <w:bCs/>
          <w:sz w:val="32"/>
          <w:szCs w:val="32"/>
        </w:rPr>
        <w:t>投标文件否决性条款汇总</w:t>
      </w:r>
      <w:bookmarkEnd w:id="24"/>
    </w:p>
    <w:p>
      <w:pPr>
        <w:spacing w:line="360" w:lineRule="auto"/>
        <w:rPr>
          <w:rFonts w:ascii="黑体" w:hAnsi="宋体" w:eastAsia="黑体"/>
          <w:szCs w:val="21"/>
        </w:rPr>
      </w:pPr>
      <w:r>
        <w:rPr>
          <w:rFonts w:hint="eastAsia" w:ascii="黑体" w:hAnsi="宋体" w:eastAsia="黑体"/>
          <w:szCs w:val="21"/>
        </w:rPr>
        <w:t>提示投标人和评审委员会：</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1、否决性条款包括：</w:t>
      </w:r>
      <w:r>
        <w:rPr>
          <w:rFonts w:hint="eastAsia" w:ascii="仿宋_GB2312" w:hAnsi="宋体" w:eastAsia="仿宋_GB2312"/>
          <w:bCs/>
          <w:szCs w:val="21"/>
        </w:rPr>
        <w:t>投标文件的不予受理、废标</w:t>
      </w:r>
      <w:r>
        <w:rPr>
          <w:rFonts w:hint="eastAsia" w:ascii="仿宋_GB2312" w:hAnsi="宋体" w:eastAsia="仿宋_GB2312"/>
          <w:szCs w:val="21"/>
        </w:rPr>
        <w:t>。</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2、投标文件中没有本须知所述情形之一的，不得作否决处理。</w:t>
      </w:r>
    </w:p>
    <w:p>
      <w:pPr>
        <w:spacing w:line="360" w:lineRule="auto"/>
        <w:ind w:firstLine="420" w:firstLineChars="200"/>
        <w:rPr>
          <w:rFonts w:ascii="宋体" w:hAnsi="宋体"/>
          <w:szCs w:val="21"/>
        </w:rPr>
      </w:pPr>
      <w:r>
        <w:rPr>
          <w:rFonts w:hint="eastAsia" w:ascii="仿宋_GB2312" w:hAnsi="宋体" w:eastAsia="仿宋_GB2312"/>
          <w:szCs w:val="21"/>
        </w:rPr>
        <w:t>3、招标文件其他章节中有关否决性条款的阐述与本节内容不一致的，以本节内容为准。</w:t>
      </w:r>
    </w:p>
    <w:p>
      <w:pPr>
        <w:spacing w:line="360" w:lineRule="auto"/>
        <w:rPr>
          <w:rFonts w:ascii="宋体" w:hAnsi="宋体"/>
          <w:szCs w:val="21"/>
        </w:rPr>
      </w:pPr>
      <w:bookmarkStart w:id="25" w:name="_Toc199215670"/>
      <w:bookmarkStart w:id="26" w:name="_Toc199213630"/>
      <w:r>
        <w:rPr>
          <w:rFonts w:hint="eastAsia" w:ascii="宋体" w:hAnsi="宋体"/>
          <w:szCs w:val="21"/>
        </w:rPr>
        <w:t>一、开标会上，投标文件不予受理的情形（由采购人负责判定）</w:t>
      </w:r>
    </w:p>
    <w:p>
      <w:pPr>
        <w:spacing w:line="360" w:lineRule="auto"/>
        <w:ind w:firstLine="420" w:firstLineChars="200"/>
        <w:rPr>
          <w:rFonts w:ascii="宋体" w:hAnsi="宋体"/>
          <w:szCs w:val="21"/>
        </w:rPr>
      </w:pPr>
      <w:r>
        <w:rPr>
          <w:rFonts w:hint="eastAsia" w:ascii="宋体" w:hAnsi="宋体"/>
          <w:szCs w:val="21"/>
        </w:rPr>
        <w:t>1、在投标截止时间以后</w:t>
      </w:r>
      <w:r>
        <w:rPr>
          <w:rFonts w:ascii="宋体" w:hAnsi="宋体"/>
          <w:szCs w:val="21"/>
        </w:rPr>
        <w:t>送达的</w:t>
      </w:r>
      <w:r>
        <w:rPr>
          <w:rFonts w:hint="eastAsia" w:ascii="宋体" w:hAnsi="宋体"/>
          <w:szCs w:val="21"/>
        </w:rPr>
        <w:t>，</w:t>
      </w:r>
      <w:r>
        <w:rPr>
          <w:rFonts w:ascii="宋体" w:hAnsi="宋体"/>
          <w:szCs w:val="21"/>
        </w:rPr>
        <w:t>或者未送达指定地点的</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2、投标文件未按招标文件的规定密封、标记的；</w:t>
      </w:r>
    </w:p>
    <w:p>
      <w:pPr>
        <w:spacing w:line="360" w:lineRule="auto"/>
        <w:ind w:firstLine="420" w:firstLineChars="200"/>
        <w:rPr>
          <w:rFonts w:ascii="宋体" w:hAnsi="宋体"/>
          <w:szCs w:val="21"/>
        </w:rPr>
      </w:pPr>
      <w:r>
        <w:rPr>
          <w:rFonts w:hint="eastAsia" w:ascii="宋体" w:hAnsi="宋体"/>
          <w:szCs w:val="21"/>
        </w:rPr>
        <w:t>3、投标人不具备招标文件所列的资格要求，或未提交相应的资格证明材料的, 或未按要求提交《无重大违法记录承诺函》或《未被禁止投标承诺函》的；</w:t>
      </w:r>
    </w:p>
    <w:p>
      <w:pPr>
        <w:spacing w:line="360" w:lineRule="auto"/>
        <w:ind w:firstLine="420" w:firstLineChars="200"/>
        <w:rPr>
          <w:rFonts w:ascii="宋体" w:hAnsi="宋体"/>
          <w:szCs w:val="21"/>
        </w:rPr>
      </w:pPr>
      <w:r>
        <w:rPr>
          <w:rFonts w:hint="eastAsia" w:ascii="宋体" w:hAnsi="宋体"/>
          <w:szCs w:val="21"/>
        </w:rPr>
        <w:t>4、投标总价或分项报价高于预算限额的；</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w:t>
      </w:r>
      <w:r>
        <w:rPr>
          <w:rFonts w:hint="eastAsia" w:ascii="宋体" w:hAnsi="宋体"/>
          <w:bCs/>
          <w:szCs w:val="21"/>
        </w:rPr>
        <w:t>组成联合体投标的，投标文件中未按规定附有联合体各方共同投标协议的；</w:t>
      </w:r>
    </w:p>
    <w:p>
      <w:pPr>
        <w:spacing w:line="360" w:lineRule="auto"/>
        <w:ind w:firstLine="420" w:firstLineChars="200"/>
        <w:rPr>
          <w:rFonts w:ascii="宋体" w:hAnsi="宋体"/>
          <w:bCs/>
          <w:szCs w:val="21"/>
        </w:rPr>
      </w:pPr>
      <w:r>
        <w:rPr>
          <w:rFonts w:ascii="宋体" w:hAnsi="宋体"/>
          <w:szCs w:val="21"/>
        </w:rPr>
        <w:t>6</w:t>
      </w:r>
      <w:r>
        <w:rPr>
          <w:rFonts w:hint="eastAsia" w:ascii="宋体" w:hAnsi="宋体"/>
          <w:szCs w:val="21"/>
        </w:rPr>
        <w:t>、</w:t>
      </w:r>
      <w:r>
        <w:rPr>
          <w:rFonts w:hint="eastAsia" w:ascii="宋体" w:hAnsi="宋体"/>
          <w:bCs/>
          <w:szCs w:val="21"/>
        </w:rPr>
        <w:t>参加联合体的各成员再以自己的名义单独投标的；或同时参加</w:t>
      </w:r>
      <w:r>
        <w:rPr>
          <w:rFonts w:ascii="宋体" w:hAnsi="宋体"/>
          <w:bCs/>
          <w:szCs w:val="21"/>
        </w:rPr>
        <w:t>两个</w:t>
      </w:r>
      <w:r>
        <w:rPr>
          <w:rFonts w:hint="eastAsia" w:ascii="宋体" w:hAnsi="宋体"/>
          <w:bCs/>
          <w:szCs w:val="21"/>
        </w:rPr>
        <w:t>以上（含两个）的联合体投标的；</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、投标文件载明的服务期超出招标文件规定期限的。</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二、初步评审中有关废标的情形（由评审委员会负责判定）</w:t>
      </w:r>
    </w:p>
    <w:p>
      <w:pPr>
        <w:spacing w:line="360" w:lineRule="auto"/>
        <w:ind w:firstLine="420" w:firstLineChars="200"/>
        <w:rPr>
          <w:rFonts w:ascii="宋体" w:hAnsi="宋体"/>
          <w:szCs w:val="21"/>
        </w:rPr>
      </w:pPr>
      <w:r>
        <w:rPr>
          <w:rFonts w:hint="eastAsia" w:ascii="宋体" w:hAnsi="宋体"/>
          <w:szCs w:val="21"/>
        </w:rPr>
        <w:t>1、投标文件份数不满足招标文件要求</w:t>
      </w:r>
      <w:r>
        <w:rPr>
          <w:rFonts w:hint="eastAsia" w:hAnsi="宋体"/>
          <w:bCs/>
          <w:szCs w:val="21"/>
        </w:rPr>
        <w:t>或未标识正副本</w:t>
      </w:r>
      <w:r>
        <w:rPr>
          <w:rFonts w:hint="eastAsia" w:ascii="宋体" w:hAnsi="宋体"/>
          <w:szCs w:val="21"/>
        </w:rPr>
        <w:t>的；</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bCs/>
          <w:szCs w:val="21"/>
        </w:rPr>
        <w:t>投标文件的有关内容未按招标文件规定加盖投标人公章的或未经法定代表人或其授权委托人签字的或由其授权委托人签字但未随投标文件一起提供“法定代表人授权委托书”和“法定代表人资格证明书”原件的；</w:t>
      </w:r>
    </w:p>
    <w:p>
      <w:pPr>
        <w:spacing w:line="360" w:lineRule="auto"/>
        <w:ind w:firstLine="420" w:firstLineChars="200"/>
        <w:rPr>
          <w:rFonts w:ascii="宋体" w:hAnsi="宋体"/>
          <w:szCs w:val="21"/>
        </w:rPr>
      </w:pPr>
      <w:r>
        <w:rPr>
          <w:rFonts w:hint="eastAsia" w:ascii="宋体" w:hAnsi="宋体"/>
          <w:szCs w:val="21"/>
        </w:rPr>
        <w:t>3、同一项目出现两个及以上报价的；</w:t>
      </w:r>
    </w:p>
    <w:p>
      <w:pPr>
        <w:spacing w:line="360" w:lineRule="auto"/>
        <w:ind w:firstLine="420" w:firstLineChars="200"/>
        <w:rPr>
          <w:rFonts w:ascii="宋体" w:hAnsi="宋体"/>
          <w:szCs w:val="21"/>
        </w:rPr>
      </w:pPr>
      <w:r>
        <w:rPr>
          <w:rFonts w:hint="eastAsia" w:ascii="宋体" w:hAnsi="宋体"/>
          <w:szCs w:val="21"/>
        </w:rPr>
        <w:t>4、投标人提供两套及以上投标方案的（招标文件允许提交的除外）。</w:t>
      </w:r>
    </w:p>
    <w:p>
      <w:pPr>
        <w:spacing w:line="360" w:lineRule="auto"/>
        <w:ind w:firstLine="420" w:firstLineChars="200"/>
        <w:rPr>
          <w:rFonts w:ascii="宋体" w:hAnsi="宋体"/>
          <w:szCs w:val="21"/>
        </w:rPr>
      </w:pPr>
      <w:r>
        <w:rPr>
          <w:rFonts w:hint="eastAsia" w:ascii="宋体" w:hAnsi="宋体"/>
          <w:szCs w:val="21"/>
        </w:rPr>
        <w:t>5、</w:t>
      </w:r>
      <w:r>
        <w:rPr>
          <w:rFonts w:hint="eastAsia"/>
        </w:rPr>
        <w:t>未按招标文件所提供的样式填写</w:t>
      </w:r>
      <w:r>
        <w:t>《</w:t>
      </w:r>
      <w:r>
        <w:rPr>
          <w:rFonts w:hint="eastAsia"/>
        </w:rPr>
        <w:t>投标函》；未按招标文件对投标文件组成的要求提供投标文件的（投标文件组成不完整）。</w:t>
      </w:r>
    </w:p>
    <w:p>
      <w:pPr>
        <w:spacing w:line="360" w:lineRule="auto"/>
        <w:rPr>
          <w:rFonts w:ascii="宋体" w:hAnsi="宋体"/>
          <w:szCs w:val="21"/>
        </w:rPr>
      </w:pPr>
    </w:p>
    <w:p>
      <w:pPr>
        <w:spacing w:line="360" w:lineRule="auto"/>
        <w:rPr>
          <w:rFonts w:ascii="宋体" w:hAnsi="宋体"/>
          <w:bCs/>
          <w:szCs w:val="21"/>
        </w:rPr>
      </w:pPr>
      <w:r>
        <w:rPr>
          <w:rFonts w:hint="eastAsia" w:ascii="宋体" w:hAnsi="宋体"/>
          <w:szCs w:val="21"/>
        </w:rPr>
        <w:t>三、</w:t>
      </w:r>
      <w:r>
        <w:rPr>
          <w:rFonts w:hint="eastAsia" w:ascii="宋体" w:hAnsi="宋体"/>
          <w:bCs/>
          <w:szCs w:val="21"/>
        </w:rPr>
        <w:t>详细评审中有关废标的情形（由评审委员会负责判定）</w:t>
      </w:r>
    </w:p>
    <w:p>
      <w:pPr>
        <w:spacing w:line="360" w:lineRule="auto"/>
        <w:ind w:firstLine="420" w:firstLineChars="200"/>
        <w:rPr>
          <w:rFonts w:ascii="宋体" w:hAnsi="宋体" w:cs="Courier New"/>
          <w:szCs w:val="21"/>
        </w:rPr>
      </w:pPr>
      <w:r>
        <w:rPr>
          <w:rFonts w:hint="eastAsia" w:ascii="宋体" w:hAnsi="宋体" w:cs="Courier New"/>
          <w:szCs w:val="21"/>
        </w:rPr>
        <w:t>1、</w:t>
      </w:r>
      <w:r>
        <w:rPr>
          <w:rFonts w:hint="eastAsia" w:ascii="宋体" w:hAnsi="宋体"/>
          <w:bCs/>
          <w:szCs w:val="21"/>
        </w:rPr>
        <w:t>投标人以他人的名义投标或出现串通投标、弄虚作假情形的；</w:t>
      </w:r>
    </w:p>
    <w:p>
      <w:pPr>
        <w:spacing w:line="360" w:lineRule="auto"/>
        <w:ind w:firstLine="420" w:firstLineChars="200"/>
        <w:rPr>
          <w:rFonts w:ascii="宋体" w:hAnsi="宋体"/>
          <w:szCs w:val="21"/>
        </w:rPr>
      </w:pPr>
      <w:r>
        <w:rPr>
          <w:rFonts w:hint="eastAsia" w:ascii="宋体" w:hAnsi="宋体"/>
          <w:szCs w:val="21"/>
        </w:rPr>
        <w:t>2、所投投标方案、服务内容在质量、技术、方案等方面没有实质性满足招标文件要求的；</w:t>
      </w:r>
    </w:p>
    <w:p>
      <w:pPr>
        <w:spacing w:line="360" w:lineRule="auto"/>
        <w:ind w:firstLine="420" w:firstLineChars="200"/>
        <w:rPr>
          <w:rFonts w:hint="eastAsia" w:ascii="宋体" w:hAnsi="宋体"/>
          <w:szCs w:val="21"/>
        </w:rPr>
      </w:pPr>
      <w:r>
        <w:rPr>
          <w:rFonts w:hint="eastAsia" w:ascii="宋体" w:hAnsi="宋体"/>
          <w:szCs w:val="21"/>
        </w:rPr>
        <w:t>3、评审委员会根据招标文件的规定对投标文件的投标价格进行调整，投标人不接受调整方式，或不接受调整后的价格的。</w:t>
      </w:r>
    </w:p>
    <w:p>
      <w:pPr>
        <w:spacing w:line="360" w:lineRule="auto"/>
        <w:ind w:firstLine="420" w:firstLineChars="200"/>
        <w:rPr>
          <w:rFonts w:hint="eastAsia" w:ascii="宋体" w:hAnsi="宋体"/>
          <w:szCs w:val="21"/>
        </w:rPr>
      </w:pPr>
    </w:p>
    <w:p>
      <w:pPr>
        <w:spacing w:line="360" w:lineRule="auto"/>
        <w:jc w:val="center"/>
        <w:outlineLvl w:val="1"/>
        <w:rPr>
          <w:rFonts w:ascii="宋体" w:hAnsi="宋体"/>
          <w:bCs/>
          <w:szCs w:val="21"/>
        </w:rPr>
      </w:pPr>
      <w:bookmarkStart w:id="27" w:name="_Toc51235177"/>
      <w:bookmarkStart w:id="28" w:name="_Toc201997805"/>
      <w:bookmarkStart w:id="29" w:name="_Toc201742946"/>
      <w:r>
        <w:rPr>
          <w:rFonts w:hint="eastAsia" w:ascii="宋体" w:hAnsi="宋体"/>
          <w:b/>
          <w:bCs/>
          <w:sz w:val="32"/>
          <w:szCs w:val="32"/>
        </w:rPr>
        <w:t>第三节  投标须知</w:t>
      </w:r>
      <w:bookmarkEnd w:id="25"/>
      <w:bookmarkEnd w:id="26"/>
      <w:bookmarkEnd w:id="27"/>
      <w:bookmarkEnd w:id="28"/>
      <w:bookmarkEnd w:id="29"/>
    </w:p>
    <w:p>
      <w:pPr>
        <w:pStyle w:val="4"/>
        <w:spacing w:line="360" w:lineRule="auto"/>
        <w:jc w:val="center"/>
        <w:rPr>
          <w:rFonts w:ascii="宋体" w:hAnsi="宋体"/>
          <w:b w:val="0"/>
          <w:sz w:val="30"/>
          <w:szCs w:val="30"/>
        </w:rPr>
      </w:pPr>
      <w:bookmarkStart w:id="30" w:name="_Toc201997806"/>
      <w:bookmarkStart w:id="31" w:name="_Toc51235178"/>
      <w:bookmarkStart w:id="32" w:name="_Toc201742947"/>
      <w:r>
        <w:rPr>
          <w:rFonts w:hint="eastAsia" w:ascii="宋体" w:hAnsi="宋体"/>
          <w:b w:val="0"/>
          <w:sz w:val="30"/>
          <w:szCs w:val="30"/>
        </w:rPr>
        <w:t>一</w:t>
      </w:r>
      <w:bookmarkStart w:id="33" w:name="_Toc134852005"/>
      <w:bookmarkStart w:id="34" w:name="_Toc148954449"/>
      <w:bookmarkStart w:id="35" w:name="_Toc143658440"/>
      <w:bookmarkStart w:id="36" w:name="_Toc148778142"/>
      <w:bookmarkStart w:id="37" w:name="_Toc188869262"/>
      <w:bookmarkStart w:id="38" w:name="_Toc163530288"/>
      <w:bookmarkStart w:id="39" w:name="_Toc148780223"/>
      <w:bookmarkStart w:id="40" w:name="_Toc187729563"/>
      <w:bookmarkStart w:id="41" w:name="_Toc148779937"/>
      <w:bookmarkStart w:id="42" w:name="_Toc98817919"/>
      <w:bookmarkStart w:id="43" w:name="_Toc135666612"/>
      <w:bookmarkStart w:id="44" w:name="_Toc135666799"/>
      <w:bookmarkStart w:id="45" w:name="_Toc157847806"/>
      <w:bookmarkStart w:id="46" w:name="_Toc148329786"/>
      <w:bookmarkStart w:id="47" w:name="_Toc148954844"/>
      <w:bookmarkStart w:id="48" w:name="_Toc148413285"/>
      <w:r>
        <w:rPr>
          <w:rFonts w:hint="eastAsia" w:ascii="宋体" w:hAnsi="宋体"/>
          <w:b w:val="0"/>
          <w:sz w:val="30"/>
          <w:szCs w:val="30"/>
        </w:rPr>
        <w:t>、总  则</w:t>
      </w:r>
      <w:bookmarkEnd w:id="30"/>
      <w:bookmarkEnd w:id="31"/>
      <w:bookmarkEnd w:id="32"/>
    </w:p>
    <w:bookmarkEnd w:id="3"/>
    <w:bookmarkEnd w:id="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Pr>
        <w:spacing w:line="360" w:lineRule="auto"/>
        <w:ind w:firstLine="420" w:firstLineChars="200"/>
        <w:rPr>
          <w:rFonts w:ascii="宋体" w:hAnsi="宋体"/>
          <w:szCs w:val="21"/>
        </w:rPr>
      </w:pPr>
      <w:bookmarkStart w:id="49" w:name="_Toc201401549"/>
      <w:bookmarkStart w:id="50" w:name="_Toc201997808"/>
      <w:bookmarkStart w:id="51" w:name="_Toc201401357"/>
      <w:bookmarkStart w:id="52" w:name="_Toc201401548"/>
      <w:bookmarkStart w:id="53" w:name="_Toc201401356"/>
      <w:bookmarkStart w:id="54" w:name="_Toc201997807"/>
      <w:bookmarkStart w:id="55" w:name="_Toc199215828"/>
      <w:bookmarkStart w:id="56" w:name="_Toc199213631"/>
      <w:bookmarkStart w:id="57" w:name="_Toc199215671"/>
      <w:r>
        <w:rPr>
          <w:rFonts w:hint="eastAsia" w:ascii="宋体" w:hAnsi="宋体"/>
          <w:szCs w:val="21"/>
        </w:rPr>
        <w:t>根据《中华人民共和国政府采购法》、《深圳经济特区政府采购条例》等有关法律、法规、规章和规范性文件的规定，本项目已具备采购条件，现进行采购。</w:t>
      </w:r>
      <w:bookmarkEnd w:id="49"/>
      <w:bookmarkEnd w:id="50"/>
      <w:bookmarkEnd w:id="51"/>
    </w:p>
    <w:p>
      <w:pPr>
        <w:spacing w:line="360" w:lineRule="auto"/>
        <w:rPr>
          <w:rFonts w:ascii="宋体" w:hAnsi="宋体"/>
          <w:b/>
          <w:szCs w:val="21"/>
        </w:rPr>
      </w:pPr>
      <w:r>
        <w:rPr>
          <w:rFonts w:hint="eastAsia" w:ascii="宋体" w:hAnsi="宋体"/>
          <w:b/>
          <w:szCs w:val="21"/>
        </w:rPr>
        <w:t>1.词语定义</w:t>
      </w:r>
    </w:p>
    <w:p>
      <w:pPr>
        <w:spacing w:line="360" w:lineRule="auto"/>
        <w:ind w:firstLine="420" w:firstLineChars="200"/>
        <w:rPr>
          <w:rFonts w:ascii="宋体" w:hAnsi="宋体"/>
          <w:szCs w:val="21"/>
        </w:rPr>
      </w:pPr>
      <w:r>
        <w:rPr>
          <w:rFonts w:hint="eastAsia" w:ascii="宋体" w:hAnsi="宋体"/>
          <w:szCs w:val="21"/>
        </w:rPr>
        <w:t>1.1 “投标人”或“投标人”：指参加投标竞争的依法成立的单位，并愿意按照招标文件要求向采购人提供货物、工程或者服务的法人、其他组织或者自然人。</w:t>
      </w:r>
    </w:p>
    <w:p>
      <w:pPr>
        <w:spacing w:line="360" w:lineRule="auto"/>
        <w:ind w:firstLine="420" w:firstLineChars="200"/>
        <w:rPr>
          <w:rFonts w:ascii="宋体" w:hAnsi="宋体"/>
          <w:szCs w:val="21"/>
        </w:rPr>
      </w:pPr>
      <w:r>
        <w:rPr>
          <w:rFonts w:hint="eastAsia" w:ascii="宋体" w:hAnsi="宋体"/>
          <w:szCs w:val="21"/>
        </w:rPr>
        <w:t>1.2 “采购人”或“采购单位”或“招标人”：指利用财政性资金依法进行政府采购的国家机关、事业单位、团体组织。</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 xml:space="preserve"> “评审委员会”：指依据《深圳经济特区政府采购条例》有关规定组建的专门负责本次招标评标工作的临时性机构。</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 xml:space="preserve"> “日期”：</w:t>
      </w:r>
      <w:r>
        <w:rPr>
          <w:rFonts w:ascii="宋体" w:hAnsi="宋体"/>
          <w:szCs w:val="21"/>
        </w:rPr>
        <w:t>指</w:t>
      </w:r>
      <w:r>
        <w:rPr>
          <w:rFonts w:hint="eastAsia" w:ascii="宋体" w:hAnsi="宋体"/>
          <w:szCs w:val="21"/>
        </w:rPr>
        <w:t>公历日，其中1个月按30天计算，1年按365天计算。</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 xml:space="preserve"> “货物”：指各种形态和种类的物品，包括原材料、燃料、设备、产品等。</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 xml:space="preserve"> “工程”：指建设工程。包括建筑和构筑物的新建、改建、扩建、装修、拆除、修缮等。</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 xml:space="preserve"> “服务”：指除货物和工程以外的政府采购对象。</w:t>
      </w:r>
    </w:p>
    <w:p>
      <w:pPr>
        <w:spacing w:line="360" w:lineRule="auto"/>
        <w:rPr>
          <w:rFonts w:ascii="宋体" w:hAnsi="宋体"/>
          <w:b/>
          <w:szCs w:val="21"/>
        </w:rPr>
      </w:pPr>
      <w:r>
        <w:rPr>
          <w:rFonts w:hint="eastAsia" w:ascii="宋体" w:hAnsi="宋体"/>
          <w:b/>
          <w:szCs w:val="21"/>
        </w:rPr>
        <w:t>2．项目概况</w:t>
      </w:r>
      <w:bookmarkEnd w:id="52"/>
      <w:bookmarkEnd w:id="53"/>
      <w:bookmarkEnd w:id="54"/>
    </w:p>
    <w:bookmarkEnd w:id="55"/>
    <w:bookmarkEnd w:id="56"/>
    <w:bookmarkEnd w:id="57"/>
    <w:p>
      <w:pPr>
        <w:spacing w:line="360" w:lineRule="auto"/>
        <w:ind w:firstLine="420" w:firstLineChars="200"/>
        <w:rPr>
          <w:rFonts w:ascii="宋体" w:hAnsi="宋体"/>
          <w:szCs w:val="21"/>
        </w:rPr>
      </w:pPr>
      <w:r>
        <w:rPr>
          <w:rFonts w:hint="eastAsia" w:ascii="宋体" w:hAnsi="宋体"/>
          <w:kern w:val="0"/>
          <w:szCs w:val="21"/>
        </w:rPr>
        <w:t>2.1采购项目名称：</w:t>
      </w:r>
      <w:r>
        <w:rPr>
          <w:rFonts w:hint="eastAsia" w:ascii="宋体" w:hAnsi="宋体"/>
          <w:szCs w:val="21"/>
        </w:rPr>
        <w:t>详见“投标须知前附表”（以下简称“前附表”）。</w:t>
      </w:r>
    </w:p>
    <w:p>
      <w:pPr>
        <w:spacing w:line="360" w:lineRule="auto"/>
        <w:ind w:firstLine="420" w:firstLineChars="200"/>
        <w:rPr>
          <w:rFonts w:ascii="宋体" w:hAnsi="宋体"/>
          <w:szCs w:val="21"/>
        </w:rPr>
      </w:pPr>
      <w:r>
        <w:rPr>
          <w:rFonts w:hint="eastAsia" w:ascii="宋体" w:hAnsi="宋体"/>
          <w:szCs w:val="21"/>
        </w:rPr>
        <w:t>2.2采购人：详见“前附表”。</w:t>
      </w:r>
    </w:p>
    <w:p>
      <w:pPr>
        <w:spacing w:line="360" w:lineRule="auto"/>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3</w:t>
      </w:r>
      <w:r>
        <w:rPr>
          <w:rFonts w:hint="eastAsia" w:ascii="宋体" w:hAnsi="宋体"/>
          <w:kern w:val="0"/>
          <w:szCs w:val="21"/>
        </w:rPr>
        <w:t>采购项目地点：</w:t>
      </w:r>
      <w:r>
        <w:rPr>
          <w:rFonts w:hint="eastAsia" w:ascii="宋体" w:hAnsi="宋体"/>
          <w:szCs w:val="21"/>
        </w:rPr>
        <w:t>详见“前附表”。</w:t>
      </w:r>
    </w:p>
    <w:p>
      <w:pPr>
        <w:spacing w:line="360" w:lineRule="auto"/>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4</w:t>
      </w:r>
      <w:r>
        <w:rPr>
          <w:rFonts w:hint="eastAsia" w:ascii="宋体" w:hAnsi="宋体"/>
          <w:kern w:val="0"/>
          <w:szCs w:val="21"/>
        </w:rPr>
        <w:t>采购内容：</w:t>
      </w:r>
      <w:bookmarkStart w:id="58" w:name="_Toc199215829"/>
      <w:bookmarkStart w:id="59" w:name="_Toc199215672"/>
      <w:bookmarkStart w:id="60" w:name="_Toc199213632"/>
      <w:r>
        <w:rPr>
          <w:rFonts w:hint="eastAsia" w:ascii="宋体" w:hAnsi="宋体"/>
          <w:szCs w:val="21"/>
        </w:rPr>
        <w:t>详见“前附表”。</w:t>
      </w:r>
    </w:p>
    <w:p>
      <w:pPr>
        <w:spacing w:line="360" w:lineRule="auto"/>
        <w:rPr>
          <w:rFonts w:ascii="宋体" w:hAnsi="宋体"/>
          <w:b/>
          <w:szCs w:val="21"/>
        </w:rPr>
      </w:pPr>
      <w:bookmarkStart w:id="61" w:name="_Toc201401550"/>
      <w:bookmarkStart w:id="62" w:name="_Toc201401358"/>
      <w:bookmarkStart w:id="63" w:name="_Toc201997809"/>
      <w:r>
        <w:rPr>
          <w:rFonts w:hint="eastAsia" w:ascii="宋体" w:hAnsi="宋体"/>
          <w:b/>
          <w:szCs w:val="21"/>
        </w:rPr>
        <w:t>3．资金来源和落实情况</w:t>
      </w:r>
      <w:bookmarkEnd w:id="58"/>
      <w:bookmarkEnd w:id="59"/>
      <w:bookmarkEnd w:id="60"/>
      <w:bookmarkEnd w:id="61"/>
      <w:bookmarkEnd w:id="62"/>
      <w:bookmarkEnd w:id="63"/>
    </w:p>
    <w:p>
      <w:pPr>
        <w:spacing w:line="360" w:lineRule="auto"/>
        <w:ind w:firstLine="420" w:firstLineChars="200"/>
        <w:rPr>
          <w:rFonts w:ascii="宋体" w:hAnsi="宋体"/>
          <w:kern w:val="0"/>
          <w:szCs w:val="21"/>
        </w:rPr>
      </w:pPr>
      <w:r>
        <w:rPr>
          <w:rFonts w:hint="eastAsia" w:ascii="宋体" w:hAnsi="宋体"/>
          <w:kern w:val="0"/>
          <w:szCs w:val="21"/>
        </w:rPr>
        <w:t>3.1采购项目资金来源：</w:t>
      </w:r>
      <w:r>
        <w:rPr>
          <w:rFonts w:hint="eastAsia" w:ascii="宋体" w:hAnsi="宋体"/>
          <w:szCs w:val="21"/>
        </w:rPr>
        <w:t>详见“前附表”。</w:t>
      </w:r>
    </w:p>
    <w:p>
      <w:pPr>
        <w:spacing w:line="360" w:lineRule="auto"/>
        <w:ind w:firstLine="420" w:firstLineChars="200"/>
        <w:rPr>
          <w:rFonts w:ascii="宋体" w:hAnsi="宋体"/>
          <w:kern w:val="0"/>
          <w:szCs w:val="21"/>
        </w:rPr>
      </w:pPr>
      <w:r>
        <w:rPr>
          <w:rFonts w:hint="eastAsia" w:ascii="宋体" w:hAnsi="宋体"/>
          <w:kern w:val="0"/>
          <w:szCs w:val="21"/>
        </w:rPr>
        <w:t>3.2本采购项目已取得项目审批部门的批准，资金已落实。</w:t>
      </w:r>
      <w:bookmarkStart w:id="64" w:name="_Toc199215830"/>
      <w:bookmarkStart w:id="65" w:name="_Toc199213633"/>
      <w:bookmarkStart w:id="66" w:name="_Toc199215673"/>
    </w:p>
    <w:p>
      <w:pPr>
        <w:spacing w:line="360" w:lineRule="auto"/>
        <w:rPr>
          <w:rFonts w:ascii="宋体" w:hAnsi="宋体"/>
          <w:b/>
          <w:szCs w:val="21"/>
        </w:rPr>
      </w:pPr>
      <w:bookmarkStart w:id="67" w:name="_Toc201997810"/>
      <w:bookmarkStart w:id="68" w:name="_Toc201401551"/>
      <w:bookmarkStart w:id="69" w:name="_Toc201401359"/>
      <w:r>
        <w:rPr>
          <w:rFonts w:hint="eastAsia" w:ascii="宋体" w:hAnsi="宋体"/>
          <w:b/>
          <w:szCs w:val="21"/>
        </w:rPr>
        <w:t>4．投标人资格要求</w:t>
      </w:r>
      <w:bookmarkEnd w:id="64"/>
      <w:bookmarkEnd w:id="65"/>
      <w:bookmarkEnd w:id="66"/>
      <w:bookmarkEnd w:id="67"/>
      <w:bookmarkEnd w:id="68"/>
      <w:bookmarkEnd w:id="69"/>
    </w:p>
    <w:p>
      <w:pPr>
        <w:spacing w:line="360" w:lineRule="auto"/>
        <w:ind w:firstLine="420" w:firstLineChars="200"/>
        <w:rPr>
          <w:rFonts w:ascii="宋体" w:hAnsi="宋体"/>
          <w:kern w:val="0"/>
          <w:szCs w:val="21"/>
        </w:rPr>
      </w:pPr>
      <w:bookmarkStart w:id="70" w:name="_Toc148780225"/>
      <w:bookmarkStart w:id="71" w:name="_Toc187729565"/>
      <w:bookmarkStart w:id="72" w:name="_Toc143658442"/>
      <w:bookmarkStart w:id="73" w:name="_Toc148778144"/>
      <w:bookmarkStart w:id="74" w:name="_Toc148329788"/>
      <w:bookmarkStart w:id="75" w:name="_Toc148954846"/>
      <w:bookmarkStart w:id="76" w:name="_Toc199215674"/>
      <w:bookmarkStart w:id="77" w:name="_Toc148954451"/>
      <w:bookmarkStart w:id="78" w:name="_Toc163530290"/>
      <w:bookmarkStart w:id="79" w:name="_Toc134852006"/>
      <w:bookmarkStart w:id="80" w:name="_Toc157847808"/>
      <w:bookmarkStart w:id="81" w:name="_Toc199213634"/>
      <w:bookmarkStart w:id="82" w:name="_Toc199215831"/>
      <w:bookmarkStart w:id="83" w:name="_Toc148779939"/>
      <w:bookmarkStart w:id="84" w:name="_Toc148413287"/>
      <w:bookmarkStart w:id="85" w:name="_Toc135666800"/>
      <w:bookmarkStart w:id="86" w:name="_Toc188869264"/>
      <w:bookmarkStart w:id="87" w:name="_Toc135666613"/>
      <w:bookmarkStart w:id="88" w:name="_Toc98817920"/>
      <w:bookmarkStart w:id="89" w:name="_Toc148954452"/>
      <w:bookmarkStart w:id="90" w:name="_Toc148779940"/>
      <w:bookmarkStart w:id="91" w:name="_Toc143658443"/>
      <w:bookmarkStart w:id="92" w:name="_Toc135666803"/>
      <w:bookmarkStart w:id="93" w:name="_Toc148954847"/>
      <w:bookmarkStart w:id="94" w:name="_Toc148778145"/>
      <w:bookmarkStart w:id="95" w:name="_Toc148780226"/>
      <w:bookmarkStart w:id="96" w:name="_Toc148413288"/>
      <w:bookmarkStart w:id="97" w:name="_Toc134852009"/>
      <w:bookmarkStart w:id="98" w:name="_Toc135666616"/>
      <w:bookmarkStart w:id="99" w:name="_Toc148329789"/>
      <w:bookmarkStart w:id="100" w:name="_Toc98817923"/>
      <w:r>
        <w:rPr>
          <w:rFonts w:hint="eastAsia" w:ascii="宋体" w:hAnsi="宋体"/>
          <w:kern w:val="0"/>
          <w:szCs w:val="21"/>
        </w:rPr>
        <w:t>4.1投标人应当具备承担本招标项目的能力，并符合国家有关规定和招标文件规定的资格条件，且通过合法途径取得招标文件。</w:t>
      </w:r>
    </w:p>
    <w:p>
      <w:pPr>
        <w:spacing w:line="360" w:lineRule="auto"/>
        <w:ind w:firstLine="420" w:firstLineChars="200"/>
        <w:rPr>
          <w:rFonts w:ascii="宋体" w:hAnsi="宋体"/>
          <w:kern w:val="0"/>
          <w:szCs w:val="21"/>
        </w:rPr>
      </w:pPr>
      <w:r>
        <w:rPr>
          <w:rFonts w:hint="eastAsia" w:ascii="宋体" w:hAnsi="宋体"/>
          <w:kern w:val="0"/>
          <w:szCs w:val="21"/>
        </w:rPr>
        <w:t>4.1.1投标人资格要求：</w:t>
      </w:r>
      <w:r>
        <w:rPr>
          <w:rFonts w:hint="eastAsia" w:ascii="宋体" w:hAnsi="宋体"/>
          <w:szCs w:val="21"/>
        </w:rPr>
        <w:t>详见“前附表”。</w:t>
      </w:r>
    </w:p>
    <w:p>
      <w:pPr>
        <w:spacing w:line="360" w:lineRule="auto"/>
        <w:ind w:firstLine="420" w:firstLineChars="200"/>
        <w:rPr>
          <w:rFonts w:ascii="宋体" w:hAnsi="宋体"/>
          <w:kern w:val="0"/>
          <w:szCs w:val="21"/>
        </w:rPr>
      </w:pPr>
      <w:r>
        <w:rPr>
          <w:rFonts w:hint="eastAsia" w:ascii="宋体" w:hAnsi="宋体"/>
          <w:kern w:val="0"/>
          <w:szCs w:val="21"/>
        </w:rPr>
        <w:t>4.1.2是否接受联合体投标：</w:t>
      </w:r>
      <w:r>
        <w:rPr>
          <w:rFonts w:hint="eastAsia" w:ascii="宋体" w:hAnsi="宋体"/>
          <w:szCs w:val="21"/>
        </w:rPr>
        <w:t>详见“前附表”。</w:t>
      </w:r>
    </w:p>
    <w:p>
      <w:pPr>
        <w:spacing w:line="360" w:lineRule="auto"/>
        <w:ind w:firstLine="420" w:firstLineChars="200"/>
        <w:rPr>
          <w:rFonts w:ascii="宋体" w:hAnsi="宋体"/>
          <w:kern w:val="0"/>
          <w:szCs w:val="21"/>
        </w:rPr>
      </w:pPr>
      <w:r>
        <w:rPr>
          <w:rFonts w:hint="eastAsia" w:ascii="宋体" w:hAnsi="宋体"/>
          <w:kern w:val="0"/>
          <w:szCs w:val="21"/>
        </w:rPr>
        <w:t>4.2接受联合体投标的，由两个或两个以上法人组成一个联合体以一个投标人的身份共同投标时，还应符合以下要求：</w:t>
      </w:r>
    </w:p>
    <w:p>
      <w:pPr>
        <w:spacing w:line="360" w:lineRule="auto"/>
        <w:ind w:firstLine="420" w:firstLineChars="200"/>
        <w:rPr>
          <w:rFonts w:ascii="宋体" w:hAnsi="宋体"/>
          <w:kern w:val="0"/>
          <w:szCs w:val="21"/>
        </w:rPr>
      </w:pPr>
      <w:r>
        <w:rPr>
          <w:rFonts w:hint="eastAsia" w:ascii="宋体" w:hAnsi="宋体"/>
          <w:kern w:val="0"/>
          <w:szCs w:val="21"/>
        </w:rPr>
        <w:t>4.2.1联合体各方应具备承担本招标项目的相应资格条件</w:t>
      </w:r>
      <w:r>
        <w:rPr>
          <w:rFonts w:hint="eastAsia"/>
        </w:rPr>
        <w:t>，联合体各方必须有一方先行注册成深圳市政府采购中心投标人。</w:t>
      </w:r>
    </w:p>
    <w:p>
      <w:pPr>
        <w:spacing w:line="360" w:lineRule="auto"/>
        <w:ind w:firstLine="420" w:firstLineChars="200"/>
        <w:rPr>
          <w:rFonts w:ascii="宋体" w:hAnsi="宋体"/>
          <w:kern w:val="0"/>
          <w:szCs w:val="21"/>
        </w:rPr>
      </w:pPr>
      <w:r>
        <w:rPr>
          <w:rFonts w:hint="eastAsia" w:ascii="宋体" w:hAnsi="宋体"/>
          <w:kern w:val="0"/>
          <w:szCs w:val="21"/>
        </w:rPr>
        <w:t>4.2.2</w:t>
      </w:r>
      <w:r>
        <w:rPr>
          <w:rFonts w:hint="eastAsia"/>
        </w:rPr>
        <w:t>招标公告</w:t>
      </w:r>
      <w:r>
        <w:t>对投标人</w:t>
      </w:r>
      <w:r>
        <w:rPr>
          <w:rFonts w:hint="eastAsia"/>
        </w:rPr>
        <w:t>某一资格</w:t>
      </w:r>
      <w:r>
        <w:t>有</w:t>
      </w:r>
      <w:r>
        <w:rPr>
          <w:rFonts w:hint="eastAsia"/>
        </w:rPr>
        <w:t>要求</w:t>
      </w:r>
      <w:r>
        <w:t>的，</w:t>
      </w:r>
      <w:r>
        <w:rPr>
          <w:rFonts w:hint="eastAsia"/>
        </w:rPr>
        <w:t>按照联合体各方中最低资质等级确定联合体的资质等级</w:t>
      </w:r>
      <w:r>
        <w:rPr>
          <w:rFonts w:hint="eastAsia" w:ascii="宋体" w:hAnsi="宋体"/>
        </w:rPr>
        <w:t>；联合体各方的不同资质可优势互补。</w:t>
      </w:r>
    </w:p>
    <w:p>
      <w:pPr>
        <w:spacing w:line="360" w:lineRule="auto"/>
        <w:ind w:firstLine="420" w:firstLineChars="200"/>
        <w:rPr>
          <w:rFonts w:ascii="宋体" w:hAnsi="宋体"/>
          <w:kern w:val="0"/>
          <w:szCs w:val="21"/>
        </w:rPr>
      </w:pPr>
      <w:r>
        <w:rPr>
          <w:rFonts w:hint="eastAsia" w:ascii="宋体" w:hAnsi="宋体"/>
          <w:kern w:val="0"/>
          <w:szCs w:val="21"/>
        </w:rPr>
        <w:t>4.2.3联合体各方应签订联合投标协议，明确联合体的牵头人，明确约定各方拟承担的工作和责任，并将该联合投标协议随投标文件一并提交给采购人。</w:t>
      </w:r>
    </w:p>
    <w:p>
      <w:pPr>
        <w:spacing w:line="360" w:lineRule="auto"/>
        <w:ind w:firstLine="420" w:firstLineChars="200"/>
        <w:rPr>
          <w:rFonts w:ascii="宋体" w:hAnsi="宋体"/>
          <w:kern w:val="0"/>
          <w:szCs w:val="21"/>
        </w:rPr>
      </w:pPr>
      <w:r>
        <w:rPr>
          <w:rFonts w:hint="eastAsia" w:ascii="宋体" w:hAnsi="宋体"/>
          <w:kern w:val="0"/>
          <w:szCs w:val="21"/>
        </w:rPr>
        <w:t>4.2.4</w:t>
      </w:r>
      <w:r>
        <w:rPr>
          <w:rFonts w:hint="eastAsia"/>
        </w:rPr>
        <w:t>联合体各方应当共同推荐一联合体投标授权代表人，由联合体各方提交一份授权书，证明其有资格代表联合体各方签署投标文件，该授权书</w:t>
      </w:r>
      <w:r>
        <w:rPr>
          <w:rFonts w:hint="eastAsia" w:ascii="宋体" w:hAnsi="宋体"/>
          <w:kern w:val="0"/>
          <w:szCs w:val="21"/>
        </w:rPr>
        <w:t>随投标文件一并提交给采购人。</w:t>
      </w:r>
    </w:p>
    <w:p>
      <w:pPr>
        <w:spacing w:line="360" w:lineRule="auto"/>
        <w:ind w:firstLine="420" w:firstLineChars="200"/>
        <w:rPr>
          <w:rFonts w:ascii="宋体" w:hAnsi="宋体"/>
          <w:kern w:val="0"/>
          <w:szCs w:val="21"/>
        </w:rPr>
      </w:pPr>
      <w:r>
        <w:rPr>
          <w:rFonts w:hint="eastAsia" w:ascii="宋体" w:hAnsi="宋体"/>
          <w:kern w:val="0"/>
          <w:szCs w:val="21"/>
        </w:rPr>
        <w:t>4.2.5 参加联合体的各成员不得再以自己的名义单独投标，也不得同时参加两个或两个以上的联合体投标。出现上述情况者，其投标和与其有关的联合体的投标均做废标处理。</w:t>
      </w:r>
    </w:p>
    <w:p>
      <w:pPr>
        <w:spacing w:line="360" w:lineRule="auto"/>
        <w:ind w:firstLine="420" w:firstLineChars="200"/>
        <w:rPr>
          <w:rFonts w:ascii="宋体" w:hAnsi="宋体"/>
          <w:kern w:val="0"/>
          <w:szCs w:val="21"/>
        </w:rPr>
      </w:pPr>
      <w:r>
        <w:rPr>
          <w:rFonts w:hint="eastAsia" w:ascii="宋体" w:hAnsi="宋体"/>
          <w:kern w:val="0"/>
          <w:szCs w:val="21"/>
        </w:rPr>
        <w:t>4.2.6</w:t>
      </w:r>
      <w:r>
        <w:rPr>
          <w:rFonts w:hint="eastAsia" w:ascii="宋体" w:hAnsi="宋体"/>
        </w:rPr>
        <w:t>联合体中标后，联合体各方应当共同与采购人签订合同，就中标项目向采购人承担连带责任。</w:t>
      </w:r>
    </w:p>
    <w:p>
      <w:pPr>
        <w:spacing w:line="360" w:lineRule="auto"/>
        <w:ind w:firstLine="420" w:firstLineChars="200"/>
        <w:rPr>
          <w:rFonts w:ascii="宋体" w:hAnsi="宋体"/>
          <w:kern w:val="0"/>
          <w:szCs w:val="21"/>
        </w:rPr>
      </w:pPr>
      <w:r>
        <w:rPr>
          <w:rFonts w:hint="eastAsia" w:ascii="宋体" w:hAnsi="宋体"/>
          <w:kern w:val="0"/>
          <w:szCs w:val="21"/>
        </w:rPr>
        <w:t>4.2.7 除非另有规定或说明，本章中“投标人”一词亦指联合体各成员。</w:t>
      </w:r>
    </w:p>
    <w:p>
      <w:pPr>
        <w:spacing w:line="360" w:lineRule="auto"/>
        <w:rPr>
          <w:rFonts w:ascii="宋体" w:hAnsi="宋体"/>
          <w:b/>
          <w:szCs w:val="21"/>
        </w:rPr>
      </w:pPr>
      <w:bookmarkStart w:id="101" w:name="_Toc201401360"/>
      <w:bookmarkStart w:id="102" w:name="_Toc201997811"/>
      <w:bookmarkStart w:id="103" w:name="_Toc201401552"/>
      <w:r>
        <w:rPr>
          <w:rFonts w:hint="eastAsia" w:ascii="宋体" w:hAnsi="宋体"/>
          <w:b/>
          <w:szCs w:val="21"/>
        </w:rPr>
        <w:t>5．投标费用</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101"/>
      <w:bookmarkEnd w:id="102"/>
      <w:bookmarkEnd w:id="103"/>
    </w:p>
    <w:p>
      <w:pPr>
        <w:spacing w:line="360" w:lineRule="auto"/>
        <w:ind w:firstLine="420" w:firstLineChars="200"/>
        <w:rPr>
          <w:rFonts w:ascii="宋体" w:hAnsi="宋体"/>
          <w:szCs w:val="21"/>
        </w:rPr>
      </w:pPr>
      <w:bookmarkStart w:id="104" w:name="_Toc157847809"/>
      <w:r>
        <w:rPr>
          <w:rFonts w:hint="eastAsia" w:ascii="宋体" w:hAnsi="宋体"/>
          <w:szCs w:val="21"/>
        </w:rPr>
        <w:t>5.1投标人应自行承担所有准备及参加投标的相关费用。不论投标结果如何，采购人在任何情况下均无义务也无责任承担这些费用。</w:t>
      </w:r>
      <w:bookmarkStart w:id="105" w:name="_Toc188869265"/>
      <w:bookmarkStart w:id="106" w:name="_Toc199213635"/>
      <w:bookmarkStart w:id="107" w:name="_Toc199215832"/>
      <w:bookmarkStart w:id="108" w:name="_Toc199215675"/>
      <w:bookmarkStart w:id="109" w:name="_Toc187729566"/>
    </w:p>
    <w:p>
      <w:pPr>
        <w:spacing w:line="360" w:lineRule="auto"/>
        <w:rPr>
          <w:rFonts w:ascii="宋体" w:hAnsi="宋体"/>
          <w:b/>
          <w:szCs w:val="21"/>
        </w:rPr>
      </w:pPr>
      <w:bookmarkStart w:id="110" w:name="_Toc201997812"/>
      <w:bookmarkStart w:id="111" w:name="_Toc201401553"/>
      <w:bookmarkStart w:id="112" w:name="_Toc201401361"/>
      <w:r>
        <w:rPr>
          <w:rFonts w:hint="eastAsia" w:ascii="宋体" w:hAnsi="宋体"/>
          <w:b/>
          <w:szCs w:val="21"/>
        </w:rPr>
        <w:t>6．踏勘现场</w:t>
      </w:r>
      <w:bookmarkEnd w:id="105"/>
      <w:bookmarkEnd w:id="106"/>
      <w:bookmarkEnd w:id="107"/>
      <w:bookmarkEnd w:id="108"/>
      <w:bookmarkEnd w:id="109"/>
      <w:bookmarkEnd w:id="110"/>
      <w:bookmarkEnd w:id="111"/>
      <w:bookmarkEnd w:id="112"/>
    </w:p>
    <w:p>
      <w:pPr>
        <w:spacing w:line="360" w:lineRule="auto"/>
        <w:ind w:firstLine="420" w:firstLineChars="200"/>
        <w:rPr>
          <w:rFonts w:ascii="宋体" w:hAnsi="宋体"/>
          <w:szCs w:val="21"/>
        </w:rPr>
      </w:pPr>
      <w:bookmarkStart w:id="113" w:name="_Toc199213636"/>
      <w:bookmarkStart w:id="114" w:name="_Toc188869266"/>
      <w:bookmarkStart w:id="115" w:name="_Toc199215833"/>
      <w:bookmarkStart w:id="116" w:name="_Toc199215676"/>
      <w:r>
        <w:rPr>
          <w:rFonts w:hint="eastAsia" w:ascii="宋体" w:hAnsi="宋体"/>
          <w:szCs w:val="21"/>
        </w:rPr>
        <w:t>6.1“前附表”规定组织踏勘现场的，采购机构将按照“前附表”规定的时间、地点组织投标人踏勘现场。未参与现场踏勘不作为否定投标人资格的理由。</w:t>
      </w:r>
    </w:p>
    <w:p>
      <w:pPr>
        <w:spacing w:line="360" w:lineRule="auto"/>
        <w:ind w:firstLine="420" w:firstLineChars="200"/>
        <w:rPr>
          <w:rFonts w:ascii="宋体" w:hAnsi="宋体"/>
          <w:szCs w:val="21"/>
        </w:rPr>
      </w:pPr>
      <w:r>
        <w:rPr>
          <w:rFonts w:hint="eastAsia" w:ascii="宋体" w:hAnsi="宋体"/>
          <w:szCs w:val="21"/>
        </w:rPr>
        <w:t>6.2投标人及其人员经过采购人的允许，可以踏勘目的进入采购人的项目现场。投标人未参与统一组织踏勘现场的，采购人有权拒绝其进入项目现场。</w:t>
      </w:r>
    </w:p>
    <w:p>
      <w:pPr>
        <w:spacing w:line="360" w:lineRule="auto"/>
        <w:ind w:firstLine="420" w:firstLineChars="200"/>
        <w:rPr>
          <w:rFonts w:ascii="宋体" w:hAnsi="宋体"/>
          <w:szCs w:val="21"/>
        </w:rPr>
      </w:pPr>
      <w:r>
        <w:rPr>
          <w:rFonts w:hint="eastAsia" w:ascii="宋体" w:hAnsi="宋体"/>
          <w:szCs w:val="21"/>
        </w:rPr>
        <w:t>6.3投标人踏勘现场所发生的费用自理。</w:t>
      </w:r>
    </w:p>
    <w:p>
      <w:pPr>
        <w:spacing w:line="360" w:lineRule="auto"/>
        <w:ind w:firstLine="420" w:firstLineChars="200"/>
        <w:rPr>
          <w:rFonts w:ascii="宋体" w:hAnsi="宋体"/>
          <w:szCs w:val="21"/>
        </w:rPr>
      </w:pPr>
      <w:r>
        <w:rPr>
          <w:rFonts w:hint="eastAsia" w:ascii="宋体" w:hAnsi="宋体"/>
          <w:szCs w:val="21"/>
        </w:rPr>
        <w:t>6.4投标人自行负责在踏勘现场时发生的人员伤亡、人身伤害、财产损失、损害以及任何其他的损失和损害；投标人因上述情形受到损失和损害所发生的费用自理。</w:t>
      </w:r>
    </w:p>
    <w:p>
      <w:pPr>
        <w:spacing w:line="360" w:lineRule="auto"/>
        <w:ind w:firstLine="420" w:firstLineChars="200"/>
        <w:rPr>
          <w:rFonts w:ascii="宋体" w:hAnsi="宋体"/>
          <w:szCs w:val="21"/>
        </w:rPr>
      </w:pPr>
      <w:r>
        <w:rPr>
          <w:rFonts w:hint="eastAsia" w:ascii="宋体" w:hAnsi="宋体"/>
          <w:szCs w:val="21"/>
        </w:rPr>
        <w:t>6.5采购人必须通过采购人向投标人提供有关现场的资料和数据，供投标人在编制投标文件时参考。</w:t>
      </w:r>
    </w:p>
    <w:p>
      <w:pPr>
        <w:spacing w:line="360" w:lineRule="auto"/>
        <w:ind w:firstLine="420" w:firstLineChars="200"/>
        <w:rPr>
          <w:rFonts w:ascii="宋体" w:hAnsi="宋体"/>
          <w:szCs w:val="21"/>
        </w:rPr>
      </w:pPr>
      <w:r>
        <w:rPr>
          <w:rFonts w:hint="eastAsia" w:ascii="宋体" w:hAnsi="宋体"/>
          <w:szCs w:val="21"/>
        </w:rPr>
        <w:t>6.6任何人或任何组织在踏勘现场时向投标人提交的任何书面或口头上的资料，未经采购人在网上发布或书面通知，均作无效处理。采购人对投标人由此而做出的推论、理解和结论概不负责。</w:t>
      </w:r>
    </w:p>
    <w:p>
      <w:pPr>
        <w:spacing w:line="360" w:lineRule="auto"/>
        <w:rPr>
          <w:rFonts w:ascii="宋体" w:hAnsi="宋体"/>
          <w:b/>
          <w:szCs w:val="21"/>
        </w:rPr>
      </w:pPr>
      <w:bookmarkStart w:id="117" w:name="_Toc201401558"/>
      <w:bookmarkStart w:id="118" w:name="_Toc188869271"/>
      <w:bookmarkStart w:id="119" w:name="_Toc199213640"/>
      <w:bookmarkStart w:id="120" w:name="_Toc199215838"/>
      <w:bookmarkStart w:id="121" w:name="_Toc199215680"/>
      <w:bookmarkStart w:id="122" w:name="_Toc201401366"/>
      <w:bookmarkStart w:id="123" w:name="_Toc201997817"/>
      <w:r>
        <w:rPr>
          <w:rFonts w:hint="eastAsia" w:ascii="宋体" w:hAnsi="宋体"/>
          <w:b/>
          <w:szCs w:val="21"/>
        </w:rPr>
        <w:t>7．</w:t>
      </w:r>
      <w:bookmarkEnd w:id="117"/>
      <w:bookmarkEnd w:id="118"/>
      <w:bookmarkEnd w:id="119"/>
      <w:bookmarkEnd w:id="120"/>
      <w:bookmarkEnd w:id="121"/>
      <w:bookmarkEnd w:id="122"/>
      <w:r>
        <w:rPr>
          <w:rFonts w:hint="eastAsia" w:ascii="宋体" w:hAnsi="宋体"/>
          <w:b/>
          <w:szCs w:val="21"/>
        </w:rPr>
        <w:t>投标预备会</w:t>
      </w:r>
      <w:bookmarkEnd w:id="123"/>
    </w:p>
    <w:p>
      <w:pPr>
        <w:spacing w:line="360" w:lineRule="auto"/>
        <w:ind w:firstLine="420" w:firstLineChars="200"/>
        <w:rPr>
          <w:rFonts w:ascii="宋体" w:hAnsi="宋体"/>
          <w:szCs w:val="21"/>
        </w:rPr>
      </w:pPr>
      <w:r>
        <w:rPr>
          <w:rFonts w:hint="eastAsia" w:ascii="宋体" w:hAnsi="宋体"/>
          <w:szCs w:val="21"/>
        </w:rPr>
        <w:t>7.1“</w:t>
      </w:r>
      <w:r>
        <w:rPr>
          <w:rFonts w:hint="eastAsia" w:ascii="宋体" w:hAnsi="宋体" w:cs="Courier New"/>
          <w:szCs w:val="21"/>
        </w:rPr>
        <w:t>前附表</w:t>
      </w:r>
      <w:r>
        <w:rPr>
          <w:rFonts w:hint="eastAsia" w:ascii="宋体" w:hAnsi="宋体"/>
          <w:szCs w:val="21"/>
        </w:rPr>
        <w:t>”</w:t>
      </w:r>
      <w:r>
        <w:rPr>
          <w:rFonts w:ascii="宋体" w:hAnsi="宋体"/>
          <w:szCs w:val="21"/>
        </w:rPr>
        <w:t>规定召开投标预备会的，</w:t>
      </w:r>
      <w:r>
        <w:rPr>
          <w:rFonts w:hint="eastAsia" w:ascii="宋体" w:hAnsi="宋体"/>
          <w:szCs w:val="21"/>
        </w:rPr>
        <w:t>采购人将</w:t>
      </w:r>
      <w:r>
        <w:rPr>
          <w:rFonts w:ascii="宋体" w:hAnsi="宋体"/>
          <w:szCs w:val="21"/>
        </w:rPr>
        <w:t>按</w:t>
      </w:r>
      <w:r>
        <w:rPr>
          <w:rFonts w:hint="eastAsia" w:ascii="宋体" w:hAnsi="宋体"/>
          <w:szCs w:val="21"/>
        </w:rPr>
        <w:t>“</w:t>
      </w:r>
      <w:r>
        <w:rPr>
          <w:rFonts w:hint="eastAsia" w:ascii="宋体" w:hAnsi="宋体" w:cs="Courier New"/>
          <w:szCs w:val="21"/>
        </w:rPr>
        <w:t>前附表</w:t>
      </w:r>
      <w:r>
        <w:rPr>
          <w:rFonts w:hint="eastAsia" w:ascii="宋体" w:hAnsi="宋体"/>
          <w:szCs w:val="21"/>
        </w:rPr>
        <w:t>”</w:t>
      </w:r>
      <w:r>
        <w:rPr>
          <w:rFonts w:ascii="宋体" w:hAnsi="宋体"/>
          <w:szCs w:val="21"/>
        </w:rPr>
        <w:t>规定的时间和地点召开投标预备会，澄清投标人提出的问题。</w:t>
      </w:r>
      <w:r>
        <w:rPr>
          <w:rFonts w:hint="eastAsia" w:ascii="宋体" w:hAnsi="宋体"/>
          <w:szCs w:val="21"/>
        </w:rPr>
        <w:t>投标人自行决定是否委派代表出席，未出席投标预备会不作为否决投标人资格的条件。</w:t>
      </w:r>
    </w:p>
    <w:p>
      <w:pPr>
        <w:spacing w:line="360" w:lineRule="auto"/>
        <w:ind w:firstLine="420" w:firstLineChars="200"/>
        <w:rPr>
          <w:rFonts w:ascii="宋体" w:hAnsi="宋体"/>
          <w:sz w:val="22"/>
          <w:szCs w:val="22"/>
        </w:rPr>
      </w:pPr>
      <w:r>
        <w:rPr>
          <w:rFonts w:hint="eastAsia" w:ascii="宋体" w:hAnsi="宋体"/>
          <w:szCs w:val="21"/>
        </w:rPr>
        <w:t>7.2 投标人在现场考察及查阅投标文件后，可将有关疑问在投标预备会召开前1日以书面形式（</w:t>
      </w:r>
      <w:r>
        <w:rPr>
          <w:rFonts w:ascii="宋体" w:hAnsi="宋体"/>
          <w:szCs w:val="21"/>
        </w:rPr>
        <w:t>包括信函、电报、传真等可以有形地表现所载内容的形式，</w:t>
      </w:r>
      <w:r>
        <w:rPr>
          <w:rFonts w:hint="eastAsia" w:ascii="宋体" w:hAnsi="宋体"/>
          <w:szCs w:val="21"/>
        </w:rPr>
        <w:t>需加盖投标人公章，下同）向采购人提出，以便采购人在会议上澄清。</w:t>
      </w:r>
    </w:p>
    <w:p>
      <w:pPr>
        <w:spacing w:line="360" w:lineRule="auto"/>
        <w:ind w:firstLine="420" w:firstLineChars="200"/>
        <w:rPr>
          <w:rFonts w:ascii="宋体" w:hAnsi="宋体"/>
          <w:szCs w:val="21"/>
        </w:rPr>
      </w:pPr>
      <w:r>
        <w:rPr>
          <w:rFonts w:hint="eastAsia" w:ascii="宋体" w:hAnsi="宋体"/>
          <w:szCs w:val="21"/>
        </w:rPr>
        <w:t xml:space="preserve">7.3 </w:t>
      </w:r>
      <w:r>
        <w:rPr>
          <w:rFonts w:ascii="宋体" w:hAnsi="宋体"/>
          <w:szCs w:val="21"/>
        </w:rPr>
        <w:t>投标预备会后，</w:t>
      </w:r>
      <w:r>
        <w:rPr>
          <w:rFonts w:hint="eastAsia" w:ascii="宋体" w:hAnsi="宋体"/>
          <w:szCs w:val="21"/>
        </w:rPr>
        <w:t>采购人</w:t>
      </w:r>
      <w:r>
        <w:rPr>
          <w:rFonts w:ascii="宋体" w:hAnsi="宋体"/>
          <w:szCs w:val="21"/>
        </w:rPr>
        <w:t>在</w:t>
      </w:r>
      <w:r>
        <w:rPr>
          <w:rFonts w:hint="eastAsia" w:ascii="宋体" w:hAnsi="宋体"/>
          <w:szCs w:val="21"/>
        </w:rPr>
        <w:t>“前附表”</w:t>
      </w:r>
      <w:r>
        <w:rPr>
          <w:rFonts w:ascii="宋体" w:hAnsi="宋体"/>
          <w:szCs w:val="21"/>
        </w:rPr>
        <w:t>规定的时间内，将对投标人所提问题的澄清，</w:t>
      </w:r>
      <w:r>
        <w:rPr>
          <w:rFonts w:hint="eastAsia" w:ascii="宋体" w:hAnsi="宋体"/>
          <w:szCs w:val="21"/>
        </w:rPr>
        <w:t>按照本须知第9.2款的规定，告知所有投标人。</w:t>
      </w:r>
      <w:r>
        <w:rPr>
          <w:rFonts w:ascii="宋体" w:hAnsi="宋体"/>
          <w:szCs w:val="21"/>
        </w:rPr>
        <w:t>该澄清内容为</w:t>
      </w:r>
      <w:r>
        <w:rPr>
          <w:rFonts w:hint="eastAsia" w:ascii="宋体" w:hAnsi="宋体"/>
          <w:szCs w:val="21"/>
        </w:rPr>
        <w:t>招标文件</w:t>
      </w:r>
      <w:r>
        <w:rPr>
          <w:rFonts w:ascii="宋体" w:hAnsi="宋体"/>
          <w:szCs w:val="21"/>
        </w:rPr>
        <w:t>的组成部分。</w:t>
      </w:r>
    </w:p>
    <w:bookmarkEnd w:id="113"/>
    <w:bookmarkEnd w:id="114"/>
    <w:bookmarkEnd w:id="115"/>
    <w:bookmarkEnd w:id="116"/>
    <w:p>
      <w:pPr>
        <w:pStyle w:val="4"/>
        <w:spacing w:line="360" w:lineRule="auto"/>
        <w:jc w:val="center"/>
        <w:rPr>
          <w:rFonts w:ascii="宋体" w:hAnsi="宋体"/>
          <w:b w:val="0"/>
          <w:sz w:val="30"/>
          <w:szCs w:val="30"/>
        </w:rPr>
      </w:pPr>
      <w:bookmarkStart w:id="124" w:name="_Toc201401555"/>
      <w:bookmarkStart w:id="125" w:name="_Toc201997814"/>
      <w:bookmarkStart w:id="126" w:name="_Toc188869267"/>
      <w:bookmarkStart w:id="127" w:name="_Toc51235179"/>
      <w:bookmarkStart w:id="128" w:name="_Toc163530291"/>
      <w:r>
        <w:rPr>
          <w:rFonts w:hint="eastAsia" w:ascii="宋体" w:hAnsi="宋体"/>
          <w:b w:val="0"/>
          <w:sz w:val="30"/>
          <w:szCs w:val="30"/>
        </w:rPr>
        <w:t>二、招标文件</w:t>
      </w:r>
      <w:bookmarkEnd w:id="124"/>
      <w:bookmarkEnd w:id="125"/>
      <w:bookmarkEnd w:id="126"/>
      <w:bookmarkEnd w:id="127"/>
      <w:bookmarkStart w:id="129" w:name="_Toc135666617"/>
      <w:bookmarkStart w:id="130" w:name="_Toc187729569"/>
      <w:bookmarkStart w:id="131" w:name="_Toc148778146"/>
      <w:bookmarkStart w:id="132" w:name="_Toc98817924"/>
      <w:bookmarkStart w:id="133" w:name="_Toc148954453"/>
      <w:bookmarkStart w:id="134" w:name="_Toc143658444"/>
      <w:bookmarkStart w:id="135" w:name="_Toc148329790"/>
      <w:bookmarkStart w:id="136" w:name="_Toc135666804"/>
      <w:bookmarkStart w:id="137" w:name="_Toc148779941"/>
      <w:bookmarkStart w:id="138" w:name="_Toc148413289"/>
      <w:bookmarkStart w:id="139" w:name="_Toc163530292"/>
      <w:bookmarkStart w:id="140" w:name="_Toc148780227"/>
      <w:bookmarkStart w:id="141" w:name="_Toc148954848"/>
      <w:bookmarkStart w:id="142" w:name="_Toc157847810"/>
      <w:bookmarkStart w:id="143" w:name="_Toc188869268"/>
      <w:bookmarkStart w:id="144" w:name="_Toc134852010"/>
    </w:p>
    <w:p>
      <w:pPr>
        <w:spacing w:line="360" w:lineRule="auto"/>
        <w:rPr>
          <w:rFonts w:ascii="宋体" w:hAnsi="宋体"/>
          <w:b/>
          <w:szCs w:val="21"/>
        </w:rPr>
      </w:pPr>
      <w:bookmarkStart w:id="145" w:name="_Toc201997815"/>
      <w:bookmarkStart w:id="146" w:name="_Toc199213637"/>
      <w:bookmarkStart w:id="147" w:name="_Toc199215677"/>
      <w:bookmarkStart w:id="148" w:name="_Toc201401364"/>
      <w:bookmarkStart w:id="149" w:name="_Toc199215835"/>
      <w:bookmarkStart w:id="150" w:name="_Toc201401556"/>
      <w:r>
        <w:rPr>
          <w:rFonts w:hint="eastAsia" w:ascii="宋体" w:hAnsi="宋体"/>
          <w:b/>
          <w:szCs w:val="21"/>
        </w:rPr>
        <w:t>8．招标文件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420" w:firstLineChars="200"/>
        <w:rPr>
          <w:rFonts w:ascii="宋体" w:hAnsi="宋体" w:cs="Courier New"/>
          <w:szCs w:val="21"/>
        </w:rPr>
      </w:pPr>
      <w:r>
        <w:rPr>
          <w:rFonts w:hint="eastAsia" w:ascii="宋体" w:hAnsi="宋体" w:cs="Courier New"/>
          <w:szCs w:val="21"/>
        </w:rPr>
        <w:t>8.1本招标文件除以下内容外，采购人在招标期间发出的</w:t>
      </w:r>
      <w:r>
        <w:rPr>
          <w:rFonts w:hint="eastAsia" w:ascii="宋体" w:hAnsi="宋体" w:cs="宋体"/>
          <w:kern w:val="0"/>
          <w:szCs w:val="21"/>
        </w:rPr>
        <w:t>招标文件澄清、修改或补充文件</w:t>
      </w:r>
      <w:r>
        <w:rPr>
          <w:rFonts w:hint="eastAsia" w:ascii="宋体" w:hAnsi="宋体" w:cs="Courier New"/>
          <w:szCs w:val="21"/>
        </w:rPr>
        <w:t>，均是招标文件的组成部分，对投标人起约束作用。</w:t>
      </w:r>
    </w:p>
    <w:p>
      <w:pPr>
        <w:spacing w:line="360" w:lineRule="auto"/>
        <w:ind w:firstLine="420" w:firstLineChars="200"/>
        <w:rPr>
          <w:rFonts w:ascii="宋体" w:hAnsi="宋体"/>
          <w:szCs w:val="21"/>
        </w:rPr>
      </w:pPr>
      <w:r>
        <w:rPr>
          <w:rFonts w:hint="eastAsia" w:ascii="宋体" w:hAnsi="宋体"/>
          <w:szCs w:val="21"/>
        </w:rPr>
        <w:t>招标文件共五章组成，内容如下：</w:t>
      </w:r>
    </w:p>
    <w:p>
      <w:pPr>
        <w:spacing w:line="360" w:lineRule="auto"/>
        <w:ind w:firstLine="420" w:firstLineChars="200"/>
        <w:rPr>
          <w:rFonts w:ascii="宋体" w:hAnsi="宋体"/>
          <w:szCs w:val="21"/>
        </w:rPr>
      </w:pPr>
      <w:r>
        <w:rPr>
          <w:rFonts w:hint="eastAsia" w:ascii="宋体" w:hAnsi="宋体"/>
          <w:szCs w:val="21"/>
        </w:rPr>
        <w:t>第一章  采购公告</w:t>
      </w:r>
    </w:p>
    <w:p>
      <w:pPr>
        <w:spacing w:line="360" w:lineRule="auto"/>
        <w:ind w:firstLine="420" w:firstLineChars="200"/>
        <w:rPr>
          <w:rFonts w:ascii="宋体" w:hAnsi="宋体"/>
          <w:szCs w:val="21"/>
        </w:rPr>
      </w:pPr>
      <w:r>
        <w:rPr>
          <w:rFonts w:hint="eastAsia" w:ascii="宋体" w:hAnsi="宋体"/>
          <w:szCs w:val="21"/>
        </w:rPr>
        <w:t>第二章  投标须知</w:t>
      </w:r>
    </w:p>
    <w:p>
      <w:pPr>
        <w:spacing w:line="360" w:lineRule="auto"/>
        <w:ind w:firstLine="420" w:firstLineChars="200"/>
        <w:rPr>
          <w:rFonts w:ascii="宋体" w:hAnsi="宋体"/>
          <w:szCs w:val="21"/>
        </w:rPr>
      </w:pPr>
      <w:r>
        <w:rPr>
          <w:rFonts w:hint="eastAsia" w:ascii="宋体" w:hAnsi="宋体"/>
          <w:szCs w:val="21"/>
        </w:rPr>
        <w:t>第三章  合同文件格式</w:t>
      </w:r>
    </w:p>
    <w:p>
      <w:pPr>
        <w:spacing w:line="360" w:lineRule="auto"/>
        <w:ind w:firstLine="420" w:firstLineChars="200"/>
        <w:rPr>
          <w:rFonts w:ascii="宋体" w:hAnsi="宋体"/>
          <w:szCs w:val="21"/>
        </w:rPr>
      </w:pPr>
      <w:r>
        <w:rPr>
          <w:rFonts w:hint="eastAsia" w:ascii="宋体" w:hAnsi="宋体"/>
          <w:szCs w:val="21"/>
        </w:rPr>
        <w:t>第四章  投标文件格式</w:t>
      </w:r>
    </w:p>
    <w:p>
      <w:pPr>
        <w:spacing w:line="360" w:lineRule="auto"/>
        <w:ind w:firstLine="420" w:firstLineChars="200"/>
        <w:rPr>
          <w:rFonts w:ascii="宋体" w:hAnsi="宋体"/>
          <w:szCs w:val="21"/>
        </w:rPr>
      </w:pPr>
      <w:r>
        <w:rPr>
          <w:rFonts w:hint="eastAsia" w:ascii="宋体" w:hAnsi="宋体"/>
          <w:szCs w:val="21"/>
        </w:rPr>
        <w:t>第五章  采购需求文件</w:t>
      </w:r>
    </w:p>
    <w:p>
      <w:pPr>
        <w:spacing w:line="360" w:lineRule="auto"/>
        <w:ind w:firstLine="420" w:firstLineChars="200"/>
        <w:rPr>
          <w:rFonts w:ascii="宋体" w:hAnsi="宋体" w:cs="Courier New"/>
          <w:szCs w:val="21"/>
        </w:rPr>
      </w:pPr>
      <w:bookmarkStart w:id="151" w:name="_Toc148780228"/>
      <w:bookmarkStart w:id="152" w:name="_Toc163530293"/>
      <w:bookmarkStart w:id="153" w:name="_Toc134852011"/>
      <w:bookmarkStart w:id="154" w:name="_Toc148954849"/>
      <w:bookmarkStart w:id="155" w:name="_Toc148778147"/>
      <w:bookmarkStart w:id="156" w:name="_Toc148413290"/>
      <w:bookmarkStart w:id="157" w:name="_Toc148954454"/>
      <w:bookmarkStart w:id="158" w:name="_Toc98817925"/>
      <w:bookmarkStart w:id="159" w:name="_Toc143658445"/>
      <w:bookmarkStart w:id="160" w:name="_Toc135666805"/>
      <w:bookmarkStart w:id="161" w:name="_Toc135666618"/>
      <w:bookmarkStart w:id="162" w:name="_Toc148329791"/>
      <w:bookmarkStart w:id="163" w:name="_Toc187729570"/>
      <w:bookmarkStart w:id="164" w:name="_Toc157847811"/>
      <w:bookmarkStart w:id="165" w:name="_Toc188869269"/>
      <w:bookmarkStart w:id="166" w:name="_Toc148779942"/>
      <w:r>
        <w:rPr>
          <w:rFonts w:hint="eastAsia" w:ascii="宋体" w:hAnsi="宋体" w:cs="Courier New"/>
          <w:szCs w:val="21"/>
        </w:rPr>
        <w:t>8.2 投标人应在采购公告规定的时间、地点、方式购买招标文件，并提供相应的证明文件。</w:t>
      </w:r>
    </w:p>
    <w:p>
      <w:pPr>
        <w:spacing w:line="360" w:lineRule="auto"/>
        <w:ind w:firstLine="420" w:firstLineChars="200"/>
        <w:rPr>
          <w:rFonts w:ascii="宋体" w:hAnsi="宋体" w:cs="Courier New"/>
          <w:szCs w:val="21"/>
        </w:rPr>
      </w:pPr>
      <w:r>
        <w:rPr>
          <w:rFonts w:hint="eastAsia" w:ascii="宋体" w:hAnsi="宋体" w:cs="Courier New"/>
          <w:szCs w:val="21"/>
        </w:rPr>
        <w:t>8.3投标人获得招标文件后，应仔细检查招标文件的所有内容，如有残缺应在获取招标文件后3日内向采购人提出，否则，由此引起的不利后果由投标人自行承担；投标人同时应认真审阅招标文件所有的事项、格式、条款和规范要求等，如果投标人的投标文件没有按招标文件要求提交全部资料或者投标文件没有对招标文件做出实质性响应，其风险由投标人自行承担，并根据有关条款规定，其投标有可能被拒绝。</w:t>
      </w:r>
    </w:p>
    <w:p>
      <w:pPr>
        <w:spacing w:line="360" w:lineRule="auto"/>
        <w:rPr>
          <w:rFonts w:ascii="宋体" w:hAnsi="宋体" w:cs="Courier New"/>
          <w:b/>
          <w:szCs w:val="21"/>
        </w:rPr>
      </w:pPr>
      <w:bookmarkStart w:id="167" w:name="_Toc201401557"/>
      <w:bookmarkStart w:id="168" w:name="_Toc199215836"/>
      <w:bookmarkStart w:id="169" w:name="_Toc199215678"/>
      <w:bookmarkStart w:id="170" w:name="_Toc199213638"/>
      <w:bookmarkStart w:id="171" w:name="_Toc201997816"/>
      <w:bookmarkStart w:id="172" w:name="_Toc201401365"/>
      <w:r>
        <w:rPr>
          <w:rFonts w:hint="eastAsia" w:ascii="宋体" w:hAnsi="宋体" w:cs="Courier New"/>
          <w:b/>
          <w:szCs w:val="21"/>
        </w:rPr>
        <w:t>9．招标文件的澄清、修改或</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hint="eastAsia" w:ascii="宋体" w:hAnsi="宋体" w:cs="Courier New"/>
          <w:b/>
          <w:szCs w:val="21"/>
        </w:rPr>
        <w:t>补充</w:t>
      </w:r>
    </w:p>
    <w:bookmarkEnd w:id="89"/>
    <w:bookmarkEnd w:id="90"/>
    <w:bookmarkEnd w:id="91"/>
    <w:bookmarkEnd w:id="92"/>
    <w:bookmarkEnd w:id="93"/>
    <w:bookmarkEnd w:id="94"/>
    <w:bookmarkEnd w:id="95"/>
    <w:bookmarkEnd w:id="96"/>
    <w:bookmarkEnd w:id="97"/>
    <w:bookmarkEnd w:id="98"/>
    <w:bookmarkEnd w:id="99"/>
    <w:bookmarkEnd w:id="100"/>
    <w:bookmarkEnd w:id="104"/>
    <w:bookmarkEnd w:id="128"/>
    <w:p>
      <w:pPr>
        <w:spacing w:line="360" w:lineRule="auto"/>
        <w:ind w:firstLine="420" w:firstLineChars="200"/>
        <w:rPr>
          <w:rFonts w:ascii="宋体" w:hAnsi="宋体"/>
          <w:szCs w:val="21"/>
        </w:rPr>
      </w:pPr>
      <w:bookmarkStart w:id="173" w:name="_Toc148954456"/>
      <w:bookmarkStart w:id="174" w:name="_Toc148329793"/>
      <w:bookmarkStart w:id="175" w:name="_Toc148780230"/>
      <w:bookmarkStart w:id="176" w:name="_Toc135666807"/>
      <w:bookmarkStart w:id="177" w:name="_Toc148954851"/>
      <w:bookmarkStart w:id="178" w:name="_Toc188869272"/>
      <w:bookmarkStart w:id="179" w:name="_Toc148778149"/>
      <w:bookmarkStart w:id="180" w:name="_Toc134852013"/>
      <w:bookmarkStart w:id="181" w:name="_Toc163530295"/>
      <w:bookmarkStart w:id="182" w:name="_Toc143658447"/>
      <w:bookmarkStart w:id="183" w:name="_Toc135666620"/>
      <w:bookmarkStart w:id="184" w:name="_Toc98817927"/>
      <w:bookmarkStart w:id="185" w:name="_Toc148413292"/>
      <w:bookmarkStart w:id="186" w:name="_Toc148779944"/>
      <w:r>
        <w:rPr>
          <w:rFonts w:hint="eastAsia" w:ascii="宋体" w:hAnsi="宋体" w:cs="Courier New"/>
          <w:szCs w:val="21"/>
        </w:rPr>
        <w:t>9.1</w:t>
      </w:r>
      <w:r>
        <w:rPr>
          <w:rFonts w:hint="eastAsia" w:ascii="宋体" w:hAnsi="宋体"/>
          <w:szCs w:val="21"/>
        </w:rPr>
        <w:t xml:space="preserve"> 投标人若对招标文件有疑问，应在“</w:t>
      </w:r>
      <w:r>
        <w:rPr>
          <w:rFonts w:hint="eastAsia" w:ascii="宋体" w:hAnsi="宋体" w:cs="Courier New"/>
          <w:szCs w:val="21"/>
        </w:rPr>
        <w:t>前附表</w:t>
      </w:r>
      <w:r>
        <w:rPr>
          <w:rFonts w:hint="eastAsia" w:ascii="宋体" w:hAnsi="宋体"/>
          <w:szCs w:val="21"/>
        </w:rPr>
        <w:t>”规定的时间前以书面形式要求采购人对招标文件予以澄清，逾期不予受理。</w:t>
      </w:r>
    </w:p>
    <w:p>
      <w:pPr>
        <w:spacing w:line="360" w:lineRule="auto"/>
        <w:ind w:firstLine="420" w:firstLineChars="200"/>
        <w:rPr>
          <w:rFonts w:ascii="宋体" w:hAnsi="宋体" w:cs="Courier New"/>
          <w:szCs w:val="21"/>
        </w:rPr>
      </w:pPr>
      <w:r>
        <w:rPr>
          <w:rFonts w:hint="eastAsia" w:ascii="宋体" w:hAnsi="宋体" w:cs="Courier New"/>
          <w:szCs w:val="21"/>
        </w:rPr>
        <w:t>9.2采购人将在“前附表”规定的时间前，在</w:t>
      </w:r>
      <w:r>
        <w:rPr>
          <w:rFonts w:hint="eastAsia" w:ascii="宋体" w:hAnsi="宋体" w:cs="Courier New"/>
          <w:b/>
          <w:bCs/>
          <w:szCs w:val="21"/>
        </w:rPr>
        <w:t>深圳市龙华区住房和建设局官方网站（</w:t>
      </w:r>
      <w:r>
        <w:rPr>
          <w:rFonts w:ascii="宋体" w:hAnsi="宋体" w:cs="Courier New"/>
          <w:b/>
          <w:bCs/>
          <w:szCs w:val="21"/>
        </w:rPr>
        <w:t>http://www.szlhq.gov.cn/bmxxgk/zfhjsj/</w:t>
      </w:r>
      <w:r>
        <w:rPr>
          <w:rFonts w:hint="eastAsia" w:ascii="宋体" w:hAnsi="宋体" w:cs="Courier New"/>
          <w:b/>
          <w:bCs/>
          <w:szCs w:val="21"/>
        </w:rPr>
        <w:t>）</w:t>
      </w:r>
      <w:r>
        <w:rPr>
          <w:rFonts w:hint="eastAsia" w:ascii="宋体" w:hAnsi="宋体"/>
          <w:szCs w:val="21"/>
        </w:rPr>
        <w:t>公开发布</w:t>
      </w:r>
      <w:r>
        <w:rPr>
          <w:rFonts w:hint="eastAsia" w:ascii="宋体" w:hAnsi="宋体" w:cs="Courier New"/>
          <w:szCs w:val="21"/>
        </w:rPr>
        <w:t>招标文件的澄清、修改或补充文件，或通知投标人到采购人处领取，或通过传真方式，请投标人随时查看本项目的相关信息。否则，由此导致的不利后果由投标人自行承担。</w:t>
      </w:r>
    </w:p>
    <w:p>
      <w:pPr>
        <w:spacing w:line="360" w:lineRule="auto"/>
        <w:ind w:firstLine="420" w:firstLineChars="200"/>
        <w:rPr>
          <w:rFonts w:ascii="宋体" w:hAnsi="宋体"/>
          <w:szCs w:val="21"/>
        </w:rPr>
      </w:pPr>
      <w:r>
        <w:rPr>
          <w:rFonts w:hint="eastAsia" w:ascii="宋体" w:hAnsi="宋体"/>
          <w:szCs w:val="21"/>
        </w:rPr>
        <w:t>9.3 招标文件的澄清、修改或补充文件，都是招标文件的组成部分。当招标文件与其澄清、修改或补充文件内容不一致时，以发出日期最接近开标日期的文件为准。</w:t>
      </w:r>
    </w:p>
    <w:p>
      <w:pPr>
        <w:spacing w:line="360" w:lineRule="auto"/>
        <w:ind w:firstLine="420" w:firstLineChars="200"/>
        <w:rPr>
          <w:rFonts w:ascii="宋体" w:hAnsi="宋体"/>
          <w:szCs w:val="21"/>
        </w:rPr>
      </w:pPr>
      <w:r>
        <w:rPr>
          <w:rFonts w:hint="eastAsia" w:ascii="宋体" w:hAnsi="宋体"/>
          <w:szCs w:val="21"/>
        </w:rPr>
        <w:t>9.4对于没有提出澄清又参与了该项目投标的投标人将被视为完全认同该招标文件（含</w:t>
      </w:r>
      <w:r>
        <w:rPr>
          <w:rFonts w:hint="eastAsia" w:ascii="宋体" w:hAnsi="宋体" w:cs="Courier New"/>
          <w:szCs w:val="21"/>
        </w:rPr>
        <w:t>澄清、修改或补充文件</w:t>
      </w:r>
      <w:r>
        <w:rPr>
          <w:rFonts w:hint="eastAsia" w:ascii="宋体" w:hAnsi="宋体"/>
          <w:szCs w:val="21"/>
        </w:rPr>
        <w:t>），投标截止期后不再受理针对招标文件的相关质疑或投诉。</w:t>
      </w:r>
    </w:p>
    <w:p>
      <w:pPr>
        <w:spacing w:line="360" w:lineRule="auto"/>
        <w:ind w:firstLine="420" w:firstLineChars="200"/>
        <w:rPr>
          <w:rFonts w:ascii="宋体" w:hAnsi="宋体"/>
          <w:szCs w:val="21"/>
        </w:rPr>
      </w:pPr>
      <w:r>
        <w:rPr>
          <w:rFonts w:hint="eastAsia" w:ascii="宋体" w:hAnsi="宋体"/>
          <w:szCs w:val="21"/>
        </w:rPr>
        <w:t>9.5 为使投标人有充分时间对招标文件的澄清、修改或补充文件进行研究，采购人可酌情延长投标截止时间。</w:t>
      </w:r>
    </w:p>
    <w:p>
      <w:pPr>
        <w:spacing w:line="360" w:lineRule="auto"/>
        <w:ind w:firstLine="420" w:firstLineChars="200"/>
        <w:rPr>
          <w:rFonts w:ascii="宋体" w:hAnsi="宋体"/>
          <w:szCs w:val="21"/>
        </w:rPr>
      </w:pPr>
    </w:p>
    <w:p>
      <w:pPr>
        <w:pStyle w:val="4"/>
        <w:spacing w:line="360" w:lineRule="auto"/>
        <w:jc w:val="center"/>
        <w:rPr>
          <w:rFonts w:ascii="宋体" w:hAnsi="宋体"/>
          <w:b w:val="0"/>
          <w:sz w:val="30"/>
          <w:szCs w:val="30"/>
        </w:rPr>
      </w:pPr>
      <w:bookmarkStart w:id="187" w:name="_Toc51235180"/>
      <w:bookmarkStart w:id="188" w:name="_Toc201401560"/>
      <w:bookmarkStart w:id="189" w:name="_Toc201997819"/>
      <w:r>
        <w:rPr>
          <w:rFonts w:hint="eastAsia" w:ascii="宋体" w:hAnsi="宋体"/>
          <w:b w:val="0"/>
          <w:sz w:val="30"/>
          <w:szCs w:val="30"/>
        </w:rPr>
        <w:t>三、投标文件的编制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360" w:lineRule="auto"/>
        <w:rPr>
          <w:rFonts w:ascii="宋体" w:hAnsi="宋体"/>
          <w:b/>
          <w:szCs w:val="21"/>
        </w:rPr>
      </w:pPr>
      <w:bookmarkStart w:id="190" w:name="_Toc201401369"/>
      <w:bookmarkStart w:id="191" w:name="_Toc201401561"/>
      <w:bookmarkStart w:id="192" w:name="_Toc201997820"/>
      <w:bookmarkStart w:id="193" w:name="_Toc143658448"/>
      <w:bookmarkStart w:id="194" w:name="_Toc98817928"/>
      <w:bookmarkStart w:id="195" w:name="_Toc148413293"/>
      <w:bookmarkStart w:id="196" w:name="_Toc134852014"/>
      <w:bookmarkStart w:id="197" w:name="_Toc148780231"/>
      <w:bookmarkStart w:id="198" w:name="_Toc163530296"/>
      <w:bookmarkStart w:id="199" w:name="_Toc135666808"/>
      <w:bookmarkStart w:id="200" w:name="_Toc148329794"/>
      <w:bookmarkStart w:id="201" w:name="_Toc135666621"/>
      <w:bookmarkStart w:id="202" w:name="_Toc187729573"/>
      <w:bookmarkStart w:id="203" w:name="_Toc148779945"/>
      <w:bookmarkStart w:id="204" w:name="_Toc148954457"/>
      <w:bookmarkStart w:id="205" w:name="_Toc148954852"/>
      <w:bookmarkStart w:id="206" w:name="_Toc188869273"/>
      <w:bookmarkStart w:id="207" w:name="_Toc148778150"/>
      <w:bookmarkStart w:id="208" w:name="_Toc188869279"/>
      <w:r>
        <w:rPr>
          <w:rFonts w:hint="eastAsia" w:ascii="宋体" w:hAnsi="宋体"/>
          <w:b/>
          <w:szCs w:val="21"/>
        </w:rPr>
        <w:t>10．投标文件的语言及计量单位</w:t>
      </w:r>
      <w:bookmarkEnd w:id="190"/>
      <w:bookmarkEnd w:id="191"/>
      <w:bookmarkEnd w:id="192"/>
    </w:p>
    <w:p>
      <w:pPr>
        <w:spacing w:line="360" w:lineRule="auto"/>
        <w:ind w:firstLine="420" w:firstLineChars="200"/>
        <w:rPr>
          <w:rFonts w:ascii="宋体" w:hAnsi="宋体"/>
          <w:szCs w:val="21"/>
        </w:rPr>
      </w:pPr>
      <w:r>
        <w:rPr>
          <w:rFonts w:hint="eastAsia" w:ascii="宋体" w:hAnsi="宋体"/>
          <w:szCs w:val="21"/>
        </w:rPr>
        <w:t>10.1投标人提交的投标文件以及投标人与采购人之间就有关投标的所有往来通知、函件必须用中文书写。</w:t>
      </w:r>
    </w:p>
    <w:p>
      <w:pPr>
        <w:spacing w:line="360" w:lineRule="auto"/>
        <w:ind w:firstLine="420" w:firstLineChars="200"/>
        <w:rPr>
          <w:rFonts w:ascii="宋体" w:hAnsi="宋体"/>
          <w:szCs w:val="21"/>
        </w:rPr>
      </w:pPr>
      <w:r>
        <w:rPr>
          <w:rFonts w:hint="eastAsia" w:ascii="宋体" w:hAnsi="宋体"/>
          <w:szCs w:val="21"/>
        </w:rPr>
        <w:t>10.1.1投标人随投标文件提供的支持文件、印刷文献等若有另一种语言，必须附中文译文。为便于理解投标文件，以中文译文为准。如投标文件未附中文译文，该资料有可能不被评审委员会认可，</w:t>
      </w:r>
      <w:r>
        <w:rPr>
          <w:rFonts w:hint="eastAsia" w:ascii="宋体" w:hAnsi="宋体" w:cs="宋体"/>
          <w:szCs w:val="21"/>
        </w:rPr>
        <w:t>由此导致的不利后果由投标人自负。</w:t>
      </w:r>
    </w:p>
    <w:p>
      <w:pPr>
        <w:spacing w:line="360" w:lineRule="auto"/>
        <w:ind w:firstLine="420" w:firstLineChars="200"/>
        <w:rPr>
          <w:rFonts w:ascii="宋体" w:hAnsi="宋体"/>
          <w:szCs w:val="21"/>
        </w:rPr>
      </w:pPr>
      <w:r>
        <w:rPr>
          <w:rFonts w:hint="eastAsia" w:ascii="宋体" w:hAnsi="宋体"/>
          <w:szCs w:val="21"/>
        </w:rPr>
        <w:t>10.1.2投标文件中的专业术语，须附中文注释。否则，按照本须知第10.1.1项规定执行。</w:t>
      </w:r>
    </w:p>
    <w:p>
      <w:pPr>
        <w:spacing w:line="360" w:lineRule="auto"/>
        <w:ind w:firstLine="420" w:firstLineChars="200"/>
        <w:rPr>
          <w:rFonts w:ascii="宋体" w:hAnsi="宋体" w:cs="Courier New"/>
          <w:szCs w:val="21"/>
        </w:rPr>
      </w:pPr>
      <w:bookmarkStart w:id="209" w:name="_Toc201401562"/>
      <w:bookmarkStart w:id="210" w:name="_Toc201401370"/>
      <w:bookmarkStart w:id="211" w:name="_Toc201997821"/>
      <w:r>
        <w:rPr>
          <w:rFonts w:hint="eastAsia" w:ascii="宋体" w:hAnsi="宋体" w:cs="Courier New"/>
          <w:szCs w:val="21"/>
        </w:rPr>
        <w:t>10.2除招标文件另有规定外，计量单位应使用中华人民共和国法定计量单位。</w:t>
      </w:r>
      <w:bookmarkEnd w:id="209"/>
      <w:bookmarkEnd w:id="210"/>
      <w:bookmarkEnd w:id="211"/>
    </w:p>
    <w:p>
      <w:pPr>
        <w:spacing w:line="360" w:lineRule="auto"/>
        <w:rPr>
          <w:rFonts w:ascii="宋体" w:hAnsi="宋体"/>
          <w:b/>
          <w:szCs w:val="21"/>
        </w:rPr>
      </w:pPr>
      <w:bookmarkStart w:id="212" w:name="_Toc201997822"/>
      <w:bookmarkStart w:id="213" w:name="_Toc201401371"/>
      <w:bookmarkStart w:id="214" w:name="_Toc201401563"/>
      <w:r>
        <w:rPr>
          <w:rFonts w:hint="eastAsia" w:ascii="宋体" w:hAnsi="宋体"/>
          <w:b/>
          <w:szCs w:val="21"/>
        </w:rPr>
        <w:t>11．投标文件的构成</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12"/>
      <w:bookmarkEnd w:id="213"/>
      <w:bookmarkEnd w:id="214"/>
    </w:p>
    <w:p>
      <w:pPr>
        <w:spacing w:line="360" w:lineRule="auto"/>
        <w:ind w:firstLine="420" w:firstLineChars="200"/>
        <w:rPr>
          <w:rFonts w:ascii="宋体" w:hAnsi="宋体"/>
          <w:szCs w:val="21"/>
        </w:rPr>
      </w:pPr>
      <w:bookmarkStart w:id="215" w:name="_Toc201401564"/>
      <w:bookmarkStart w:id="216" w:name="_Toc201997823"/>
      <w:bookmarkStart w:id="217" w:name="_Toc201401372"/>
      <w:bookmarkStart w:id="218" w:name="_Toc135666622"/>
      <w:bookmarkStart w:id="219" w:name="_Toc148779946"/>
      <w:bookmarkStart w:id="220" w:name="_Toc188869274"/>
      <w:bookmarkStart w:id="221" w:name="_Toc187729574"/>
      <w:bookmarkStart w:id="222" w:name="_Toc143658449"/>
      <w:bookmarkStart w:id="223" w:name="_Toc148954853"/>
      <w:bookmarkStart w:id="224" w:name="_Toc148954458"/>
      <w:bookmarkStart w:id="225" w:name="_Toc157847815"/>
      <w:bookmarkStart w:id="226" w:name="_Toc98817929"/>
      <w:bookmarkStart w:id="227" w:name="_Toc135666809"/>
      <w:bookmarkStart w:id="228" w:name="_Toc134852015"/>
      <w:bookmarkStart w:id="229" w:name="_Toc148413294"/>
      <w:bookmarkStart w:id="230" w:name="_Toc148329795"/>
      <w:bookmarkStart w:id="231" w:name="_Toc148780232"/>
      <w:bookmarkStart w:id="232" w:name="_Toc148778151"/>
      <w:bookmarkStart w:id="233" w:name="_Toc163530297"/>
      <w:bookmarkStart w:id="234" w:name="_Toc143658454"/>
      <w:bookmarkStart w:id="235" w:name="_Toc134852020"/>
      <w:bookmarkStart w:id="236" w:name="_Toc148413299"/>
      <w:bookmarkStart w:id="237" w:name="_Toc148954858"/>
      <w:bookmarkStart w:id="238" w:name="_Toc148780237"/>
      <w:bookmarkStart w:id="239" w:name="_Toc148954463"/>
      <w:bookmarkStart w:id="240" w:name="_Toc148779951"/>
      <w:bookmarkStart w:id="241" w:name="_Toc148778156"/>
      <w:bookmarkStart w:id="242" w:name="_Toc135666814"/>
      <w:bookmarkStart w:id="243" w:name="_Toc148329800"/>
      <w:bookmarkStart w:id="244" w:name="_Toc135666627"/>
      <w:bookmarkStart w:id="245" w:name="_Toc98817933"/>
      <w:r>
        <w:rPr>
          <w:rFonts w:hint="eastAsia" w:ascii="宋体" w:hAnsi="宋体"/>
          <w:szCs w:val="21"/>
        </w:rPr>
        <w:t>1</w:t>
      </w:r>
      <w:r>
        <w:rPr>
          <w:rFonts w:ascii="宋体" w:hAnsi="宋体"/>
          <w:szCs w:val="21"/>
        </w:rPr>
        <w:t>1.1</w:t>
      </w:r>
      <w:r>
        <w:rPr>
          <w:rFonts w:hint="eastAsia" w:ascii="宋体" w:hAnsi="宋体"/>
          <w:szCs w:val="21"/>
        </w:rPr>
        <w:t>投标文件；</w:t>
      </w:r>
    </w:p>
    <w:p>
      <w:pPr>
        <w:spacing w:line="360" w:lineRule="auto"/>
        <w:ind w:firstLine="630" w:firstLineChars="300"/>
        <w:rPr>
          <w:rFonts w:ascii="宋体" w:hAnsi="宋体"/>
          <w:szCs w:val="21"/>
        </w:rPr>
      </w:pPr>
      <w:r>
        <w:rPr>
          <w:rFonts w:hint="eastAsia" w:ascii="宋体" w:hAnsi="宋体"/>
          <w:szCs w:val="21"/>
        </w:rPr>
        <w:t>1</w:t>
      </w:r>
      <w:r>
        <w:rPr>
          <w:rFonts w:ascii="宋体" w:hAnsi="宋体"/>
          <w:szCs w:val="21"/>
        </w:rPr>
        <w:t>1.1.1</w:t>
      </w:r>
      <w:r>
        <w:rPr>
          <w:rFonts w:hint="eastAsia" w:ascii="宋体" w:hAnsi="宋体"/>
          <w:szCs w:val="21"/>
        </w:rPr>
        <w:t>法定代表人证明书；</w:t>
      </w:r>
    </w:p>
    <w:p>
      <w:pPr>
        <w:spacing w:line="360" w:lineRule="auto"/>
        <w:ind w:firstLine="630" w:firstLineChars="300"/>
        <w:rPr>
          <w:rFonts w:ascii="宋体" w:hAnsi="宋体"/>
          <w:szCs w:val="21"/>
        </w:rPr>
      </w:pPr>
      <w:r>
        <w:rPr>
          <w:rFonts w:hint="eastAsia" w:ascii="宋体" w:hAnsi="宋体"/>
          <w:szCs w:val="21"/>
        </w:rPr>
        <w:t>1</w:t>
      </w:r>
      <w:r>
        <w:rPr>
          <w:rFonts w:ascii="宋体" w:hAnsi="宋体"/>
          <w:szCs w:val="21"/>
        </w:rPr>
        <w:t>1.1.2</w:t>
      </w:r>
      <w:r>
        <w:rPr>
          <w:rFonts w:hint="eastAsia" w:ascii="宋体" w:hAnsi="宋体"/>
          <w:szCs w:val="21"/>
        </w:rPr>
        <w:t>投标文件签署授权委托书；</w:t>
      </w:r>
    </w:p>
    <w:p>
      <w:pPr>
        <w:spacing w:line="360" w:lineRule="auto"/>
        <w:ind w:firstLine="630" w:firstLineChars="300"/>
        <w:rPr>
          <w:rFonts w:ascii="宋体" w:hAnsi="宋体"/>
          <w:szCs w:val="21"/>
        </w:rPr>
      </w:pPr>
      <w:r>
        <w:rPr>
          <w:rFonts w:hint="eastAsia" w:ascii="宋体" w:hAnsi="宋体"/>
          <w:szCs w:val="21"/>
        </w:rPr>
        <w:t>1</w:t>
      </w:r>
      <w:r>
        <w:rPr>
          <w:rFonts w:ascii="宋体" w:hAnsi="宋体"/>
          <w:szCs w:val="21"/>
        </w:rPr>
        <w:t>1.1.3</w:t>
      </w:r>
      <w:r>
        <w:rPr>
          <w:rFonts w:hint="eastAsia" w:ascii="宋体" w:hAnsi="宋体"/>
          <w:szCs w:val="21"/>
        </w:rPr>
        <w:t>投标函</w:t>
      </w:r>
    </w:p>
    <w:p>
      <w:pPr>
        <w:spacing w:line="360" w:lineRule="auto"/>
        <w:ind w:firstLine="630" w:firstLineChars="300"/>
        <w:rPr>
          <w:rFonts w:ascii="宋体" w:hAnsi="宋体"/>
          <w:szCs w:val="21"/>
        </w:rPr>
      </w:pPr>
      <w:r>
        <w:rPr>
          <w:rFonts w:hint="eastAsia" w:ascii="宋体" w:hAnsi="宋体"/>
          <w:szCs w:val="21"/>
        </w:rPr>
        <w:t>1</w:t>
      </w:r>
      <w:r>
        <w:rPr>
          <w:rFonts w:ascii="宋体" w:hAnsi="宋体"/>
          <w:szCs w:val="21"/>
        </w:rPr>
        <w:t>1.1.4</w:t>
      </w:r>
      <w:r>
        <w:rPr>
          <w:rFonts w:hint="eastAsia" w:ascii="宋体" w:hAnsi="宋体"/>
          <w:szCs w:val="21"/>
        </w:rPr>
        <w:t>诚信声明函</w:t>
      </w:r>
    </w:p>
    <w:p>
      <w:pPr>
        <w:spacing w:line="360" w:lineRule="auto"/>
        <w:ind w:firstLine="630" w:firstLineChars="300"/>
        <w:rPr>
          <w:rFonts w:ascii="宋体" w:hAnsi="宋体"/>
          <w:szCs w:val="21"/>
        </w:rPr>
      </w:pPr>
      <w:r>
        <w:rPr>
          <w:rFonts w:hint="eastAsia" w:ascii="宋体" w:hAnsi="宋体"/>
          <w:szCs w:val="21"/>
        </w:rPr>
        <w:t>1</w:t>
      </w:r>
      <w:r>
        <w:rPr>
          <w:rFonts w:ascii="宋体" w:hAnsi="宋体"/>
          <w:szCs w:val="21"/>
        </w:rPr>
        <w:t>1.1.5</w:t>
      </w:r>
      <w:r>
        <w:rPr>
          <w:rFonts w:hint="eastAsia" w:ascii="宋体" w:hAnsi="宋体"/>
          <w:szCs w:val="21"/>
        </w:rPr>
        <w:t>政府采购投标即履约承诺函</w:t>
      </w:r>
    </w:p>
    <w:p>
      <w:pPr>
        <w:spacing w:line="360" w:lineRule="auto"/>
        <w:ind w:firstLine="630" w:firstLineChars="300"/>
        <w:rPr>
          <w:rFonts w:hint="eastAsia" w:ascii="宋体" w:hAnsi="宋体"/>
          <w:szCs w:val="21"/>
        </w:rPr>
      </w:pPr>
      <w:r>
        <w:rPr>
          <w:rFonts w:ascii="宋体" w:hAnsi="宋体"/>
          <w:szCs w:val="21"/>
        </w:rPr>
        <w:t>11.1.6</w:t>
      </w:r>
      <w:r>
        <w:rPr>
          <w:rFonts w:hint="eastAsia" w:ascii="宋体" w:hAnsi="宋体"/>
          <w:szCs w:val="21"/>
        </w:rPr>
        <w:t>开标一览表</w:t>
      </w:r>
    </w:p>
    <w:p>
      <w:pPr>
        <w:spacing w:line="360" w:lineRule="auto"/>
        <w:ind w:firstLine="630" w:firstLineChars="300"/>
        <w:rPr>
          <w:rFonts w:ascii="宋体" w:hAnsi="宋体"/>
          <w:szCs w:val="21"/>
        </w:rPr>
      </w:pPr>
      <w:r>
        <w:rPr>
          <w:rFonts w:ascii="宋体" w:hAnsi="宋体"/>
          <w:szCs w:val="21"/>
        </w:rPr>
        <w:t>11.1.7</w:t>
      </w:r>
      <w:r>
        <w:rPr>
          <w:rFonts w:hint="eastAsia" w:ascii="宋体" w:hAnsi="宋体"/>
          <w:szCs w:val="21"/>
        </w:rPr>
        <w:t>投标人基本情况介绍；</w:t>
      </w:r>
    </w:p>
    <w:p>
      <w:pPr>
        <w:spacing w:line="360" w:lineRule="auto"/>
        <w:ind w:firstLine="630" w:firstLineChars="300"/>
        <w:rPr>
          <w:rFonts w:ascii="宋体" w:hAnsi="宋体"/>
          <w:szCs w:val="21"/>
        </w:rPr>
      </w:pPr>
      <w:r>
        <w:rPr>
          <w:rFonts w:ascii="宋体" w:hAnsi="宋体"/>
          <w:szCs w:val="21"/>
        </w:rPr>
        <w:t>11.1.8</w:t>
      </w:r>
      <w:r>
        <w:rPr>
          <w:rFonts w:hint="eastAsia" w:ascii="宋体" w:hAnsi="宋体"/>
          <w:szCs w:val="21"/>
        </w:rPr>
        <w:t>主要服务人员列表；</w:t>
      </w:r>
    </w:p>
    <w:p>
      <w:pPr>
        <w:spacing w:line="360" w:lineRule="auto"/>
        <w:ind w:firstLine="630" w:firstLineChars="300"/>
        <w:rPr>
          <w:rFonts w:ascii="宋体" w:hAnsi="宋体"/>
          <w:szCs w:val="21"/>
        </w:rPr>
      </w:pPr>
      <w:r>
        <w:rPr>
          <w:rFonts w:hint="eastAsia" w:ascii="宋体" w:hAnsi="宋体"/>
          <w:szCs w:val="21"/>
        </w:rPr>
        <w:t>1</w:t>
      </w:r>
      <w:r>
        <w:rPr>
          <w:rFonts w:ascii="宋体" w:hAnsi="宋体"/>
          <w:szCs w:val="21"/>
        </w:rPr>
        <w:t>1.1.8</w:t>
      </w:r>
      <w:r>
        <w:rPr>
          <w:rFonts w:hint="eastAsia" w:ascii="宋体" w:hAnsi="宋体"/>
          <w:szCs w:val="21"/>
        </w:rPr>
        <w:t>评估方案；</w:t>
      </w:r>
    </w:p>
    <w:p>
      <w:pPr>
        <w:spacing w:line="360" w:lineRule="auto"/>
        <w:ind w:firstLine="630" w:firstLineChars="300"/>
        <w:rPr>
          <w:rFonts w:ascii="宋体" w:hAnsi="宋体"/>
          <w:szCs w:val="21"/>
        </w:rPr>
      </w:pPr>
      <w:r>
        <w:rPr>
          <w:rFonts w:ascii="宋体" w:hAnsi="宋体"/>
          <w:szCs w:val="21"/>
        </w:rPr>
        <w:t>11.1.9</w:t>
      </w:r>
      <w:r>
        <w:rPr>
          <w:rFonts w:hint="eastAsia" w:ascii="宋体" w:hAnsi="宋体"/>
          <w:szCs w:val="21"/>
        </w:rPr>
        <w:t>技术文件</w:t>
      </w:r>
    </w:p>
    <w:p>
      <w:pPr>
        <w:spacing w:line="360" w:lineRule="auto"/>
        <w:ind w:firstLine="420" w:firstLineChars="200"/>
        <w:rPr>
          <w:rFonts w:ascii="宋体" w:hAnsi="宋体"/>
          <w:kern w:val="0"/>
          <w:szCs w:val="21"/>
        </w:rPr>
      </w:pPr>
      <w:r>
        <w:rPr>
          <w:rFonts w:ascii="宋体" w:hAnsi="宋体"/>
          <w:szCs w:val="21"/>
        </w:rPr>
        <w:t>11.2</w:t>
      </w:r>
      <w:r>
        <w:rPr>
          <w:rFonts w:hint="eastAsia" w:ascii="宋体" w:hAnsi="宋体"/>
          <w:szCs w:val="21"/>
        </w:rPr>
        <w:t>申报人自认为需要提交的其它资料。</w:t>
      </w:r>
    </w:p>
    <w:p>
      <w:pPr>
        <w:spacing w:line="360" w:lineRule="auto"/>
        <w:rPr>
          <w:rFonts w:ascii="宋体" w:hAnsi="宋体"/>
          <w:b/>
          <w:szCs w:val="21"/>
        </w:rPr>
      </w:pPr>
      <w:r>
        <w:rPr>
          <w:rFonts w:hint="eastAsia" w:ascii="宋体" w:hAnsi="宋体"/>
          <w:b/>
          <w:szCs w:val="21"/>
        </w:rPr>
        <w:t>12．投标文件的格式和签署</w:t>
      </w:r>
      <w:bookmarkEnd w:id="215"/>
      <w:bookmarkEnd w:id="216"/>
      <w:bookmarkEnd w:id="217"/>
    </w:p>
    <w:p>
      <w:pPr>
        <w:spacing w:line="360" w:lineRule="auto"/>
        <w:ind w:firstLine="420" w:firstLineChars="200"/>
        <w:rPr>
          <w:rFonts w:ascii="宋体" w:hAnsi="宋体"/>
          <w:szCs w:val="21"/>
        </w:rPr>
      </w:pPr>
      <w:r>
        <w:rPr>
          <w:rFonts w:hint="eastAsia" w:ascii="宋体" w:hAnsi="宋体"/>
          <w:szCs w:val="21"/>
        </w:rPr>
        <w:t>12.1投标文件应包括本须知第11条规定的内容。投标文件应统一采用A4纸（超过A4幅面应折叠成A4幅面）并按招标文件第四章“投标文件格式”的顺序编排、采用非活页形式装订成册。本招标文件提供的投标文件格式可以按同样格式扩展。</w:t>
      </w:r>
    </w:p>
    <w:p>
      <w:pPr>
        <w:spacing w:line="360" w:lineRule="auto"/>
        <w:ind w:firstLine="420" w:firstLineChars="200"/>
        <w:rPr>
          <w:rFonts w:ascii="宋体" w:hAnsi="宋体"/>
          <w:szCs w:val="21"/>
        </w:rPr>
      </w:pPr>
      <w:r>
        <w:rPr>
          <w:rFonts w:hint="eastAsia" w:ascii="宋体" w:hAnsi="宋体"/>
          <w:szCs w:val="21"/>
        </w:rPr>
        <w:t>12.2投标文件各组成部分的份数见“</w:t>
      </w:r>
      <w:r>
        <w:rPr>
          <w:rFonts w:hint="eastAsia" w:ascii="宋体" w:hAnsi="宋体" w:cs="Courier New"/>
          <w:szCs w:val="21"/>
        </w:rPr>
        <w:t>前附表</w:t>
      </w:r>
      <w:r>
        <w:rPr>
          <w:rFonts w:hint="eastAsia" w:ascii="宋体" w:hAnsi="宋体"/>
          <w:szCs w:val="21"/>
        </w:rPr>
        <w:t>”。</w:t>
      </w:r>
    </w:p>
    <w:p>
      <w:pPr>
        <w:spacing w:line="360" w:lineRule="auto"/>
        <w:ind w:firstLine="421" w:firstLineChars="200"/>
        <w:rPr>
          <w:rFonts w:ascii="宋体" w:hAnsi="宋体"/>
          <w:b/>
          <w:szCs w:val="21"/>
        </w:rPr>
      </w:pPr>
      <w:r>
        <w:rPr>
          <w:rFonts w:hint="eastAsia" w:ascii="宋体" w:hAnsi="宋体"/>
          <w:b/>
          <w:szCs w:val="21"/>
        </w:rPr>
        <w:t>12.3投标文件密封在一个密封袋提交。</w:t>
      </w:r>
      <w:r>
        <w:rPr>
          <w:rFonts w:hint="eastAsia" w:ascii="宋体" w:hAnsi="宋体"/>
          <w:b/>
          <w:kern w:val="0"/>
          <w:szCs w:val="21"/>
        </w:rPr>
        <w:t>投标文件标书</w:t>
      </w:r>
      <w:r>
        <w:rPr>
          <w:rFonts w:hint="eastAsia" w:ascii="宋体" w:hAnsi="宋体"/>
          <w:b/>
          <w:szCs w:val="21"/>
        </w:rPr>
        <w:t>封面右上角应清楚注明“正本”或“副本”标记。若正本和副本内容不一致时，以正本为准。</w:t>
      </w:r>
    </w:p>
    <w:p>
      <w:pPr>
        <w:spacing w:line="360" w:lineRule="auto"/>
        <w:ind w:firstLine="420" w:firstLineChars="200"/>
        <w:rPr>
          <w:rFonts w:ascii="宋体" w:hAnsi="宋体"/>
          <w:szCs w:val="21"/>
        </w:rPr>
      </w:pPr>
      <w:r>
        <w:rPr>
          <w:rFonts w:hint="eastAsia" w:ascii="宋体" w:hAnsi="宋体"/>
          <w:szCs w:val="21"/>
        </w:rPr>
        <w:t>12.4投标文件须按投标文件格式要求加盖单位公章和投标人代表签字，副本可为正本的复印件。</w:t>
      </w:r>
    </w:p>
    <w:p>
      <w:pPr>
        <w:spacing w:line="360" w:lineRule="auto"/>
        <w:ind w:firstLine="420" w:firstLineChars="200"/>
        <w:rPr>
          <w:rFonts w:ascii="宋体" w:hAnsi="宋体"/>
          <w:szCs w:val="21"/>
        </w:rPr>
      </w:pPr>
      <w:r>
        <w:rPr>
          <w:rFonts w:hint="eastAsia" w:ascii="宋体" w:hAnsi="宋体"/>
          <w:szCs w:val="21"/>
        </w:rPr>
        <w:t>12.4.1“投标文件格式”中要求“投标人名称（公章）”之处，应加盖单位公章。否则，其投标将会被拒绝。</w:t>
      </w:r>
    </w:p>
    <w:p>
      <w:pPr>
        <w:spacing w:line="360" w:lineRule="auto"/>
        <w:ind w:firstLine="421" w:firstLineChars="200"/>
        <w:rPr>
          <w:rFonts w:ascii="宋体" w:hAnsi="宋体"/>
          <w:b/>
          <w:szCs w:val="21"/>
        </w:rPr>
      </w:pPr>
      <w:r>
        <w:rPr>
          <w:rFonts w:hint="eastAsia" w:ascii="宋体" w:hAnsi="宋体"/>
          <w:b/>
          <w:szCs w:val="21"/>
        </w:rPr>
        <w:t>12.4.2 “投标文件格式”中要求“投标人代表（签字）”之处，应由投标人的法定代表人或其授权的委托代理人签字。要求“法定代表人（签字）”之处，应由投标人的法定代表人签字。否则，其投标将会被拒绝。</w:t>
      </w:r>
    </w:p>
    <w:p>
      <w:pPr>
        <w:spacing w:line="360" w:lineRule="auto"/>
        <w:ind w:firstLine="421" w:firstLineChars="200"/>
        <w:rPr>
          <w:rFonts w:ascii="宋体" w:hAnsi="宋体"/>
          <w:b/>
          <w:szCs w:val="21"/>
        </w:rPr>
      </w:pPr>
      <w:r>
        <w:rPr>
          <w:rFonts w:hint="eastAsia" w:ascii="宋体" w:hAnsi="宋体"/>
          <w:b/>
          <w:szCs w:val="21"/>
        </w:rPr>
        <w:t>12.4.3要求投标文件 “签字”处，若投标人采用“签章”，视为同等有效。</w:t>
      </w:r>
    </w:p>
    <w:p>
      <w:pPr>
        <w:spacing w:line="360" w:lineRule="auto"/>
        <w:ind w:firstLine="420" w:firstLineChars="200"/>
        <w:rPr>
          <w:rFonts w:ascii="宋体" w:hAnsi="宋体" w:cs="宋体"/>
          <w:szCs w:val="21"/>
        </w:rPr>
      </w:pPr>
      <w:r>
        <w:rPr>
          <w:rFonts w:hint="eastAsia" w:ascii="宋体" w:hAnsi="宋体" w:cs="宋体"/>
          <w:szCs w:val="21"/>
        </w:rPr>
        <w:t>12.5投标文件应尽量避免涂改、行间插字或删除。如果出现上述情况，改动之处应加盖投标人公章或由投标人代表签字。</w:t>
      </w:r>
    </w:p>
    <w:p>
      <w:pPr>
        <w:spacing w:line="360" w:lineRule="auto"/>
        <w:ind w:firstLine="420" w:firstLineChars="200"/>
        <w:rPr>
          <w:rFonts w:ascii="宋体" w:hAnsi="宋体"/>
          <w:szCs w:val="21"/>
        </w:rPr>
      </w:pPr>
      <w:r>
        <w:rPr>
          <w:rFonts w:hint="eastAsia" w:ascii="宋体" w:hAnsi="宋体" w:cs="宋体"/>
          <w:szCs w:val="21"/>
        </w:rPr>
        <w:t>12.6如为联合体投标，联合体协议书应由所有联合体成员签字盖章，在投标文件中凡需填写投标人名称的地方，均应填写“×××(牵头人)和×××联合体”字样(牵头人在前)；除联合体协议书外，投标文件中其他需签字的地方只要牵头人按照招标文件的相应规定办理即可。</w:t>
      </w:r>
    </w:p>
    <w:p>
      <w:pPr>
        <w:spacing w:line="360" w:lineRule="auto"/>
        <w:ind w:firstLine="420" w:firstLineChars="200"/>
        <w:rPr>
          <w:rFonts w:ascii="宋体" w:hAnsi="宋体"/>
          <w:szCs w:val="21"/>
        </w:rPr>
      </w:pPr>
      <w:r>
        <w:rPr>
          <w:rFonts w:hint="eastAsia" w:ascii="宋体" w:hAnsi="宋体"/>
          <w:szCs w:val="21"/>
        </w:rPr>
        <w:t>12.7投标文件因字迹潦草或表达不清导致的不利后果由该投标人自负。</w:t>
      </w:r>
    </w:p>
    <w:p>
      <w:pPr>
        <w:spacing w:line="360" w:lineRule="auto"/>
        <w:rPr>
          <w:rFonts w:ascii="宋体" w:hAnsi="宋体"/>
          <w:b/>
          <w:szCs w:val="21"/>
        </w:rPr>
      </w:pPr>
      <w:bookmarkStart w:id="246" w:name="_Toc201997824"/>
      <w:bookmarkStart w:id="247" w:name="_Toc201401565"/>
      <w:bookmarkStart w:id="248" w:name="_Toc201401373"/>
      <w:r>
        <w:rPr>
          <w:rFonts w:hint="eastAsia" w:ascii="宋体" w:hAnsi="宋体"/>
          <w:b/>
          <w:szCs w:val="21"/>
        </w:rPr>
        <w:t>13．投标货币</w:t>
      </w:r>
      <w:bookmarkEnd w:id="246"/>
      <w:bookmarkEnd w:id="247"/>
      <w:bookmarkEnd w:id="248"/>
    </w:p>
    <w:p>
      <w:pPr>
        <w:spacing w:line="360" w:lineRule="auto"/>
        <w:ind w:firstLine="420" w:firstLineChars="200"/>
        <w:rPr>
          <w:rFonts w:ascii="宋体" w:hAnsi="宋体"/>
          <w:kern w:val="0"/>
          <w:szCs w:val="21"/>
        </w:rPr>
      </w:pPr>
      <w:r>
        <w:rPr>
          <w:rFonts w:hint="eastAsia" w:ascii="宋体" w:hAnsi="宋体"/>
          <w:kern w:val="0"/>
          <w:szCs w:val="21"/>
        </w:rPr>
        <w:t>13.1本项目投标报价采用的币种，见“前附表”。</w:t>
      </w:r>
    </w:p>
    <w:p>
      <w:pPr>
        <w:spacing w:line="360" w:lineRule="auto"/>
        <w:rPr>
          <w:rFonts w:ascii="宋体" w:hAnsi="宋体"/>
          <w:b/>
          <w:szCs w:val="21"/>
        </w:rPr>
      </w:pPr>
      <w:bookmarkStart w:id="249" w:name="_Toc201997825"/>
      <w:bookmarkStart w:id="250" w:name="_Toc201401374"/>
      <w:bookmarkStart w:id="251" w:name="_Toc201401566"/>
      <w:r>
        <w:rPr>
          <w:rFonts w:hint="eastAsia" w:ascii="宋体" w:hAnsi="宋体"/>
          <w:b/>
          <w:szCs w:val="21"/>
        </w:rPr>
        <w:t>14．投标报价</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49"/>
      <w:bookmarkEnd w:id="250"/>
      <w:bookmarkEnd w:id="251"/>
      <w:bookmarkStart w:id="252" w:name="_Toc143658450"/>
      <w:bookmarkStart w:id="253" w:name="_Toc98817930"/>
      <w:bookmarkStart w:id="254" w:name="_Toc148954854"/>
      <w:bookmarkStart w:id="255" w:name="_Toc148779947"/>
      <w:bookmarkStart w:id="256" w:name="_Toc135666623"/>
      <w:bookmarkStart w:id="257" w:name="_Toc134852016"/>
      <w:bookmarkStart w:id="258" w:name="_Toc148413295"/>
      <w:bookmarkStart w:id="259" w:name="_Toc157847816"/>
      <w:bookmarkStart w:id="260" w:name="_Toc148329796"/>
      <w:bookmarkStart w:id="261" w:name="_Toc148954459"/>
      <w:bookmarkStart w:id="262" w:name="_Toc135666810"/>
      <w:bookmarkStart w:id="263" w:name="_Toc163530298"/>
      <w:bookmarkStart w:id="264" w:name="_Toc148778152"/>
      <w:bookmarkStart w:id="265" w:name="_Toc148780233"/>
    </w:p>
    <w:p>
      <w:pPr>
        <w:spacing w:line="360" w:lineRule="auto"/>
        <w:ind w:firstLine="420" w:firstLineChars="200"/>
        <w:rPr>
          <w:rFonts w:ascii="宋体" w:hAnsi="宋体" w:cs="Courier New"/>
          <w:szCs w:val="21"/>
        </w:rPr>
      </w:pPr>
      <w:r>
        <w:rPr>
          <w:rFonts w:hint="eastAsia" w:ascii="宋体" w:hAnsi="宋体" w:cs="Courier New"/>
          <w:szCs w:val="21"/>
        </w:rPr>
        <w:t>14.1 本工程采用的合同方式见“前附表”。</w:t>
      </w:r>
    </w:p>
    <w:p>
      <w:pPr>
        <w:spacing w:line="360" w:lineRule="auto"/>
        <w:ind w:firstLine="420" w:firstLineChars="200"/>
        <w:rPr>
          <w:rFonts w:ascii="宋体" w:hAnsi="宋体" w:cs="Courier New"/>
          <w:szCs w:val="21"/>
        </w:rPr>
      </w:pPr>
      <w:r>
        <w:rPr>
          <w:rFonts w:hint="eastAsia" w:ascii="宋体" w:hAnsi="宋体" w:cs="Courier New"/>
          <w:szCs w:val="21"/>
        </w:rPr>
        <w:t>14.2 本项目预算限额见“前附表”，</w:t>
      </w:r>
      <w:r>
        <w:rPr>
          <w:rFonts w:hint="eastAsia" w:ascii="宋体" w:hAnsi="宋体"/>
          <w:b/>
          <w:szCs w:val="21"/>
        </w:rPr>
        <w:t>投标人的投标总报价不得超过预算限额，否则其投标文件将不予受理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cs="Courier New"/>
          <w:szCs w:val="21"/>
        </w:rPr>
        <w:t>14.3 投标报价为投标人的投标文件中提出的各项支付金额的总和</w:t>
      </w:r>
      <w:r>
        <w:rPr>
          <w:rFonts w:hint="eastAsia" w:ascii="宋体" w:hAnsi="宋体"/>
          <w:szCs w:val="21"/>
        </w:rPr>
        <w:t>，包括为实施和完成本项目所需的劳务、材料、设备仪器、交通、技术咨询、管理、保险、税费、利润等。</w:t>
      </w:r>
    </w:p>
    <w:p>
      <w:pPr>
        <w:spacing w:line="360" w:lineRule="auto"/>
        <w:ind w:firstLine="420" w:firstLineChars="200"/>
        <w:rPr>
          <w:rFonts w:ascii="宋体" w:hAnsi="宋体"/>
          <w:szCs w:val="21"/>
        </w:rPr>
      </w:pPr>
      <w:r>
        <w:rPr>
          <w:rFonts w:hint="eastAsia" w:ascii="宋体" w:hAnsi="宋体"/>
          <w:szCs w:val="21"/>
        </w:rPr>
        <w:t>14.4 投标人若是提供了可变动价格或调价函的，其投标将会被拒绝。</w:t>
      </w:r>
    </w:p>
    <w:p>
      <w:pPr>
        <w:spacing w:line="360" w:lineRule="auto"/>
        <w:ind w:firstLine="420" w:firstLineChars="200"/>
        <w:rPr>
          <w:rFonts w:ascii="宋体" w:hAnsi="宋体" w:cs="Courier New"/>
          <w:szCs w:val="21"/>
        </w:rPr>
      </w:pPr>
      <w:r>
        <w:rPr>
          <w:rFonts w:hint="eastAsia" w:ascii="宋体" w:hAnsi="宋体" w:cs="Courier New"/>
          <w:szCs w:val="21"/>
        </w:rPr>
        <w:t>14.5除非采购人通过修改招标文件予以更正，否则，投标人应按采购需求文件规定的项目和数量进行报价。</w:t>
      </w:r>
    </w:p>
    <w:bookmarkEnd w:id="234"/>
    <w:bookmarkEnd w:id="235"/>
    <w:bookmarkEnd w:id="236"/>
    <w:bookmarkEnd w:id="237"/>
    <w:bookmarkEnd w:id="238"/>
    <w:bookmarkEnd w:id="239"/>
    <w:bookmarkEnd w:id="240"/>
    <w:bookmarkEnd w:id="241"/>
    <w:bookmarkEnd w:id="242"/>
    <w:bookmarkEnd w:id="243"/>
    <w:bookmarkEnd w:id="244"/>
    <w:bookmarkEnd w:id="24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spacing w:line="360" w:lineRule="auto"/>
        <w:rPr>
          <w:rFonts w:ascii="宋体" w:hAnsi="宋体"/>
          <w:b/>
          <w:szCs w:val="21"/>
        </w:rPr>
      </w:pPr>
      <w:bookmarkStart w:id="266" w:name="_Toc188869276"/>
      <w:bookmarkStart w:id="267" w:name="_Toc201401375"/>
      <w:bookmarkStart w:id="268" w:name="_Toc201997826"/>
      <w:bookmarkStart w:id="269" w:name="_Toc201401567"/>
      <w:bookmarkStart w:id="270" w:name="_Toc187729576"/>
      <w:bookmarkStart w:id="271" w:name="_Toc201401568"/>
      <w:bookmarkStart w:id="272" w:name="_Toc201401376"/>
      <w:bookmarkStart w:id="273" w:name="_Toc201997827"/>
      <w:bookmarkStart w:id="274" w:name="_Toc188869278"/>
      <w:bookmarkStart w:id="275" w:name="_Toc187729578"/>
      <w:r>
        <w:rPr>
          <w:rFonts w:hint="eastAsia" w:ascii="宋体" w:hAnsi="宋体"/>
          <w:b/>
          <w:szCs w:val="21"/>
        </w:rPr>
        <w:t>15．投标保证金</w:t>
      </w:r>
    </w:p>
    <w:p>
      <w:pPr>
        <w:spacing w:line="360" w:lineRule="auto"/>
        <w:ind w:firstLine="420" w:firstLineChars="200"/>
        <w:rPr>
          <w:rFonts w:ascii="宋体" w:hAnsi="宋体"/>
          <w:szCs w:val="21"/>
        </w:rPr>
      </w:pPr>
      <w:r>
        <w:rPr>
          <w:rFonts w:hint="eastAsia" w:ascii="宋体" w:hAnsi="宋体"/>
          <w:szCs w:val="21"/>
        </w:rPr>
        <w:t>15.1</w:t>
      </w:r>
      <w:bookmarkEnd w:id="266"/>
      <w:bookmarkEnd w:id="267"/>
      <w:bookmarkEnd w:id="268"/>
      <w:bookmarkEnd w:id="269"/>
      <w:bookmarkEnd w:id="270"/>
      <w:r>
        <w:rPr>
          <w:rFonts w:ascii="宋体" w:hAnsi="宋体"/>
          <w:szCs w:val="21"/>
        </w:rPr>
        <w:t xml:space="preserve"> </w:t>
      </w:r>
      <w:r>
        <w:rPr>
          <w:rFonts w:hint="eastAsia" w:ascii="宋体" w:hAnsi="宋体"/>
          <w:szCs w:val="21"/>
        </w:rPr>
        <w:t>本项目无需提交投标保证金</w:t>
      </w:r>
    </w:p>
    <w:p>
      <w:pPr>
        <w:spacing w:line="360" w:lineRule="auto"/>
        <w:rPr>
          <w:rFonts w:ascii="宋体" w:hAnsi="宋体"/>
          <w:b/>
          <w:szCs w:val="21"/>
        </w:rPr>
      </w:pPr>
      <w:r>
        <w:rPr>
          <w:rFonts w:hint="eastAsia" w:ascii="宋体" w:hAnsi="宋体"/>
          <w:b/>
          <w:szCs w:val="21"/>
        </w:rPr>
        <w:t>16．投标有效期</w:t>
      </w:r>
      <w:bookmarkEnd w:id="271"/>
      <w:bookmarkEnd w:id="272"/>
      <w:bookmarkEnd w:id="273"/>
    </w:p>
    <w:bookmarkEnd w:id="274"/>
    <w:bookmarkEnd w:id="275"/>
    <w:p>
      <w:pPr>
        <w:spacing w:line="360" w:lineRule="auto"/>
        <w:ind w:firstLine="420" w:firstLineChars="200"/>
        <w:rPr>
          <w:rFonts w:ascii="宋体" w:hAnsi="宋体" w:cs="Courier New"/>
          <w:szCs w:val="21"/>
        </w:rPr>
      </w:pPr>
      <w:r>
        <w:rPr>
          <w:rFonts w:hint="eastAsia" w:ascii="宋体" w:hAnsi="宋体" w:cs="Courier New"/>
          <w:szCs w:val="21"/>
        </w:rPr>
        <w:t>16.1 投标有效期见“前附表”。在此期间，所有投标均保持有效。</w:t>
      </w:r>
    </w:p>
    <w:p>
      <w:pPr>
        <w:spacing w:line="360" w:lineRule="auto"/>
        <w:ind w:firstLine="420" w:firstLineChars="200"/>
        <w:rPr>
          <w:rFonts w:ascii="宋体" w:hAnsi="宋体" w:cs="Courier New"/>
          <w:szCs w:val="21"/>
        </w:rPr>
      </w:pPr>
      <w:r>
        <w:rPr>
          <w:rFonts w:hint="eastAsia" w:ascii="宋体" w:hAnsi="宋体" w:cs="Courier New"/>
          <w:szCs w:val="21"/>
        </w:rPr>
        <w:t>16.2 特殊的情况下，在原定投标有效期期满之前，采购人可以根据需要向投标人提出延长投标有效期的要求，对此要求投标人须以书面形式予以答复，投标人可以拒绝采购人这种要求，而不被没收投标担保。同意延长投标有效期的投标人不能要求也不允许修改其投标文件，在延长的投标有效期内关于投标担保的退还与没收规定仍然适用。</w:t>
      </w:r>
    </w:p>
    <w:p>
      <w:pPr>
        <w:spacing w:line="360" w:lineRule="auto"/>
        <w:rPr>
          <w:rFonts w:ascii="宋体" w:hAnsi="宋体"/>
          <w:b/>
          <w:szCs w:val="21"/>
        </w:rPr>
      </w:pPr>
      <w:bookmarkStart w:id="276" w:name="_Toc201997828"/>
      <w:bookmarkStart w:id="277" w:name="_Toc201401569"/>
      <w:bookmarkStart w:id="278" w:name="_Toc201401377"/>
      <w:r>
        <w:rPr>
          <w:rFonts w:hint="eastAsia" w:ascii="宋体" w:hAnsi="宋体"/>
          <w:b/>
          <w:szCs w:val="21"/>
        </w:rPr>
        <w:t>17．备选投标方案</w:t>
      </w:r>
      <w:bookmarkEnd w:id="276"/>
      <w:bookmarkEnd w:id="277"/>
      <w:bookmarkEnd w:id="278"/>
    </w:p>
    <w:p>
      <w:pPr>
        <w:spacing w:line="360" w:lineRule="auto"/>
        <w:ind w:firstLine="420" w:firstLineChars="200"/>
        <w:rPr>
          <w:rFonts w:ascii="宋体" w:hAnsi="宋体"/>
          <w:szCs w:val="21"/>
        </w:rPr>
      </w:pPr>
      <w:r>
        <w:rPr>
          <w:rFonts w:hint="eastAsia" w:ascii="宋体" w:hAnsi="宋体"/>
          <w:szCs w:val="21"/>
        </w:rPr>
        <w:t>17.1 除“</w:t>
      </w:r>
      <w:r>
        <w:rPr>
          <w:rFonts w:hint="eastAsia" w:ascii="宋体" w:hAnsi="宋体" w:cs="Courier New"/>
          <w:szCs w:val="21"/>
        </w:rPr>
        <w:t>前附表</w:t>
      </w:r>
      <w:r>
        <w:rPr>
          <w:rFonts w:hint="eastAsia" w:ascii="宋体" w:hAnsi="宋体"/>
          <w:szCs w:val="21"/>
        </w:rPr>
        <w:t>”中有规定允许提交外，投标人不得提交备选投标方案。</w:t>
      </w:r>
    </w:p>
    <w:p>
      <w:pPr>
        <w:spacing w:line="360" w:lineRule="auto"/>
        <w:ind w:firstLine="420" w:firstLineChars="200"/>
        <w:rPr>
          <w:rFonts w:ascii="宋体" w:hAnsi="宋体"/>
          <w:szCs w:val="21"/>
        </w:rPr>
      </w:pPr>
      <w:r>
        <w:rPr>
          <w:rFonts w:hint="eastAsia" w:ascii="宋体" w:hAnsi="宋体"/>
          <w:szCs w:val="21"/>
        </w:rPr>
        <w:t>17.2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pStyle w:val="4"/>
        <w:spacing w:line="360" w:lineRule="auto"/>
        <w:jc w:val="center"/>
        <w:rPr>
          <w:rFonts w:ascii="宋体" w:hAnsi="宋体"/>
          <w:b w:val="0"/>
          <w:sz w:val="30"/>
          <w:szCs w:val="30"/>
        </w:rPr>
      </w:pPr>
      <w:bookmarkStart w:id="279" w:name="_Toc201401575"/>
      <w:bookmarkStart w:id="280" w:name="_Toc201997834"/>
      <w:bookmarkStart w:id="281" w:name="_Toc51235181"/>
      <w:r>
        <w:rPr>
          <w:rFonts w:hint="eastAsia" w:ascii="宋体" w:hAnsi="宋体"/>
          <w:b w:val="0"/>
          <w:sz w:val="30"/>
          <w:szCs w:val="30"/>
        </w:rPr>
        <w:t>四、投标文件的提交</w:t>
      </w:r>
      <w:bookmarkEnd w:id="208"/>
      <w:bookmarkEnd w:id="279"/>
      <w:bookmarkEnd w:id="280"/>
      <w:bookmarkEnd w:id="281"/>
    </w:p>
    <w:p>
      <w:pPr>
        <w:spacing w:line="360" w:lineRule="auto"/>
        <w:rPr>
          <w:rFonts w:ascii="宋体" w:hAnsi="宋体"/>
          <w:b/>
          <w:szCs w:val="21"/>
        </w:rPr>
      </w:pPr>
      <w:bookmarkStart w:id="282" w:name="_Toc135666628"/>
      <w:bookmarkStart w:id="283" w:name="_Toc143658455"/>
      <w:bookmarkStart w:id="284" w:name="_Toc148779952"/>
      <w:bookmarkStart w:id="285" w:name="_Toc201997835"/>
      <w:bookmarkStart w:id="286" w:name="_Toc148954464"/>
      <w:bookmarkStart w:id="287" w:name="_Toc148329801"/>
      <w:bookmarkStart w:id="288" w:name="_Toc148778157"/>
      <w:bookmarkStart w:id="289" w:name="_Toc188869280"/>
      <w:bookmarkStart w:id="290" w:name="_Toc135666815"/>
      <w:bookmarkStart w:id="291" w:name="_Toc157847820"/>
      <w:bookmarkStart w:id="292" w:name="_Toc134852021"/>
      <w:bookmarkStart w:id="293" w:name="_Toc187729580"/>
      <w:bookmarkStart w:id="294" w:name="_Toc148413300"/>
      <w:bookmarkStart w:id="295" w:name="_Toc201401384"/>
      <w:bookmarkStart w:id="296" w:name="_Toc148954859"/>
      <w:bookmarkStart w:id="297" w:name="_Toc148780238"/>
      <w:bookmarkStart w:id="298" w:name="_Toc201401576"/>
      <w:bookmarkStart w:id="299" w:name="_Toc98817934"/>
      <w:bookmarkStart w:id="300" w:name="_Toc163530302"/>
      <w:bookmarkStart w:id="301" w:name="OLE_LINK1"/>
      <w:bookmarkStart w:id="302" w:name="OLE_LINK2"/>
      <w:bookmarkStart w:id="303" w:name="_Toc188869285"/>
      <w:r>
        <w:rPr>
          <w:rFonts w:hint="eastAsia" w:ascii="宋体" w:hAnsi="宋体"/>
          <w:b/>
          <w:szCs w:val="21"/>
        </w:rPr>
        <w:t>18．投标文件的密封和标记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bookmarkEnd w:id="301"/>
    <w:bookmarkEnd w:id="302"/>
    <w:p>
      <w:pPr>
        <w:spacing w:line="360" w:lineRule="auto"/>
        <w:ind w:firstLine="421" w:firstLineChars="200"/>
        <w:rPr>
          <w:rFonts w:ascii="宋体" w:hAnsi="宋体"/>
          <w:b/>
          <w:snapToGrid w:val="0"/>
          <w:kern w:val="0"/>
          <w:szCs w:val="21"/>
        </w:rPr>
      </w:pPr>
      <w:bookmarkStart w:id="304" w:name="_Toc148329802"/>
      <w:bookmarkStart w:id="305" w:name="_Toc135666816"/>
      <w:bookmarkStart w:id="306" w:name="_Toc148779953"/>
      <w:bookmarkStart w:id="307" w:name="_Toc143658456"/>
      <w:bookmarkStart w:id="308" w:name="_Toc148954465"/>
      <w:bookmarkStart w:id="309" w:name="_Toc148780239"/>
      <w:bookmarkStart w:id="310" w:name="_Toc157847821"/>
      <w:bookmarkStart w:id="311" w:name="_Toc188869281"/>
      <w:bookmarkStart w:id="312" w:name="_Toc148413301"/>
      <w:bookmarkStart w:id="313" w:name="_Toc134852022"/>
      <w:bookmarkStart w:id="314" w:name="_Toc135666629"/>
      <w:bookmarkStart w:id="315" w:name="_Toc187729581"/>
      <w:bookmarkStart w:id="316" w:name="_Toc98817935"/>
      <w:bookmarkStart w:id="317" w:name="_Toc201401577"/>
      <w:bookmarkStart w:id="318" w:name="_Toc148778158"/>
      <w:bookmarkStart w:id="319" w:name="_Toc163530303"/>
      <w:bookmarkStart w:id="320" w:name="_Toc148954860"/>
      <w:bookmarkStart w:id="321" w:name="_Toc201401385"/>
      <w:bookmarkStart w:id="322" w:name="_Toc201997836"/>
      <w:r>
        <w:rPr>
          <w:rFonts w:hint="eastAsia" w:ascii="宋体" w:hAnsi="宋体"/>
          <w:b/>
          <w:szCs w:val="21"/>
        </w:rPr>
        <w:t>18.1投标文件应采用密封包装，密封袋上注明项目名称、投标人名称。</w:t>
      </w:r>
    </w:p>
    <w:p>
      <w:pPr>
        <w:spacing w:line="360" w:lineRule="auto"/>
        <w:ind w:firstLine="420" w:firstLineChars="200"/>
        <w:rPr>
          <w:rFonts w:ascii="宋体" w:hAnsi="宋体"/>
          <w:szCs w:val="21"/>
        </w:rPr>
      </w:pPr>
      <w:r>
        <w:rPr>
          <w:rFonts w:hint="eastAsia" w:ascii="宋体" w:hAnsi="宋体"/>
          <w:szCs w:val="21"/>
        </w:rPr>
        <w:t>18.2因标书标识不清、密封不严等导致的不利后果由投标人自负。</w:t>
      </w:r>
    </w:p>
    <w:p>
      <w:pPr>
        <w:spacing w:line="360" w:lineRule="auto"/>
        <w:rPr>
          <w:rFonts w:ascii="宋体" w:hAnsi="宋体"/>
          <w:b/>
          <w:szCs w:val="21"/>
        </w:rPr>
      </w:pPr>
      <w:r>
        <w:rPr>
          <w:rFonts w:hint="eastAsia" w:ascii="宋体" w:hAnsi="宋体"/>
          <w:b/>
          <w:szCs w:val="21"/>
        </w:rPr>
        <w:t>19．投标文件</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hint="eastAsia" w:ascii="宋体" w:hAnsi="宋体"/>
          <w:b/>
          <w:szCs w:val="21"/>
        </w:rPr>
        <w:t>提交</w:t>
      </w:r>
      <w:bookmarkEnd w:id="322"/>
      <w:r>
        <w:rPr>
          <w:rFonts w:hint="eastAsia" w:ascii="宋体" w:hAnsi="宋体"/>
          <w:b/>
          <w:szCs w:val="21"/>
        </w:rPr>
        <w:t>的截止时间和地点</w:t>
      </w:r>
    </w:p>
    <w:p>
      <w:pPr>
        <w:spacing w:line="360" w:lineRule="auto"/>
        <w:ind w:firstLine="420" w:firstLineChars="200"/>
        <w:rPr>
          <w:rFonts w:ascii="宋体" w:hAnsi="宋体"/>
          <w:snapToGrid w:val="0"/>
          <w:kern w:val="0"/>
          <w:szCs w:val="21"/>
        </w:rPr>
      </w:pPr>
      <w:r>
        <w:rPr>
          <w:rFonts w:hint="eastAsia" w:ascii="宋体" w:hAnsi="宋体"/>
          <w:szCs w:val="21"/>
        </w:rPr>
        <w:t>19.1投标人应按“前附表”的规定，在投标截止时间前将投标文件密封送达指定地点。</w:t>
      </w:r>
      <w:r>
        <w:rPr>
          <w:rFonts w:hint="eastAsia" w:ascii="宋体" w:hAnsi="宋体" w:cs="宋体"/>
          <w:snapToGrid w:val="0"/>
          <w:kern w:val="0"/>
          <w:szCs w:val="21"/>
        </w:rPr>
        <w:t>采购人</w:t>
      </w:r>
      <w:r>
        <w:rPr>
          <w:rFonts w:hint="eastAsia" w:ascii="宋体" w:hAnsi="宋体"/>
          <w:snapToGrid w:val="0"/>
          <w:kern w:val="0"/>
          <w:szCs w:val="21"/>
        </w:rPr>
        <w:t>拒绝接收在投标截止时间后递交的投标文件。</w:t>
      </w:r>
      <w:r>
        <w:rPr>
          <w:rFonts w:hint="eastAsia" w:ascii="宋体" w:hAnsi="宋体"/>
          <w:szCs w:val="21"/>
        </w:rPr>
        <w:t>邮寄、电报、电话、传真形式的投标概不接受。</w:t>
      </w:r>
    </w:p>
    <w:p>
      <w:pPr>
        <w:spacing w:line="360" w:lineRule="auto"/>
        <w:rPr>
          <w:rFonts w:ascii="宋体" w:hAnsi="宋体"/>
          <w:szCs w:val="21"/>
        </w:rPr>
      </w:pPr>
      <w:r>
        <w:rPr>
          <w:rFonts w:hint="eastAsia" w:ascii="宋体" w:hAnsi="宋体"/>
          <w:b/>
          <w:szCs w:val="21"/>
        </w:rPr>
        <w:t>20．截标时投标文件的数量要求</w:t>
      </w:r>
    </w:p>
    <w:p>
      <w:pPr>
        <w:spacing w:line="360" w:lineRule="auto"/>
        <w:ind w:firstLine="420" w:firstLineChars="200"/>
        <w:rPr>
          <w:rFonts w:ascii="宋体" w:hAnsi="宋体"/>
          <w:szCs w:val="21"/>
        </w:rPr>
      </w:pPr>
      <w:r>
        <w:rPr>
          <w:rFonts w:hint="eastAsia" w:ascii="宋体" w:hAnsi="宋体"/>
          <w:szCs w:val="21"/>
        </w:rPr>
        <w:t>20.1</w:t>
      </w:r>
      <w:r>
        <w:rPr>
          <w:rFonts w:ascii="宋体" w:hAnsi="宋体"/>
          <w:szCs w:val="21"/>
        </w:rPr>
        <w:t>截标时</w:t>
      </w:r>
      <w:r>
        <w:rPr>
          <w:rFonts w:hint="eastAsia" w:ascii="宋体" w:hAnsi="宋体"/>
          <w:szCs w:val="21"/>
        </w:rPr>
        <w:t>递</w:t>
      </w:r>
      <w:r>
        <w:rPr>
          <w:rFonts w:ascii="宋体" w:hAnsi="宋体"/>
          <w:szCs w:val="21"/>
        </w:rPr>
        <w:t>交标书的投标人数</w:t>
      </w:r>
      <w:r>
        <w:rPr>
          <w:rFonts w:hint="eastAsia" w:ascii="宋体" w:hAnsi="宋体"/>
          <w:szCs w:val="21"/>
        </w:rPr>
        <w:t>量未达到法定数量的，采购人将按法律法规的规定暂停</w:t>
      </w:r>
      <w:r>
        <w:rPr>
          <w:rFonts w:ascii="宋体" w:hAnsi="宋体"/>
          <w:szCs w:val="21"/>
        </w:rPr>
        <w:t>开标和评标程序</w:t>
      </w:r>
      <w:r>
        <w:rPr>
          <w:rFonts w:hint="eastAsia" w:ascii="宋体" w:hAnsi="宋体"/>
          <w:szCs w:val="21"/>
        </w:rPr>
        <w:t>。如导致招标失败，采购人不负担因此给</w:t>
      </w:r>
      <w:r>
        <w:rPr>
          <w:rFonts w:ascii="宋体" w:hAnsi="宋体"/>
          <w:szCs w:val="21"/>
        </w:rPr>
        <w:t>投标人</w:t>
      </w:r>
      <w:r>
        <w:rPr>
          <w:rFonts w:hint="eastAsia" w:ascii="宋体" w:hAnsi="宋体"/>
          <w:szCs w:val="21"/>
        </w:rPr>
        <w:t>造成的损失。</w:t>
      </w:r>
    </w:p>
    <w:p>
      <w:pPr>
        <w:spacing w:line="360" w:lineRule="auto"/>
        <w:rPr>
          <w:rFonts w:ascii="宋体" w:hAnsi="宋体"/>
          <w:b/>
          <w:szCs w:val="21"/>
        </w:rPr>
      </w:pPr>
      <w:bookmarkStart w:id="323" w:name="_Toc98817937"/>
      <w:bookmarkStart w:id="324" w:name="_Toc148954862"/>
      <w:bookmarkStart w:id="325" w:name="_Toc148413303"/>
      <w:bookmarkStart w:id="326" w:name="_Toc135666818"/>
      <w:bookmarkStart w:id="327" w:name="_Toc135666631"/>
      <w:bookmarkStart w:id="328" w:name="_Toc148954467"/>
      <w:bookmarkStart w:id="329" w:name="_Toc187729583"/>
      <w:bookmarkStart w:id="330" w:name="_Toc163530305"/>
      <w:bookmarkStart w:id="331" w:name="_Toc148778160"/>
      <w:bookmarkStart w:id="332" w:name="_Toc148780241"/>
      <w:bookmarkStart w:id="333" w:name="_Toc157847823"/>
      <w:bookmarkStart w:id="334" w:name="_Toc143658458"/>
      <w:bookmarkStart w:id="335" w:name="_Toc201997837"/>
      <w:bookmarkStart w:id="336" w:name="_Toc201401578"/>
      <w:bookmarkStart w:id="337" w:name="_Toc148329804"/>
      <w:bookmarkStart w:id="338" w:name="_Toc148779955"/>
      <w:bookmarkStart w:id="339" w:name="_Toc201401386"/>
      <w:bookmarkStart w:id="340" w:name="_Toc134852024"/>
      <w:bookmarkStart w:id="341" w:name="_Toc188869283"/>
      <w:r>
        <w:rPr>
          <w:rFonts w:hint="eastAsia" w:ascii="宋体" w:hAnsi="宋体"/>
          <w:b/>
          <w:szCs w:val="21"/>
        </w:rPr>
        <w:t>21．投标文件的补充修改或撤回</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360" w:lineRule="auto"/>
        <w:ind w:firstLine="420" w:firstLineChars="200"/>
        <w:rPr>
          <w:rFonts w:ascii="宋体" w:hAnsi="宋体"/>
          <w:szCs w:val="21"/>
        </w:rPr>
      </w:pPr>
      <w:bookmarkStart w:id="342" w:name="_Toc188869284"/>
      <w:r>
        <w:rPr>
          <w:rFonts w:hint="eastAsia" w:ascii="宋体" w:hAnsi="宋体"/>
          <w:szCs w:val="21"/>
        </w:rPr>
        <w:t xml:space="preserve">21.1 </w:t>
      </w:r>
      <w:r>
        <w:rPr>
          <w:rFonts w:ascii="宋体" w:hAnsi="宋体"/>
          <w:szCs w:val="21"/>
        </w:rPr>
        <w:t>在规定的投标截止时间前，投标人可以</w:t>
      </w:r>
      <w:r>
        <w:rPr>
          <w:rFonts w:hint="eastAsia" w:ascii="宋体" w:hAnsi="宋体"/>
          <w:szCs w:val="21"/>
        </w:rPr>
        <w:t>补充和</w:t>
      </w:r>
      <w:r>
        <w:rPr>
          <w:rFonts w:ascii="宋体" w:hAnsi="宋体"/>
          <w:szCs w:val="21"/>
        </w:rPr>
        <w:t>修改或撤回已递交的投标文件，但应以书面形式通知</w:t>
      </w:r>
      <w:r>
        <w:rPr>
          <w:rFonts w:hint="eastAsia" w:ascii="宋体" w:hAnsi="宋体"/>
          <w:szCs w:val="21"/>
        </w:rPr>
        <w:t>采购人</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21.2</w:t>
      </w:r>
      <w:r>
        <w:rPr>
          <w:rFonts w:ascii="宋体" w:hAnsi="宋体"/>
          <w:szCs w:val="21"/>
        </w:rPr>
        <w:t xml:space="preserve"> 投标人</w:t>
      </w:r>
      <w:r>
        <w:rPr>
          <w:rFonts w:hint="eastAsia" w:ascii="宋体" w:hAnsi="宋体"/>
          <w:szCs w:val="21"/>
        </w:rPr>
        <w:t>补充和</w:t>
      </w:r>
      <w:r>
        <w:rPr>
          <w:rFonts w:ascii="宋体" w:hAnsi="宋体"/>
          <w:szCs w:val="21"/>
        </w:rPr>
        <w:t>修改或撤回已递交投标文件的书面通知应按照本</w:t>
      </w:r>
      <w:r>
        <w:rPr>
          <w:rFonts w:hint="eastAsia" w:ascii="宋体" w:hAnsi="宋体"/>
          <w:szCs w:val="21"/>
        </w:rPr>
        <w:t>须知第12.4款</w:t>
      </w:r>
      <w:r>
        <w:rPr>
          <w:rFonts w:ascii="宋体" w:hAnsi="宋体"/>
          <w:szCs w:val="21"/>
        </w:rPr>
        <w:t>要求</w:t>
      </w:r>
      <w:r>
        <w:rPr>
          <w:rFonts w:hint="eastAsia" w:ascii="宋体" w:hAnsi="宋体"/>
          <w:szCs w:val="21"/>
        </w:rPr>
        <w:t>盖章和签署</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21.3</w:t>
      </w:r>
      <w:r>
        <w:rPr>
          <w:rFonts w:ascii="宋体" w:hAnsi="宋体"/>
          <w:szCs w:val="21"/>
        </w:rPr>
        <w:t xml:space="preserve"> </w:t>
      </w:r>
      <w:r>
        <w:rPr>
          <w:rFonts w:hint="eastAsia" w:ascii="宋体" w:hAnsi="宋体"/>
          <w:szCs w:val="21"/>
        </w:rPr>
        <w:t>补充和</w:t>
      </w:r>
      <w:r>
        <w:rPr>
          <w:rFonts w:ascii="宋体" w:hAnsi="宋体"/>
          <w:szCs w:val="21"/>
        </w:rPr>
        <w:t>修改的内容为投标文件的组成部分。</w:t>
      </w:r>
      <w:r>
        <w:rPr>
          <w:rFonts w:hint="eastAsia" w:ascii="宋体" w:hAnsi="宋体"/>
          <w:szCs w:val="21"/>
        </w:rPr>
        <w:t>补充和</w:t>
      </w:r>
      <w:r>
        <w:rPr>
          <w:rFonts w:ascii="宋体" w:hAnsi="宋体"/>
          <w:szCs w:val="21"/>
        </w:rPr>
        <w:t>修改的投标文件应按照本</w:t>
      </w:r>
      <w:r>
        <w:rPr>
          <w:rFonts w:hint="eastAsia" w:ascii="宋体" w:hAnsi="宋体"/>
          <w:szCs w:val="21"/>
        </w:rPr>
        <w:t>须知</w:t>
      </w:r>
      <w:r>
        <w:rPr>
          <w:rFonts w:ascii="宋体" w:hAnsi="宋体"/>
          <w:szCs w:val="21"/>
        </w:rPr>
        <w:t>规定进行编制、密封、标记和递交，并标明“</w:t>
      </w:r>
      <w:r>
        <w:rPr>
          <w:rFonts w:hint="eastAsia" w:ascii="宋体" w:hAnsi="宋体"/>
          <w:szCs w:val="21"/>
        </w:rPr>
        <w:t>投标</w:t>
      </w:r>
      <w:r>
        <w:rPr>
          <w:rFonts w:ascii="宋体" w:hAnsi="宋体"/>
          <w:szCs w:val="21"/>
        </w:rPr>
        <w:t>修改”字样。</w:t>
      </w:r>
    </w:p>
    <w:p>
      <w:pPr>
        <w:spacing w:line="360" w:lineRule="auto"/>
        <w:ind w:firstLine="420" w:firstLineChars="200"/>
        <w:rPr>
          <w:rFonts w:ascii="宋体" w:hAnsi="宋体"/>
          <w:szCs w:val="21"/>
        </w:rPr>
      </w:pPr>
      <w:r>
        <w:rPr>
          <w:rFonts w:hint="eastAsia" w:ascii="宋体" w:hAnsi="宋体"/>
          <w:szCs w:val="21"/>
        </w:rPr>
        <w:t>21.4 投标截止时间之后，投标人不得补充、修改投标文件。从投标截止期后至招标文件规定的有效期前，投标人不得撤回其投标，否则其投标担保将被没收。</w:t>
      </w:r>
    </w:p>
    <w:p>
      <w:pPr>
        <w:spacing w:line="360" w:lineRule="auto"/>
        <w:ind w:firstLine="420" w:firstLineChars="200"/>
        <w:rPr>
          <w:rFonts w:ascii="宋体" w:hAnsi="宋体"/>
          <w:szCs w:val="21"/>
        </w:rPr>
      </w:pPr>
      <w:r>
        <w:rPr>
          <w:rFonts w:hint="eastAsia" w:ascii="宋体" w:hAnsi="宋体"/>
          <w:szCs w:val="21"/>
        </w:rPr>
        <w:t>21.5 评标结束后，不论中标与否，投标人均不得收回其投标文件。</w:t>
      </w:r>
    </w:p>
    <w:bookmarkEnd w:id="342"/>
    <w:p>
      <w:pPr>
        <w:pStyle w:val="4"/>
        <w:spacing w:line="360" w:lineRule="auto"/>
        <w:jc w:val="center"/>
        <w:rPr>
          <w:rFonts w:ascii="宋体" w:hAnsi="宋体"/>
          <w:b w:val="0"/>
          <w:sz w:val="30"/>
          <w:szCs w:val="30"/>
        </w:rPr>
      </w:pPr>
      <w:bookmarkStart w:id="343" w:name="_Toc51235182"/>
      <w:bookmarkStart w:id="344" w:name="_Toc201401579"/>
      <w:bookmarkStart w:id="345" w:name="_Toc201997840"/>
      <w:r>
        <w:rPr>
          <w:rFonts w:hint="eastAsia" w:ascii="宋体" w:hAnsi="宋体"/>
          <w:b w:val="0"/>
          <w:sz w:val="30"/>
          <w:szCs w:val="30"/>
        </w:rPr>
        <w:t>五、开  标</w:t>
      </w:r>
      <w:bookmarkEnd w:id="303"/>
      <w:bookmarkEnd w:id="343"/>
      <w:bookmarkEnd w:id="344"/>
      <w:bookmarkEnd w:id="345"/>
    </w:p>
    <w:p>
      <w:pPr>
        <w:spacing w:line="360" w:lineRule="auto"/>
        <w:rPr>
          <w:rFonts w:ascii="宋体" w:hAnsi="宋体"/>
          <w:b/>
          <w:szCs w:val="21"/>
        </w:rPr>
      </w:pPr>
      <w:bookmarkStart w:id="346" w:name="_Toc201997841"/>
      <w:bookmarkStart w:id="347" w:name="_Toc201401580"/>
      <w:bookmarkStart w:id="348" w:name="_Toc201401388"/>
      <w:bookmarkStart w:id="349" w:name="_Toc148779957"/>
      <w:bookmarkStart w:id="350" w:name="_Toc188869286"/>
      <w:bookmarkStart w:id="351" w:name="_Toc148954469"/>
      <w:bookmarkStart w:id="352" w:name="_Toc134852027"/>
      <w:bookmarkStart w:id="353" w:name="_Toc135666633"/>
      <w:bookmarkStart w:id="354" w:name="_Toc187729585"/>
      <w:bookmarkStart w:id="355" w:name="_Toc148780243"/>
      <w:bookmarkStart w:id="356" w:name="_Toc148954864"/>
      <w:bookmarkStart w:id="357" w:name="_Toc135666820"/>
      <w:bookmarkStart w:id="358" w:name="_Toc148413305"/>
      <w:bookmarkStart w:id="359" w:name="_Toc148778162"/>
      <w:bookmarkStart w:id="360" w:name="_Toc157847825"/>
      <w:bookmarkStart w:id="361" w:name="_Toc163530307"/>
      <w:bookmarkStart w:id="362" w:name="_Toc148329806"/>
      <w:bookmarkStart w:id="363" w:name="_Toc98817939"/>
      <w:bookmarkStart w:id="364" w:name="_Toc143658460"/>
      <w:r>
        <w:rPr>
          <w:rFonts w:hint="eastAsia" w:ascii="宋体" w:hAnsi="宋体"/>
          <w:b/>
          <w:szCs w:val="21"/>
        </w:rPr>
        <w:t>22．开标</w:t>
      </w:r>
      <w:bookmarkEnd w:id="346"/>
      <w:bookmarkEnd w:id="347"/>
      <w:bookmarkEnd w:id="348"/>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Pr>
        <w:spacing w:line="360" w:lineRule="auto"/>
        <w:ind w:firstLine="420" w:firstLineChars="200"/>
        <w:rPr>
          <w:rFonts w:ascii="宋体" w:hAnsi="宋体"/>
          <w:szCs w:val="21"/>
        </w:rPr>
      </w:pPr>
      <w:bookmarkStart w:id="365" w:name="_Toc201401581"/>
      <w:bookmarkStart w:id="366" w:name="_Toc201401389"/>
      <w:bookmarkStart w:id="367" w:name="_Toc201997842"/>
      <w:r>
        <w:rPr>
          <w:rFonts w:hint="eastAsia" w:ascii="宋体" w:hAnsi="宋体"/>
          <w:szCs w:val="21"/>
        </w:rPr>
        <w:t>22.1 采购人将按“前附表”规定的时间、地点进行开标。</w:t>
      </w:r>
      <w:bookmarkEnd w:id="365"/>
      <w:bookmarkEnd w:id="366"/>
      <w:bookmarkEnd w:id="367"/>
    </w:p>
    <w:p>
      <w:pPr>
        <w:spacing w:line="360" w:lineRule="auto"/>
        <w:ind w:firstLine="420" w:firstLineChars="200"/>
        <w:rPr>
          <w:rFonts w:ascii="宋体" w:hAnsi="宋体"/>
          <w:szCs w:val="21"/>
        </w:rPr>
      </w:pPr>
      <w:r>
        <w:rPr>
          <w:rFonts w:hint="eastAsia" w:ascii="宋体" w:hAnsi="宋体"/>
          <w:szCs w:val="21"/>
        </w:rPr>
        <w:t>22.</w:t>
      </w:r>
      <w:r>
        <w:rPr>
          <w:rFonts w:ascii="宋体" w:hAnsi="宋体"/>
          <w:szCs w:val="21"/>
        </w:rPr>
        <w:t>2</w:t>
      </w:r>
      <w:r>
        <w:rPr>
          <w:rFonts w:hint="eastAsia" w:ascii="宋体" w:hAnsi="宋体"/>
          <w:szCs w:val="21"/>
        </w:rPr>
        <w:t xml:space="preserve"> 除非招标文件另有说明，投标人所递交的投标文件将不予退还。</w:t>
      </w:r>
    </w:p>
    <w:p>
      <w:pPr>
        <w:spacing w:line="360" w:lineRule="auto"/>
        <w:rPr>
          <w:rFonts w:ascii="宋体" w:hAnsi="宋体"/>
          <w:b/>
          <w:szCs w:val="21"/>
        </w:rPr>
      </w:pPr>
      <w:bookmarkStart w:id="368" w:name="_Toc201997848"/>
      <w:bookmarkStart w:id="369" w:name="_Toc201401395"/>
      <w:bookmarkStart w:id="370" w:name="_Toc201401587"/>
      <w:r>
        <w:rPr>
          <w:rFonts w:hint="eastAsia" w:ascii="宋体" w:hAnsi="宋体"/>
          <w:b/>
          <w:szCs w:val="21"/>
        </w:rPr>
        <w:t>23．投标文件的受理</w:t>
      </w:r>
      <w:bookmarkEnd w:id="368"/>
      <w:bookmarkEnd w:id="369"/>
      <w:bookmarkEnd w:id="370"/>
    </w:p>
    <w:p>
      <w:pPr>
        <w:spacing w:line="360" w:lineRule="auto"/>
        <w:ind w:firstLine="420" w:firstLineChars="200"/>
        <w:rPr>
          <w:rFonts w:ascii="宋体" w:hAnsi="宋体"/>
          <w:szCs w:val="21"/>
        </w:rPr>
      </w:pPr>
      <w:r>
        <w:rPr>
          <w:rFonts w:hint="eastAsia" w:ascii="宋体" w:hAnsi="宋体"/>
          <w:szCs w:val="21"/>
        </w:rPr>
        <w:t>23.1当投标文件有下列情形之一的，采购人将不予受理，不予送交评审委员会评审：</w:t>
      </w:r>
    </w:p>
    <w:p>
      <w:pPr>
        <w:spacing w:line="360" w:lineRule="auto"/>
        <w:ind w:firstLine="420" w:firstLineChars="200"/>
        <w:rPr>
          <w:rFonts w:ascii="宋体" w:hAnsi="宋体"/>
          <w:szCs w:val="21"/>
        </w:rPr>
      </w:pPr>
      <w:r>
        <w:rPr>
          <w:rFonts w:hint="eastAsia" w:ascii="宋体" w:hAnsi="宋体"/>
          <w:szCs w:val="21"/>
        </w:rPr>
        <w:t>23.1.1在投标截止时间以后</w:t>
      </w:r>
      <w:r>
        <w:rPr>
          <w:rFonts w:ascii="宋体" w:hAnsi="宋体"/>
          <w:szCs w:val="21"/>
        </w:rPr>
        <w:t>送达的</w:t>
      </w:r>
      <w:r>
        <w:rPr>
          <w:rFonts w:hint="eastAsia" w:ascii="宋体" w:hAnsi="宋体"/>
          <w:szCs w:val="21"/>
        </w:rPr>
        <w:t>，</w:t>
      </w:r>
      <w:r>
        <w:rPr>
          <w:rFonts w:ascii="宋体" w:hAnsi="宋体"/>
          <w:szCs w:val="21"/>
        </w:rPr>
        <w:t>或者未送达指定地点的</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23.1.2投标文件未按招标文件的规定密封、标记的；</w:t>
      </w:r>
    </w:p>
    <w:p>
      <w:pPr>
        <w:spacing w:line="360" w:lineRule="auto"/>
        <w:ind w:firstLine="420" w:firstLineChars="200"/>
        <w:rPr>
          <w:rFonts w:ascii="宋体" w:hAnsi="宋体"/>
          <w:szCs w:val="21"/>
        </w:rPr>
      </w:pPr>
      <w:r>
        <w:rPr>
          <w:rFonts w:hint="eastAsia" w:ascii="宋体" w:hAnsi="宋体"/>
          <w:szCs w:val="21"/>
        </w:rPr>
        <w:t>23.1.3投标人不具备招标文件所列的资格要求，或未提交相应的资格证明材料的；</w:t>
      </w:r>
    </w:p>
    <w:p>
      <w:pPr>
        <w:spacing w:line="360" w:lineRule="auto"/>
        <w:ind w:firstLine="420" w:firstLineChars="200"/>
        <w:rPr>
          <w:rFonts w:ascii="宋体" w:hAnsi="宋体"/>
          <w:szCs w:val="21"/>
        </w:rPr>
      </w:pPr>
      <w:r>
        <w:rPr>
          <w:rFonts w:hint="eastAsia" w:ascii="宋体" w:hAnsi="宋体"/>
          <w:szCs w:val="21"/>
        </w:rPr>
        <w:t>23.1.</w:t>
      </w:r>
      <w:r>
        <w:rPr>
          <w:rFonts w:ascii="宋体" w:hAnsi="宋体"/>
          <w:szCs w:val="21"/>
        </w:rPr>
        <w:t>4</w:t>
      </w:r>
      <w:r>
        <w:rPr>
          <w:rFonts w:hint="eastAsia" w:ascii="宋体" w:hAnsi="宋体"/>
          <w:szCs w:val="21"/>
        </w:rPr>
        <w:t>投标文件载明的投标报价或服务期超出招标文件规定的。</w:t>
      </w:r>
    </w:p>
    <w:p>
      <w:pPr>
        <w:pStyle w:val="4"/>
        <w:spacing w:line="360" w:lineRule="auto"/>
        <w:jc w:val="center"/>
        <w:rPr>
          <w:rFonts w:ascii="宋体" w:hAnsi="宋体"/>
          <w:b w:val="0"/>
          <w:sz w:val="30"/>
          <w:szCs w:val="30"/>
        </w:rPr>
      </w:pPr>
      <w:bookmarkStart w:id="371" w:name="_Toc201401588"/>
      <w:bookmarkStart w:id="372" w:name="_Toc201997849"/>
      <w:bookmarkStart w:id="373" w:name="_Toc51235183"/>
      <w:r>
        <w:rPr>
          <w:rFonts w:hint="eastAsia" w:ascii="宋体" w:hAnsi="宋体"/>
          <w:b w:val="0"/>
          <w:sz w:val="30"/>
          <w:szCs w:val="30"/>
        </w:rPr>
        <w:t>六、评标</w:t>
      </w:r>
      <w:bookmarkEnd w:id="371"/>
      <w:bookmarkEnd w:id="372"/>
      <w:r>
        <w:rPr>
          <w:rFonts w:hint="eastAsia" w:ascii="宋体" w:hAnsi="宋体"/>
          <w:b w:val="0"/>
          <w:sz w:val="30"/>
          <w:szCs w:val="30"/>
        </w:rPr>
        <w:t>与定标</w:t>
      </w:r>
      <w:bookmarkEnd w:id="373"/>
    </w:p>
    <w:p>
      <w:pPr>
        <w:spacing w:line="360" w:lineRule="auto"/>
        <w:rPr>
          <w:rFonts w:ascii="宋体" w:hAnsi="宋体"/>
          <w:b/>
          <w:szCs w:val="21"/>
        </w:rPr>
      </w:pPr>
      <w:bookmarkStart w:id="374" w:name="_Toc201401397"/>
      <w:bookmarkStart w:id="375" w:name="_Toc201997850"/>
      <w:bookmarkStart w:id="376" w:name="_Toc201401589"/>
      <w:bookmarkStart w:id="377" w:name="_Toc188869300"/>
      <w:r>
        <w:rPr>
          <w:rFonts w:hint="eastAsia" w:ascii="宋体" w:hAnsi="宋体"/>
          <w:b/>
          <w:szCs w:val="21"/>
        </w:rPr>
        <w:t>24．评审委员会和评标</w:t>
      </w:r>
      <w:bookmarkEnd w:id="374"/>
      <w:bookmarkEnd w:id="375"/>
      <w:bookmarkEnd w:id="376"/>
    </w:p>
    <w:p>
      <w:pPr>
        <w:spacing w:line="360" w:lineRule="auto"/>
        <w:ind w:firstLine="420" w:firstLineChars="200"/>
        <w:rPr>
          <w:rFonts w:ascii="宋体" w:hAnsi="宋体"/>
          <w:kern w:val="0"/>
          <w:szCs w:val="21"/>
        </w:rPr>
      </w:pPr>
      <w:r>
        <w:rPr>
          <w:rFonts w:hint="eastAsia" w:ascii="宋体" w:hAnsi="宋体"/>
          <w:kern w:val="0"/>
          <w:szCs w:val="21"/>
        </w:rPr>
        <w:t>24.1 评审委员会的组建：采购人依法组建评审委员会，负责本项目的评标活动。</w:t>
      </w:r>
    </w:p>
    <w:p>
      <w:pPr>
        <w:spacing w:line="360" w:lineRule="auto"/>
        <w:ind w:firstLine="420" w:firstLineChars="200"/>
        <w:rPr>
          <w:rFonts w:ascii="宋体" w:hAnsi="宋体"/>
          <w:kern w:val="0"/>
          <w:szCs w:val="21"/>
        </w:rPr>
      </w:pPr>
      <w:r>
        <w:rPr>
          <w:rFonts w:hint="eastAsia" w:ascii="宋体" w:hAnsi="宋体"/>
          <w:kern w:val="0"/>
          <w:szCs w:val="21"/>
        </w:rPr>
        <w:t>24.2 评审委员会应当认真研究并熟悉招标文件。</w:t>
      </w:r>
    </w:p>
    <w:p>
      <w:pPr>
        <w:spacing w:line="360" w:lineRule="auto"/>
        <w:ind w:firstLine="420" w:firstLineChars="200"/>
        <w:rPr>
          <w:rFonts w:ascii="宋体" w:hAnsi="宋体"/>
          <w:kern w:val="0"/>
          <w:szCs w:val="21"/>
        </w:rPr>
      </w:pPr>
      <w:r>
        <w:rPr>
          <w:rFonts w:hint="eastAsia" w:ascii="宋体" w:hAnsi="宋体"/>
          <w:kern w:val="0"/>
          <w:szCs w:val="21"/>
        </w:rPr>
        <w:t>24.3评审委员会的职责：评审委员会应根据招标文件规定的评标方法和评分因素，对投标文件进行系统地评审，并向采购人推荐候选中标人，或根据采购人的授权直接确定中标人。</w:t>
      </w:r>
    </w:p>
    <w:p>
      <w:pPr>
        <w:spacing w:line="360" w:lineRule="auto"/>
        <w:ind w:firstLine="420" w:firstLineChars="200"/>
        <w:rPr>
          <w:rFonts w:ascii="宋体" w:hAnsi="宋体"/>
          <w:kern w:val="0"/>
          <w:szCs w:val="21"/>
        </w:rPr>
      </w:pPr>
      <w:r>
        <w:rPr>
          <w:rFonts w:hint="eastAsia" w:ascii="宋体" w:hAnsi="宋体"/>
          <w:kern w:val="0"/>
          <w:szCs w:val="21"/>
        </w:rPr>
        <w:t>24.4</w:t>
      </w:r>
      <w:r>
        <w:rPr>
          <w:rFonts w:ascii="宋体" w:hAnsi="宋体"/>
          <w:kern w:val="0"/>
          <w:szCs w:val="21"/>
        </w:rPr>
        <w:t>评标活动</w:t>
      </w:r>
      <w:r>
        <w:rPr>
          <w:rFonts w:hint="eastAsia" w:ascii="宋体" w:hAnsi="宋体"/>
          <w:kern w:val="0"/>
          <w:szCs w:val="21"/>
        </w:rPr>
        <w:t>应</w:t>
      </w:r>
      <w:r>
        <w:rPr>
          <w:rFonts w:ascii="宋体" w:hAnsi="宋体"/>
          <w:kern w:val="0"/>
          <w:szCs w:val="21"/>
        </w:rPr>
        <w:t>遵循公正、公平、科学、择优的原则。</w:t>
      </w:r>
    </w:p>
    <w:p>
      <w:pPr>
        <w:spacing w:line="360" w:lineRule="auto"/>
        <w:rPr>
          <w:rFonts w:ascii="宋体" w:hAnsi="宋体"/>
          <w:b/>
          <w:szCs w:val="21"/>
        </w:rPr>
      </w:pPr>
      <w:bookmarkStart w:id="378" w:name="_Toc201401398"/>
      <w:bookmarkStart w:id="379" w:name="_Toc201997851"/>
      <w:bookmarkStart w:id="380" w:name="_Toc201401590"/>
      <w:r>
        <w:rPr>
          <w:rFonts w:hint="eastAsia" w:ascii="宋体" w:hAnsi="宋体"/>
          <w:b/>
          <w:szCs w:val="21"/>
        </w:rPr>
        <w:t>25．投标文件的初步评审</w:t>
      </w:r>
      <w:bookmarkEnd w:id="378"/>
      <w:bookmarkEnd w:id="379"/>
      <w:bookmarkEnd w:id="380"/>
    </w:p>
    <w:p>
      <w:pPr>
        <w:spacing w:line="360" w:lineRule="auto"/>
        <w:ind w:firstLine="420" w:firstLineChars="200"/>
        <w:rPr>
          <w:rFonts w:ascii="宋体" w:hAnsi="宋体"/>
          <w:szCs w:val="21"/>
        </w:rPr>
      </w:pPr>
      <w:r>
        <w:rPr>
          <w:rFonts w:hint="eastAsia" w:ascii="宋体" w:hAnsi="宋体"/>
          <w:kern w:val="0"/>
          <w:szCs w:val="21"/>
        </w:rPr>
        <w:t xml:space="preserve">25.1 </w:t>
      </w:r>
      <w:r>
        <w:rPr>
          <w:rFonts w:hint="eastAsia" w:ascii="宋体" w:hAnsi="宋体"/>
          <w:szCs w:val="21"/>
        </w:rPr>
        <w:t>由评审委员会进行投标文件的初步评审。</w:t>
      </w:r>
      <w:r>
        <w:rPr>
          <w:rFonts w:ascii="宋体" w:hAnsi="宋体"/>
          <w:szCs w:val="21"/>
        </w:rPr>
        <w:t>投标文件有下列情形之一的，</w:t>
      </w:r>
      <w:r>
        <w:rPr>
          <w:rFonts w:hint="eastAsia" w:ascii="宋体" w:hAnsi="宋体"/>
          <w:szCs w:val="21"/>
        </w:rPr>
        <w:t>初步评审不通过，按废标处理：</w:t>
      </w:r>
    </w:p>
    <w:p>
      <w:pPr>
        <w:spacing w:line="360" w:lineRule="auto"/>
        <w:ind w:firstLine="420" w:firstLineChars="200"/>
        <w:rPr>
          <w:rFonts w:ascii="宋体" w:hAnsi="宋体"/>
          <w:szCs w:val="21"/>
        </w:rPr>
      </w:pPr>
      <w:r>
        <w:rPr>
          <w:rFonts w:hint="eastAsia" w:ascii="宋体" w:hAnsi="宋体"/>
          <w:szCs w:val="21"/>
        </w:rPr>
        <w:t>25.1.1 投标文件份数不满足招标文件要求</w:t>
      </w:r>
      <w:r>
        <w:rPr>
          <w:rFonts w:hint="eastAsia" w:hAnsi="宋体"/>
          <w:bCs/>
          <w:szCs w:val="21"/>
        </w:rPr>
        <w:t>或未标识正副本</w:t>
      </w:r>
      <w:r>
        <w:rPr>
          <w:rFonts w:hint="eastAsia" w:ascii="宋体" w:hAnsi="宋体"/>
          <w:szCs w:val="21"/>
        </w:rPr>
        <w:t>的；</w:t>
      </w:r>
    </w:p>
    <w:p>
      <w:pPr>
        <w:spacing w:line="360" w:lineRule="auto"/>
        <w:ind w:firstLine="420" w:firstLineChars="200"/>
        <w:rPr>
          <w:rFonts w:ascii="宋体" w:hAnsi="宋体"/>
          <w:szCs w:val="21"/>
        </w:rPr>
      </w:pPr>
      <w:r>
        <w:rPr>
          <w:rFonts w:hint="eastAsia" w:ascii="宋体" w:hAnsi="宋体"/>
          <w:szCs w:val="21"/>
        </w:rPr>
        <w:t xml:space="preserve">25.1.2 </w:t>
      </w:r>
      <w:r>
        <w:rPr>
          <w:rFonts w:hint="eastAsia" w:ascii="宋体" w:hAnsi="宋体"/>
          <w:bCs/>
          <w:szCs w:val="21"/>
        </w:rPr>
        <w:t>投标文件的有关内容未按招标文件规定加盖投标人公章的或未经法定代表人或其授权委托人签字的或由其授权委托人签字但未随投标文件一起提供“法定代表人授权委托书”和“法定代表人资格证明书”原件的；</w:t>
      </w:r>
    </w:p>
    <w:p>
      <w:pPr>
        <w:spacing w:line="360" w:lineRule="auto"/>
        <w:ind w:firstLine="420" w:firstLineChars="200"/>
        <w:rPr>
          <w:rFonts w:ascii="宋体" w:hAnsi="宋体"/>
          <w:szCs w:val="21"/>
        </w:rPr>
      </w:pPr>
      <w:r>
        <w:rPr>
          <w:rFonts w:hint="eastAsia" w:ascii="宋体" w:hAnsi="宋体"/>
          <w:szCs w:val="21"/>
        </w:rPr>
        <w:t>25.1.3 同一项目出现两个及以上报价的；</w:t>
      </w:r>
    </w:p>
    <w:p>
      <w:pPr>
        <w:spacing w:line="360" w:lineRule="auto"/>
        <w:ind w:firstLine="420" w:firstLineChars="200"/>
        <w:rPr>
          <w:rFonts w:ascii="宋体" w:hAnsi="宋体"/>
          <w:szCs w:val="21"/>
        </w:rPr>
      </w:pPr>
      <w:r>
        <w:rPr>
          <w:rFonts w:hint="eastAsia" w:ascii="宋体" w:hAnsi="宋体"/>
          <w:szCs w:val="21"/>
        </w:rPr>
        <w:t>25.1.4投标人提供两套及以上投标方案的（招标文件允许提交的除外）。</w:t>
      </w:r>
    </w:p>
    <w:p>
      <w:pPr>
        <w:spacing w:line="360" w:lineRule="auto"/>
        <w:rPr>
          <w:rFonts w:ascii="宋体" w:hAnsi="宋体"/>
          <w:b/>
          <w:bCs/>
          <w:szCs w:val="21"/>
        </w:rPr>
      </w:pPr>
      <w:r>
        <w:rPr>
          <w:rFonts w:hint="eastAsia" w:ascii="宋体" w:hAnsi="宋体"/>
          <w:b/>
          <w:szCs w:val="21"/>
        </w:rPr>
        <w:t>26</w:t>
      </w:r>
      <w:r>
        <w:rPr>
          <w:rFonts w:hint="eastAsia" w:ascii="宋体" w:hAnsi="宋体"/>
          <w:b/>
          <w:bCs/>
          <w:szCs w:val="21"/>
        </w:rPr>
        <w:t>.投标文件的详细评审</w:t>
      </w:r>
    </w:p>
    <w:p>
      <w:pPr>
        <w:spacing w:line="360" w:lineRule="auto"/>
        <w:ind w:firstLine="420" w:firstLineChars="200"/>
        <w:rPr>
          <w:rFonts w:ascii="宋体" w:hAnsi="宋体"/>
          <w:bCs/>
          <w:szCs w:val="21"/>
        </w:rPr>
      </w:pPr>
      <w:r>
        <w:rPr>
          <w:rFonts w:hint="eastAsia" w:ascii="宋体" w:hAnsi="宋体"/>
          <w:bCs/>
          <w:szCs w:val="21"/>
        </w:rPr>
        <w:t>26.1评审委员会应遵守《深圳经济特区政府采购条例》及《深圳市政府采购评审委员会和评标方法暂行规定》，对通过初步评审的投标文件进行综合比较与评价。</w:t>
      </w:r>
    </w:p>
    <w:p>
      <w:pPr>
        <w:spacing w:line="360" w:lineRule="auto"/>
        <w:ind w:firstLine="420" w:firstLineChars="200"/>
        <w:rPr>
          <w:rFonts w:ascii="宋体" w:hAnsi="宋体"/>
          <w:szCs w:val="21"/>
        </w:rPr>
      </w:pPr>
      <w:r>
        <w:rPr>
          <w:rFonts w:hint="eastAsia" w:ascii="宋体" w:hAnsi="宋体"/>
          <w:szCs w:val="21"/>
        </w:rPr>
        <w:t>26.2评审委员会应根据招标文件规定，对投标文件中的每项评审内容进行评审。</w:t>
      </w:r>
    </w:p>
    <w:p>
      <w:pPr>
        <w:spacing w:line="360" w:lineRule="auto"/>
        <w:ind w:firstLine="420" w:firstLineChars="200"/>
        <w:rPr>
          <w:rFonts w:ascii="宋体" w:hAnsi="宋体"/>
          <w:szCs w:val="21"/>
        </w:rPr>
      </w:pPr>
      <w:r>
        <w:rPr>
          <w:rFonts w:hint="eastAsia" w:ascii="宋体" w:hAnsi="宋体"/>
          <w:bCs/>
          <w:szCs w:val="21"/>
        </w:rPr>
        <w:t>26.3</w:t>
      </w:r>
      <w:r>
        <w:rPr>
          <w:rFonts w:hint="eastAsia" w:ascii="宋体" w:hAnsi="宋体"/>
          <w:szCs w:val="21"/>
        </w:rPr>
        <w:t>投标文件出现偏离的（分为重大偏离和细微偏离），评审委员会应逐项列出偏离项，并做好记录。</w:t>
      </w:r>
    </w:p>
    <w:p>
      <w:pPr>
        <w:spacing w:line="360" w:lineRule="auto"/>
        <w:rPr>
          <w:rFonts w:ascii="宋体" w:hAnsi="宋体"/>
          <w:b/>
          <w:bCs/>
          <w:szCs w:val="21"/>
        </w:rPr>
      </w:pPr>
      <w:r>
        <w:rPr>
          <w:rFonts w:hint="eastAsia" w:ascii="宋体" w:hAnsi="宋体"/>
          <w:b/>
          <w:szCs w:val="21"/>
        </w:rPr>
        <w:t>27.</w:t>
      </w:r>
      <w:r>
        <w:rPr>
          <w:rFonts w:ascii="宋体" w:hAnsi="宋体"/>
          <w:b/>
          <w:bCs/>
          <w:szCs w:val="21"/>
        </w:rPr>
        <w:t>投标文件</w:t>
      </w:r>
      <w:r>
        <w:rPr>
          <w:rFonts w:hint="eastAsia" w:ascii="宋体" w:hAnsi="宋体"/>
          <w:b/>
          <w:bCs/>
          <w:szCs w:val="21"/>
        </w:rPr>
        <w:t>的重大偏离</w:t>
      </w:r>
    </w:p>
    <w:p>
      <w:pPr>
        <w:spacing w:line="360" w:lineRule="auto"/>
        <w:ind w:firstLine="420" w:firstLineChars="200"/>
        <w:rPr>
          <w:rFonts w:ascii="宋体" w:hAnsi="宋体"/>
          <w:bCs/>
          <w:kern w:val="10"/>
          <w:szCs w:val="21"/>
        </w:rPr>
      </w:pPr>
      <w:r>
        <w:rPr>
          <w:rFonts w:hint="eastAsia" w:ascii="宋体" w:hAnsi="宋体"/>
          <w:bCs/>
          <w:kern w:val="10"/>
          <w:szCs w:val="21"/>
        </w:rPr>
        <w:t>27.1投标文件存在重大偏离的，应作废标处理。下列情况属于重大偏离：</w:t>
      </w:r>
    </w:p>
    <w:p>
      <w:pPr>
        <w:spacing w:line="360" w:lineRule="auto"/>
        <w:ind w:firstLine="420" w:firstLineChars="200"/>
        <w:rPr>
          <w:rFonts w:ascii="宋体" w:hAnsi="宋体"/>
          <w:bCs/>
          <w:kern w:val="10"/>
          <w:szCs w:val="21"/>
        </w:rPr>
      </w:pPr>
      <w:r>
        <w:rPr>
          <w:rFonts w:hint="eastAsia" w:ascii="宋体" w:hAnsi="宋体"/>
          <w:bCs/>
          <w:kern w:val="10"/>
          <w:szCs w:val="21"/>
        </w:rPr>
        <w:t>27.1.1投标人以他人的名义投标或出现下列串通投标、弄虚作假投标嫌疑的：</w:t>
      </w:r>
    </w:p>
    <w:p>
      <w:pPr>
        <w:spacing w:line="360" w:lineRule="auto"/>
        <w:ind w:firstLine="420" w:firstLineChars="200"/>
        <w:rPr>
          <w:rFonts w:ascii="宋体" w:hAnsi="宋体"/>
          <w:bCs/>
          <w:kern w:val="10"/>
          <w:szCs w:val="21"/>
        </w:rPr>
      </w:pPr>
      <w:r>
        <w:rPr>
          <w:rFonts w:hint="eastAsia" w:ascii="宋体" w:hAnsi="宋体"/>
          <w:bCs/>
          <w:kern w:val="10"/>
          <w:szCs w:val="21"/>
        </w:rPr>
        <w:t>27.1.1.1</w:t>
      </w:r>
      <w:r>
        <w:rPr>
          <w:rFonts w:ascii="宋体" w:hAnsi="宋体"/>
          <w:bCs/>
          <w:kern w:val="10"/>
          <w:szCs w:val="21"/>
        </w:rPr>
        <w:t>不同投标人的投标文件内容存在非正常一致</w:t>
      </w:r>
      <w:r>
        <w:rPr>
          <w:rFonts w:hint="eastAsia" w:ascii="宋体" w:hAnsi="宋体"/>
          <w:bCs/>
          <w:kern w:val="10"/>
          <w:szCs w:val="21"/>
        </w:rPr>
        <w:t>的</w:t>
      </w:r>
      <w:r>
        <w:rPr>
          <w:rFonts w:ascii="宋体" w:hAnsi="宋体"/>
          <w:bCs/>
          <w:kern w:val="10"/>
          <w:szCs w:val="21"/>
        </w:rPr>
        <w:t>；</w:t>
      </w:r>
    </w:p>
    <w:p>
      <w:pPr>
        <w:spacing w:line="360" w:lineRule="auto"/>
        <w:ind w:firstLine="420" w:firstLineChars="200"/>
        <w:rPr>
          <w:rFonts w:ascii="宋体" w:hAnsi="宋体"/>
          <w:bCs/>
          <w:kern w:val="10"/>
          <w:szCs w:val="21"/>
        </w:rPr>
      </w:pPr>
      <w:r>
        <w:rPr>
          <w:rFonts w:hint="eastAsia" w:ascii="宋体" w:hAnsi="宋体"/>
          <w:bCs/>
          <w:kern w:val="10"/>
          <w:szCs w:val="21"/>
        </w:rPr>
        <w:t>27.1.1.2</w:t>
      </w:r>
      <w:r>
        <w:rPr>
          <w:rFonts w:ascii="宋体" w:hAnsi="宋体"/>
          <w:bCs/>
          <w:kern w:val="10"/>
          <w:szCs w:val="21"/>
        </w:rPr>
        <w:t>不同投标人的投标文件错漏之处一致的；</w:t>
      </w:r>
    </w:p>
    <w:p>
      <w:pPr>
        <w:spacing w:line="360" w:lineRule="auto"/>
        <w:ind w:firstLine="420" w:firstLineChars="200"/>
        <w:rPr>
          <w:rFonts w:ascii="宋体" w:hAnsi="宋体"/>
          <w:bCs/>
          <w:kern w:val="10"/>
          <w:szCs w:val="21"/>
        </w:rPr>
      </w:pPr>
      <w:r>
        <w:rPr>
          <w:rFonts w:hint="eastAsia" w:ascii="宋体" w:hAnsi="宋体"/>
          <w:bCs/>
          <w:kern w:val="10"/>
          <w:szCs w:val="21"/>
        </w:rPr>
        <w:t>27.1.1.3</w:t>
      </w:r>
      <w:r>
        <w:rPr>
          <w:rFonts w:ascii="宋体" w:hAnsi="宋体"/>
          <w:bCs/>
          <w:kern w:val="10"/>
          <w:szCs w:val="21"/>
        </w:rPr>
        <w:t>不同投标人的投标报价或者报价组成异常一致或者呈规律性变化的；</w:t>
      </w:r>
    </w:p>
    <w:p>
      <w:pPr>
        <w:spacing w:line="360" w:lineRule="auto"/>
        <w:ind w:firstLine="420" w:firstLineChars="200"/>
        <w:rPr>
          <w:rFonts w:ascii="宋体" w:hAnsi="宋体"/>
          <w:bCs/>
          <w:kern w:val="10"/>
          <w:szCs w:val="21"/>
        </w:rPr>
      </w:pPr>
      <w:r>
        <w:rPr>
          <w:rFonts w:hint="eastAsia" w:ascii="宋体" w:hAnsi="宋体"/>
          <w:bCs/>
          <w:kern w:val="10"/>
          <w:szCs w:val="21"/>
        </w:rPr>
        <w:t>27.1.1.4不同投标人的投标文件由同一单位或者同一人编制，或者由同一人分阶段参与编制的；</w:t>
      </w:r>
    </w:p>
    <w:p>
      <w:pPr>
        <w:spacing w:line="360" w:lineRule="auto"/>
        <w:ind w:firstLine="420" w:firstLineChars="200"/>
        <w:rPr>
          <w:rFonts w:ascii="宋体" w:hAnsi="宋体"/>
          <w:bCs/>
          <w:kern w:val="10"/>
          <w:szCs w:val="21"/>
        </w:rPr>
      </w:pPr>
      <w:r>
        <w:rPr>
          <w:rFonts w:hint="eastAsia" w:ascii="宋体" w:hAnsi="宋体"/>
          <w:bCs/>
          <w:kern w:val="10"/>
          <w:szCs w:val="21"/>
        </w:rPr>
        <w:t>27.1.1.5</w:t>
      </w:r>
      <w:r>
        <w:rPr>
          <w:rFonts w:ascii="宋体" w:hAnsi="宋体"/>
          <w:bCs/>
          <w:kern w:val="10"/>
          <w:szCs w:val="21"/>
        </w:rPr>
        <w:t>不同投标人的投标文件载明的</w:t>
      </w:r>
      <w:r>
        <w:rPr>
          <w:rFonts w:hint="eastAsia" w:ascii="宋体" w:hAnsi="宋体"/>
          <w:bCs/>
          <w:kern w:val="10"/>
          <w:szCs w:val="21"/>
        </w:rPr>
        <w:t>项目负责人与主要技术人员</w:t>
      </w:r>
      <w:r>
        <w:rPr>
          <w:rFonts w:ascii="宋体" w:hAnsi="宋体"/>
          <w:bCs/>
          <w:kern w:val="10"/>
          <w:szCs w:val="21"/>
        </w:rPr>
        <w:t>出现同一人的；</w:t>
      </w:r>
    </w:p>
    <w:p>
      <w:pPr>
        <w:spacing w:line="360" w:lineRule="auto"/>
        <w:ind w:firstLine="420" w:firstLineChars="200"/>
        <w:rPr>
          <w:rFonts w:ascii="宋体" w:hAnsi="宋体"/>
          <w:bCs/>
          <w:kern w:val="10"/>
          <w:szCs w:val="21"/>
        </w:rPr>
      </w:pPr>
      <w:r>
        <w:rPr>
          <w:rFonts w:hint="eastAsia" w:ascii="宋体" w:hAnsi="宋体"/>
          <w:bCs/>
          <w:kern w:val="10"/>
          <w:szCs w:val="21"/>
        </w:rPr>
        <w:t>27.1.1.6</w:t>
      </w:r>
      <w:r>
        <w:rPr>
          <w:rFonts w:ascii="宋体" w:hAnsi="宋体"/>
          <w:bCs/>
          <w:kern w:val="10"/>
          <w:szCs w:val="21"/>
        </w:rPr>
        <w:t>不同投标人的投标文件相互混装的；</w:t>
      </w:r>
    </w:p>
    <w:p>
      <w:pPr>
        <w:spacing w:line="360" w:lineRule="auto"/>
        <w:ind w:firstLine="420" w:firstLineChars="200"/>
        <w:rPr>
          <w:rFonts w:ascii="宋体" w:hAnsi="宋体"/>
          <w:bCs/>
          <w:kern w:val="10"/>
          <w:szCs w:val="21"/>
        </w:rPr>
      </w:pPr>
      <w:r>
        <w:rPr>
          <w:rFonts w:hint="eastAsia" w:ascii="宋体" w:hAnsi="宋体"/>
          <w:bCs/>
          <w:kern w:val="10"/>
          <w:szCs w:val="21"/>
        </w:rPr>
        <w:t>27.1.1.7由同一单位工作人员为两家以上（含两家）投标人进行同一项投标活动的；</w:t>
      </w:r>
    </w:p>
    <w:p>
      <w:pPr>
        <w:spacing w:line="360" w:lineRule="auto"/>
        <w:ind w:firstLine="420" w:firstLineChars="200"/>
        <w:rPr>
          <w:rFonts w:ascii="宋体" w:hAnsi="宋体"/>
          <w:bCs/>
          <w:kern w:val="10"/>
          <w:szCs w:val="21"/>
        </w:rPr>
      </w:pPr>
      <w:r>
        <w:rPr>
          <w:rFonts w:hint="eastAsia" w:ascii="宋体" w:hAnsi="宋体"/>
          <w:bCs/>
          <w:kern w:val="10"/>
          <w:szCs w:val="21"/>
        </w:rPr>
        <w:t>27.1.1.8不同投标人聘请同一人为其投标提供技术或者经济咨询服务的，但招标项目本身要求采用专有技术的除外；</w:t>
      </w:r>
    </w:p>
    <w:p>
      <w:pPr>
        <w:spacing w:line="360" w:lineRule="auto"/>
        <w:ind w:firstLine="420" w:firstLineChars="200"/>
        <w:rPr>
          <w:rFonts w:ascii="宋体" w:hAnsi="宋体"/>
          <w:bCs/>
          <w:kern w:val="10"/>
          <w:szCs w:val="21"/>
        </w:rPr>
      </w:pPr>
      <w:r>
        <w:rPr>
          <w:rFonts w:hint="eastAsia" w:ascii="宋体" w:hAnsi="宋体"/>
          <w:bCs/>
          <w:kern w:val="10"/>
          <w:szCs w:val="21"/>
        </w:rPr>
        <w:t xml:space="preserve">27.1.1.9 </w:t>
      </w:r>
      <w:r>
        <w:rPr>
          <w:rFonts w:ascii="宋体" w:hAnsi="宋体"/>
          <w:bCs/>
          <w:kern w:val="10"/>
          <w:szCs w:val="21"/>
        </w:rPr>
        <w:t>评审委员会认定的其他串通投标情形。</w:t>
      </w:r>
    </w:p>
    <w:p>
      <w:pPr>
        <w:spacing w:line="360" w:lineRule="auto"/>
        <w:ind w:firstLine="420" w:firstLineChars="200"/>
        <w:rPr>
          <w:rFonts w:ascii="宋体" w:hAnsi="宋体"/>
          <w:szCs w:val="21"/>
        </w:rPr>
      </w:pPr>
      <w:r>
        <w:rPr>
          <w:rFonts w:hint="eastAsia" w:ascii="宋体" w:hAnsi="宋体"/>
          <w:bCs/>
          <w:szCs w:val="21"/>
        </w:rPr>
        <w:t xml:space="preserve">27.1.2 </w:t>
      </w:r>
      <w:r>
        <w:rPr>
          <w:rFonts w:hint="eastAsia" w:ascii="宋体" w:hAnsi="宋体"/>
          <w:szCs w:val="21"/>
        </w:rPr>
        <w:t>所投投标方案、服务内容在质量、技术、方案等方面没有实质性满足招标文件要求的。</w:t>
      </w:r>
    </w:p>
    <w:p>
      <w:pPr>
        <w:spacing w:line="360" w:lineRule="auto"/>
        <w:ind w:firstLine="420" w:firstLineChars="200"/>
        <w:rPr>
          <w:rFonts w:ascii="宋体" w:hAnsi="宋体"/>
          <w:szCs w:val="21"/>
        </w:rPr>
      </w:pPr>
      <w:r>
        <w:rPr>
          <w:rFonts w:hint="eastAsia" w:ascii="宋体" w:hAnsi="宋体"/>
          <w:bCs/>
          <w:szCs w:val="21"/>
        </w:rPr>
        <w:t>27.1.3 评审委员会根据招标文件的规定对投标文件的投标价格进行调整，投标人不接受调整方式，或不接受调整后的价格的。</w:t>
      </w:r>
    </w:p>
    <w:p>
      <w:pPr>
        <w:spacing w:line="360" w:lineRule="auto"/>
        <w:rPr>
          <w:rFonts w:ascii="宋体" w:hAnsi="宋体"/>
          <w:b/>
          <w:bCs/>
          <w:szCs w:val="21"/>
        </w:rPr>
      </w:pPr>
      <w:r>
        <w:rPr>
          <w:rFonts w:hint="eastAsia" w:ascii="宋体" w:hAnsi="宋体"/>
          <w:b/>
          <w:szCs w:val="21"/>
        </w:rPr>
        <w:t>28.投标文件的细微偏离</w:t>
      </w:r>
    </w:p>
    <w:p>
      <w:pPr>
        <w:spacing w:line="360" w:lineRule="auto"/>
        <w:ind w:firstLine="420" w:firstLineChars="200"/>
        <w:rPr>
          <w:rFonts w:ascii="宋体" w:hAnsi="宋体"/>
          <w:szCs w:val="21"/>
        </w:rPr>
      </w:pPr>
      <w:r>
        <w:rPr>
          <w:rFonts w:hint="eastAsia" w:ascii="宋体" w:hAnsi="宋体"/>
          <w:szCs w:val="21"/>
        </w:rPr>
        <w:t>28.1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spacing w:line="360" w:lineRule="auto"/>
        <w:rPr>
          <w:rFonts w:ascii="宋体" w:hAnsi="宋体"/>
          <w:b/>
          <w:szCs w:val="21"/>
        </w:rPr>
      </w:pPr>
      <w:bookmarkStart w:id="381" w:name="_Toc201997852"/>
      <w:bookmarkStart w:id="382" w:name="_Toc201401400"/>
      <w:bookmarkStart w:id="383" w:name="_Toc201401592"/>
      <w:r>
        <w:rPr>
          <w:rFonts w:hint="eastAsia" w:ascii="宋体" w:hAnsi="宋体"/>
          <w:b/>
          <w:szCs w:val="21"/>
        </w:rPr>
        <w:t>29.投标报价的调整方法</w:t>
      </w:r>
      <w:bookmarkEnd w:id="381"/>
      <w:bookmarkEnd w:id="382"/>
      <w:bookmarkEnd w:id="383"/>
    </w:p>
    <w:bookmarkEnd w:id="377"/>
    <w:p>
      <w:pPr>
        <w:spacing w:line="360" w:lineRule="auto"/>
        <w:ind w:firstLine="420" w:firstLineChars="200"/>
        <w:rPr>
          <w:rStyle w:val="156"/>
          <w:rFonts w:ascii="宋体" w:hAnsi="宋体"/>
          <w:szCs w:val="21"/>
        </w:rPr>
      </w:pPr>
      <w:r>
        <w:rPr>
          <w:rStyle w:val="156"/>
          <w:rFonts w:hint="eastAsia" w:ascii="宋体" w:hAnsi="宋体"/>
          <w:szCs w:val="21"/>
        </w:rPr>
        <w:t xml:space="preserve">29.1 </w:t>
      </w:r>
      <w:r>
        <w:rPr>
          <w:rStyle w:val="156"/>
          <w:rFonts w:ascii="宋体" w:hAnsi="宋体"/>
          <w:szCs w:val="21"/>
        </w:rPr>
        <w:t>投标报价有算术错误的，评审委员会按以下原则对投标报价进行修正</w:t>
      </w:r>
      <w:r>
        <w:rPr>
          <w:rFonts w:hint="eastAsia" w:ascii="宋体" w:hAnsi="宋体"/>
          <w:szCs w:val="21"/>
        </w:rPr>
        <w:t>（次序排先者优先）</w:t>
      </w:r>
      <w:r>
        <w:rPr>
          <w:rStyle w:val="156"/>
          <w:rFonts w:ascii="宋体" w:hAnsi="宋体"/>
          <w:szCs w:val="21"/>
        </w:rPr>
        <w:t>，修正的价格经投标人书面确认后具有约束力。投标人不接受修正价格的，</w:t>
      </w:r>
      <w:r>
        <w:rPr>
          <w:rStyle w:val="156"/>
          <w:rFonts w:hint="eastAsia" w:ascii="宋体" w:hAnsi="宋体"/>
          <w:szCs w:val="21"/>
        </w:rPr>
        <w:t>视为符合性审查不合格，其投标将被拒绝，且不影响评标工作：</w:t>
      </w:r>
    </w:p>
    <w:p>
      <w:pPr>
        <w:spacing w:line="360" w:lineRule="auto"/>
        <w:ind w:firstLine="420" w:firstLineChars="200"/>
        <w:rPr>
          <w:rStyle w:val="156"/>
          <w:rFonts w:ascii="宋体" w:hAnsi="宋体"/>
          <w:szCs w:val="21"/>
        </w:rPr>
      </w:pPr>
      <w:r>
        <w:rPr>
          <w:rStyle w:val="156"/>
          <w:rFonts w:hint="eastAsia" w:ascii="宋体" w:hAnsi="宋体"/>
          <w:szCs w:val="21"/>
        </w:rPr>
        <w:t>（1）若开标一览表中投标总价与投标分项报价表总价不一致，以开标一览表投标总价为准；</w:t>
      </w:r>
    </w:p>
    <w:p>
      <w:pPr>
        <w:spacing w:line="360" w:lineRule="auto"/>
        <w:ind w:firstLine="420" w:firstLineChars="200"/>
        <w:rPr>
          <w:rStyle w:val="156"/>
          <w:rFonts w:ascii="宋体" w:hAnsi="宋体"/>
          <w:szCs w:val="21"/>
        </w:rPr>
      </w:pPr>
      <w:r>
        <w:rPr>
          <w:rStyle w:val="156"/>
          <w:rFonts w:ascii="宋体" w:hAnsi="宋体"/>
          <w:szCs w:val="21"/>
        </w:rPr>
        <w:t>（</w:t>
      </w:r>
      <w:r>
        <w:rPr>
          <w:rStyle w:val="156"/>
          <w:rFonts w:hint="eastAsia" w:ascii="宋体" w:hAnsi="宋体"/>
          <w:szCs w:val="21"/>
        </w:rPr>
        <w:t>2</w:t>
      </w:r>
      <w:r>
        <w:rPr>
          <w:rStyle w:val="156"/>
          <w:rFonts w:ascii="宋体" w:hAnsi="宋体"/>
          <w:szCs w:val="21"/>
        </w:rPr>
        <w:t>）</w:t>
      </w:r>
      <w:r>
        <w:rPr>
          <w:rStyle w:val="156"/>
          <w:rFonts w:hint="eastAsia" w:ascii="宋体" w:hAnsi="宋体"/>
          <w:szCs w:val="21"/>
        </w:rPr>
        <w:t>若</w:t>
      </w:r>
      <w:r>
        <w:rPr>
          <w:rStyle w:val="156"/>
          <w:rFonts w:ascii="宋体" w:hAnsi="宋体"/>
          <w:szCs w:val="21"/>
        </w:rPr>
        <w:t>投标文件中的大写金额与小写金额不一致，以大写金额为准；</w:t>
      </w:r>
    </w:p>
    <w:p>
      <w:pPr>
        <w:spacing w:line="360" w:lineRule="auto"/>
        <w:ind w:firstLine="420" w:firstLineChars="200"/>
        <w:rPr>
          <w:rStyle w:val="156"/>
          <w:rFonts w:ascii="宋体" w:hAnsi="宋体"/>
          <w:szCs w:val="21"/>
        </w:rPr>
      </w:pPr>
      <w:r>
        <w:rPr>
          <w:rStyle w:val="156"/>
          <w:rFonts w:ascii="宋体" w:hAnsi="宋体"/>
          <w:szCs w:val="21"/>
        </w:rPr>
        <w:t>（</w:t>
      </w:r>
      <w:r>
        <w:rPr>
          <w:rStyle w:val="156"/>
          <w:rFonts w:hint="eastAsia" w:ascii="宋体" w:hAnsi="宋体"/>
          <w:szCs w:val="21"/>
        </w:rPr>
        <w:t>3</w:t>
      </w:r>
      <w:r>
        <w:rPr>
          <w:rStyle w:val="156"/>
          <w:rFonts w:ascii="宋体" w:hAnsi="宋体"/>
          <w:szCs w:val="21"/>
        </w:rPr>
        <w:t>）</w:t>
      </w:r>
      <w:r>
        <w:rPr>
          <w:rFonts w:hint="eastAsia" w:ascii="宋体" w:hAnsi="宋体"/>
          <w:szCs w:val="21"/>
        </w:rPr>
        <w:t>若投标文件分项报价表中的报价与总价不一致，以总价为准</w:t>
      </w:r>
      <w:r>
        <w:rPr>
          <w:rStyle w:val="156"/>
          <w:rFonts w:hint="eastAsia" w:ascii="宋体" w:hAnsi="宋体"/>
          <w:szCs w:val="21"/>
        </w:rPr>
        <w:t>；</w:t>
      </w:r>
    </w:p>
    <w:p>
      <w:pPr>
        <w:spacing w:line="360" w:lineRule="auto"/>
        <w:ind w:firstLine="420" w:firstLineChars="200"/>
        <w:rPr>
          <w:rStyle w:val="156"/>
          <w:rFonts w:ascii="宋体" w:hAnsi="宋体"/>
          <w:szCs w:val="21"/>
        </w:rPr>
      </w:pPr>
      <w:r>
        <w:rPr>
          <w:rStyle w:val="156"/>
          <w:rFonts w:hint="eastAsia" w:ascii="宋体" w:hAnsi="宋体"/>
          <w:szCs w:val="21"/>
        </w:rPr>
        <w:t>（4）</w:t>
      </w:r>
      <w:r>
        <w:rPr>
          <w:rFonts w:hint="eastAsia" w:ascii="宋体" w:hAnsi="宋体"/>
          <w:szCs w:val="21"/>
        </w:rPr>
        <w:t>单价金额小数点有明显错位的，应以总价为准，并修改单价</w:t>
      </w:r>
      <w:r>
        <w:rPr>
          <w:rStyle w:val="156"/>
          <w:rFonts w:hint="eastAsia" w:ascii="宋体" w:hAnsi="宋体"/>
          <w:szCs w:val="21"/>
        </w:rPr>
        <w:t>；</w:t>
      </w:r>
    </w:p>
    <w:p>
      <w:pPr>
        <w:spacing w:line="360" w:lineRule="auto"/>
        <w:ind w:firstLine="420" w:firstLineChars="200"/>
        <w:rPr>
          <w:rFonts w:ascii="宋体" w:hAnsi="宋体"/>
          <w:szCs w:val="21"/>
        </w:rPr>
      </w:pPr>
      <w:r>
        <w:rPr>
          <w:rStyle w:val="156"/>
          <w:rFonts w:hint="eastAsia" w:ascii="宋体" w:hAnsi="宋体"/>
          <w:szCs w:val="21"/>
        </w:rPr>
        <w:t>（5）</w:t>
      </w:r>
      <w:r>
        <w:rPr>
          <w:rFonts w:hint="eastAsia" w:ascii="宋体" w:hAnsi="宋体"/>
          <w:szCs w:val="21"/>
        </w:rPr>
        <w:t>对不同文字文本投标文件的解释发生异议的，以中文文本为准。</w:t>
      </w:r>
    </w:p>
    <w:p>
      <w:pPr>
        <w:snapToGrid w:val="0"/>
        <w:spacing w:line="360" w:lineRule="auto"/>
        <w:rPr>
          <w:rFonts w:ascii="宋体" w:hAnsi="宋体"/>
          <w:b/>
          <w:szCs w:val="21"/>
        </w:rPr>
      </w:pPr>
      <w:bookmarkStart w:id="384" w:name="_Toc188869294"/>
      <w:bookmarkStart w:id="385" w:name="_Toc187729594"/>
      <w:bookmarkStart w:id="386" w:name="_Toc201401593"/>
      <w:bookmarkStart w:id="387" w:name="_Toc201997853"/>
      <w:bookmarkStart w:id="388" w:name="_Toc201401401"/>
      <w:bookmarkStart w:id="389" w:name="_Toc143658468"/>
      <w:bookmarkStart w:id="390" w:name="_Toc148954477"/>
      <w:bookmarkStart w:id="391" w:name="_Toc163530315"/>
      <w:bookmarkStart w:id="392" w:name="_Toc98817943"/>
      <w:bookmarkStart w:id="393" w:name="_Toc134852035"/>
      <w:bookmarkStart w:id="394" w:name="_Toc157847833"/>
      <w:bookmarkStart w:id="395" w:name="_Toc148778170"/>
      <w:bookmarkStart w:id="396" w:name="_Toc135666641"/>
      <w:bookmarkStart w:id="397" w:name="_Toc148780251"/>
      <w:bookmarkStart w:id="398" w:name="_Toc135666828"/>
      <w:bookmarkStart w:id="399" w:name="_Toc148329814"/>
      <w:bookmarkStart w:id="400" w:name="_Toc148779965"/>
      <w:bookmarkStart w:id="401" w:name="_Toc148413313"/>
      <w:bookmarkStart w:id="402" w:name="_Toc148954872"/>
      <w:r>
        <w:rPr>
          <w:rFonts w:hint="eastAsia" w:ascii="宋体" w:hAnsi="宋体"/>
          <w:b/>
          <w:szCs w:val="21"/>
        </w:rPr>
        <w:t>30.</w:t>
      </w:r>
      <w:bookmarkEnd w:id="384"/>
      <w:bookmarkEnd w:id="385"/>
      <w:r>
        <w:rPr>
          <w:rFonts w:hint="eastAsia" w:ascii="宋体" w:hAnsi="宋体"/>
          <w:b/>
          <w:szCs w:val="21"/>
        </w:rPr>
        <w:t>废标的处理</w:t>
      </w:r>
      <w:bookmarkEnd w:id="386"/>
      <w:bookmarkEnd w:id="387"/>
      <w:bookmarkEnd w:id="388"/>
    </w:p>
    <w:p>
      <w:pPr>
        <w:snapToGrid w:val="0"/>
        <w:spacing w:line="360" w:lineRule="auto"/>
        <w:ind w:firstLine="420" w:firstLineChars="200"/>
        <w:rPr>
          <w:rFonts w:ascii="宋体" w:hAnsi="宋体"/>
          <w:szCs w:val="21"/>
        </w:rPr>
      </w:pPr>
      <w:r>
        <w:rPr>
          <w:rFonts w:hint="eastAsia" w:ascii="宋体" w:hAnsi="宋体"/>
          <w:szCs w:val="21"/>
        </w:rPr>
        <w:t>30.1 除本须知“投标文件否决性条款汇总”中规定的情形外，评审委员会对投标文件应坚持谨慎确定废标的原则。</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Pr>
        <w:spacing w:line="360" w:lineRule="auto"/>
        <w:rPr>
          <w:rFonts w:ascii="宋体" w:hAnsi="宋体"/>
          <w:b/>
          <w:szCs w:val="21"/>
        </w:rPr>
      </w:pPr>
      <w:bookmarkStart w:id="403" w:name="_Toc201401591"/>
      <w:bookmarkStart w:id="404" w:name="_Toc201997854"/>
      <w:bookmarkStart w:id="405" w:name="_Toc201401399"/>
      <w:bookmarkStart w:id="406" w:name="_Toc201401402"/>
      <w:bookmarkStart w:id="407" w:name="_Toc201401594"/>
      <w:r>
        <w:rPr>
          <w:rFonts w:hint="eastAsia" w:ascii="宋体" w:hAnsi="宋体"/>
          <w:b/>
          <w:szCs w:val="21"/>
        </w:rPr>
        <w:t>31.投标文件的澄清</w:t>
      </w:r>
      <w:bookmarkEnd w:id="403"/>
      <w:bookmarkEnd w:id="404"/>
      <w:bookmarkEnd w:id="405"/>
    </w:p>
    <w:p>
      <w:pPr>
        <w:spacing w:line="360" w:lineRule="auto"/>
        <w:ind w:firstLine="420" w:firstLineChars="200"/>
        <w:rPr>
          <w:rFonts w:ascii="宋体" w:hAnsi="宋体"/>
          <w:szCs w:val="21"/>
        </w:rPr>
      </w:pPr>
      <w:r>
        <w:rPr>
          <w:rStyle w:val="156"/>
          <w:rFonts w:hint="eastAsia" w:ascii="宋体" w:hAnsi="宋体"/>
          <w:szCs w:val="21"/>
        </w:rPr>
        <w:t xml:space="preserve">31.1 </w:t>
      </w:r>
      <w:r>
        <w:rPr>
          <w:rFonts w:hint="eastAsia" w:ascii="宋体" w:hAnsi="宋体"/>
          <w:szCs w:val="21"/>
        </w:rPr>
        <w:t>评审委员会可以要求投标人对投标文件含义不明确的内容作必要的澄清、说明。澄清、说明应以书面方式进行并不得超出投标文件的范围或改变投标文件的实质性内容。</w:t>
      </w:r>
    </w:p>
    <w:p>
      <w:pPr>
        <w:spacing w:line="360" w:lineRule="auto"/>
        <w:ind w:firstLine="420" w:firstLineChars="200"/>
        <w:rPr>
          <w:rFonts w:ascii="宋体" w:hAnsi="宋体"/>
          <w:szCs w:val="21"/>
        </w:rPr>
      </w:pPr>
      <w:r>
        <w:rPr>
          <w:rFonts w:hint="eastAsia" w:ascii="宋体" w:hAnsi="宋体"/>
          <w:szCs w:val="21"/>
        </w:rPr>
        <w:t xml:space="preserve">31.2 </w:t>
      </w:r>
      <w:r>
        <w:rPr>
          <w:rFonts w:ascii="宋体" w:hAnsi="宋体"/>
          <w:szCs w:val="21"/>
        </w:rPr>
        <w:t>投标人</w:t>
      </w:r>
      <w:r>
        <w:rPr>
          <w:rFonts w:hint="eastAsia" w:ascii="宋体" w:hAnsi="宋体"/>
          <w:szCs w:val="21"/>
        </w:rPr>
        <w:t>委派</w:t>
      </w:r>
      <w:r>
        <w:rPr>
          <w:rFonts w:ascii="宋体" w:hAnsi="宋体"/>
          <w:szCs w:val="21"/>
        </w:rPr>
        <w:t>的答辩人</w:t>
      </w:r>
      <w:r>
        <w:rPr>
          <w:rFonts w:hint="eastAsia" w:ascii="宋体" w:hAnsi="宋体"/>
          <w:szCs w:val="21"/>
        </w:rPr>
        <w:t>应符合以</w:t>
      </w:r>
      <w:r>
        <w:rPr>
          <w:rFonts w:ascii="宋体" w:hAnsi="宋体"/>
          <w:szCs w:val="21"/>
        </w:rPr>
        <w:t>下</w:t>
      </w:r>
      <w:r>
        <w:rPr>
          <w:rFonts w:hint="eastAsia" w:ascii="宋体" w:hAnsi="宋体"/>
          <w:szCs w:val="21"/>
        </w:rPr>
        <w:t>条件</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31.2.1 拟进行投标</w:t>
      </w:r>
      <w:r>
        <w:rPr>
          <w:rFonts w:ascii="宋体" w:hAnsi="宋体"/>
          <w:szCs w:val="21"/>
        </w:rPr>
        <w:t>答辩</w:t>
      </w:r>
      <w:r>
        <w:rPr>
          <w:rFonts w:hint="eastAsia" w:ascii="宋体" w:hAnsi="宋体"/>
          <w:szCs w:val="21"/>
        </w:rPr>
        <w:t>的，答辩人必须是投标人的法定代表人或者其授权委托人。</w:t>
      </w:r>
    </w:p>
    <w:p>
      <w:pPr>
        <w:spacing w:line="360" w:lineRule="auto"/>
        <w:ind w:firstLine="420" w:firstLineChars="200"/>
        <w:rPr>
          <w:rFonts w:ascii="宋体" w:hAnsi="宋体"/>
          <w:szCs w:val="21"/>
        </w:rPr>
      </w:pPr>
      <w:r>
        <w:rPr>
          <w:rFonts w:hint="eastAsia" w:ascii="宋体" w:hAnsi="宋体"/>
          <w:szCs w:val="21"/>
        </w:rPr>
        <w:t>31.2.2 答辩人</w:t>
      </w:r>
      <w:r>
        <w:rPr>
          <w:rFonts w:ascii="宋体" w:hAnsi="宋体"/>
          <w:szCs w:val="21"/>
        </w:rPr>
        <w:t>须</w:t>
      </w:r>
      <w:r>
        <w:rPr>
          <w:rFonts w:hint="eastAsia" w:ascii="宋体" w:hAnsi="宋体"/>
          <w:szCs w:val="21"/>
        </w:rPr>
        <w:t>经工作人员</w:t>
      </w:r>
      <w:r>
        <w:rPr>
          <w:rFonts w:ascii="宋体" w:hAnsi="宋体"/>
          <w:szCs w:val="21"/>
        </w:rPr>
        <w:t>核</w:t>
      </w:r>
      <w:r>
        <w:rPr>
          <w:rFonts w:hint="eastAsia" w:ascii="宋体" w:hAnsi="宋体"/>
          <w:szCs w:val="21"/>
        </w:rPr>
        <w:t>验其</w:t>
      </w:r>
      <w:r>
        <w:rPr>
          <w:rFonts w:ascii="宋体" w:hAnsi="宋体"/>
          <w:szCs w:val="21"/>
        </w:rPr>
        <w:t>身份</w:t>
      </w:r>
      <w:r>
        <w:rPr>
          <w:rFonts w:hint="eastAsia" w:ascii="宋体" w:hAnsi="宋体"/>
          <w:szCs w:val="21"/>
        </w:rPr>
        <w:t>。</w:t>
      </w:r>
      <w:r>
        <w:rPr>
          <w:rFonts w:ascii="宋体" w:hAnsi="宋体"/>
          <w:szCs w:val="21"/>
        </w:rPr>
        <w:t>答辩人务必携带有效的身份证明</w:t>
      </w:r>
      <w:r>
        <w:rPr>
          <w:rFonts w:hint="eastAsia" w:ascii="宋体" w:hAnsi="宋体"/>
          <w:szCs w:val="21"/>
        </w:rPr>
        <w:t>材料，</w:t>
      </w:r>
      <w:r>
        <w:rPr>
          <w:rFonts w:ascii="宋体" w:hAnsi="宋体"/>
          <w:szCs w:val="21"/>
        </w:rPr>
        <w:t>非</w:t>
      </w:r>
      <w:r>
        <w:rPr>
          <w:rFonts w:hint="eastAsia" w:ascii="宋体" w:hAnsi="宋体"/>
          <w:szCs w:val="21"/>
        </w:rPr>
        <w:t>本须知第31.2.1项规定的</w:t>
      </w:r>
      <w:r>
        <w:rPr>
          <w:rFonts w:ascii="宋体" w:hAnsi="宋体"/>
          <w:szCs w:val="21"/>
        </w:rPr>
        <w:t>人员不得</w:t>
      </w:r>
      <w:r>
        <w:rPr>
          <w:rFonts w:hint="eastAsia" w:ascii="宋体" w:hAnsi="宋体"/>
          <w:szCs w:val="21"/>
        </w:rPr>
        <w:t>进行</w:t>
      </w:r>
      <w:r>
        <w:rPr>
          <w:rFonts w:ascii="宋体" w:hAnsi="宋体"/>
          <w:szCs w:val="21"/>
        </w:rPr>
        <w:t>答辩</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31.3 评审委员会要求投标人进行答辩，但投标人在规定时间内未派出有效答辩人的，评审委员会有权作出不利于该投标人的判定，投标人不得因此提出任何异议。</w:t>
      </w:r>
    </w:p>
    <w:p>
      <w:pPr>
        <w:spacing w:line="360" w:lineRule="auto"/>
        <w:rPr>
          <w:rFonts w:ascii="宋体" w:hAnsi="宋体"/>
          <w:b/>
          <w:szCs w:val="21"/>
        </w:rPr>
      </w:pPr>
      <w:bookmarkStart w:id="408" w:name="_Toc201997855"/>
      <w:r>
        <w:rPr>
          <w:rFonts w:hint="eastAsia" w:ascii="宋体" w:hAnsi="宋体"/>
          <w:b/>
          <w:szCs w:val="21"/>
        </w:rPr>
        <w:t>32．评标原则</w:t>
      </w:r>
      <w:bookmarkEnd w:id="406"/>
      <w:bookmarkEnd w:id="407"/>
      <w:bookmarkEnd w:id="408"/>
    </w:p>
    <w:p>
      <w:pPr>
        <w:spacing w:line="360" w:lineRule="auto"/>
        <w:ind w:firstLine="420" w:firstLineChars="200"/>
        <w:rPr>
          <w:rFonts w:ascii="宋体" w:hAnsi="宋体"/>
          <w:szCs w:val="21"/>
        </w:rPr>
      </w:pPr>
      <w:r>
        <w:rPr>
          <w:rFonts w:hint="eastAsia" w:ascii="宋体" w:hAnsi="宋体"/>
          <w:szCs w:val="21"/>
        </w:rPr>
        <w:t>评审委员会应当根据“前附表”规定的评标方法，对投标文件进行评审和比较。招标文件中没有规定的标准和方法不得作为评标的依据。</w:t>
      </w:r>
    </w:p>
    <w:p>
      <w:pPr>
        <w:spacing w:line="360" w:lineRule="auto"/>
        <w:rPr>
          <w:rFonts w:ascii="宋体" w:hAnsi="宋体"/>
          <w:b/>
          <w:szCs w:val="21"/>
        </w:rPr>
      </w:pPr>
      <w:bookmarkStart w:id="409" w:name="_Toc201997856"/>
      <w:bookmarkStart w:id="410" w:name="_Toc201401403"/>
      <w:bookmarkStart w:id="411" w:name="_Toc201401595"/>
      <w:r>
        <w:rPr>
          <w:rFonts w:hint="eastAsia" w:ascii="宋体" w:hAnsi="宋体"/>
          <w:b/>
          <w:szCs w:val="21"/>
        </w:rPr>
        <w:t>33．招标过程的保密性</w:t>
      </w:r>
      <w:bookmarkEnd w:id="409"/>
      <w:bookmarkEnd w:id="410"/>
      <w:bookmarkEnd w:id="411"/>
    </w:p>
    <w:p>
      <w:pPr>
        <w:spacing w:line="360" w:lineRule="auto"/>
        <w:ind w:firstLine="420" w:firstLineChars="200"/>
        <w:rPr>
          <w:rFonts w:ascii="宋体" w:hAnsi="宋体"/>
          <w:szCs w:val="21"/>
        </w:rPr>
      </w:pPr>
      <w:r>
        <w:rPr>
          <w:rFonts w:hint="eastAsia" w:ascii="宋体" w:hAnsi="宋体"/>
          <w:szCs w:val="21"/>
        </w:rPr>
        <w:t>33.1 采购人和有关工作人员不得向他人透露已获取招标文件的潜在投标人的名称、数量等需要保密的内容。</w:t>
      </w:r>
    </w:p>
    <w:p>
      <w:pPr>
        <w:spacing w:line="360" w:lineRule="auto"/>
        <w:ind w:firstLine="420" w:firstLineChars="200"/>
        <w:rPr>
          <w:rFonts w:ascii="宋体" w:hAnsi="宋体"/>
          <w:szCs w:val="21"/>
        </w:rPr>
      </w:pPr>
      <w:r>
        <w:rPr>
          <w:rFonts w:hint="eastAsia" w:ascii="宋体" w:hAnsi="宋体"/>
          <w:kern w:val="0"/>
          <w:szCs w:val="21"/>
        </w:rPr>
        <w:t>33.2 评审委员会成员和参与评标的有关工作人员不得透露对投标文件的评审、候选中标人的推荐情况以及与评标有关的其他任何情况。</w:t>
      </w:r>
    </w:p>
    <w:p>
      <w:pPr>
        <w:spacing w:line="360" w:lineRule="auto"/>
        <w:ind w:firstLine="420" w:firstLineChars="200"/>
        <w:rPr>
          <w:rFonts w:ascii="宋体" w:hAnsi="宋体"/>
          <w:szCs w:val="21"/>
        </w:rPr>
      </w:pPr>
      <w:r>
        <w:rPr>
          <w:rFonts w:hint="eastAsia" w:ascii="宋体" w:hAnsi="宋体"/>
          <w:szCs w:val="21"/>
        </w:rPr>
        <w:t>33.3 中标人确定后，采购人无需向未中标人就评标过程及其未能中标作出任何解释。评审委员会成员或其他有关人员不得向未中标人透露评标过程的情况和材料。</w:t>
      </w:r>
    </w:p>
    <w:p>
      <w:pPr>
        <w:spacing w:line="360" w:lineRule="auto"/>
        <w:rPr>
          <w:rFonts w:ascii="宋体" w:hAnsi="宋体"/>
          <w:b/>
          <w:szCs w:val="21"/>
        </w:rPr>
      </w:pPr>
      <w:r>
        <w:rPr>
          <w:rFonts w:hint="eastAsia" w:ascii="宋体" w:hAnsi="宋体"/>
          <w:b/>
          <w:bCs/>
          <w:szCs w:val="21"/>
        </w:rPr>
        <w:t>34.评标方法</w:t>
      </w:r>
    </w:p>
    <w:p>
      <w:pPr>
        <w:spacing w:line="360" w:lineRule="auto"/>
        <w:ind w:firstLine="420" w:firstLineChars="200"/>
        <w:rPr>
          <w:rFonts w:ascii="宋体" w:hAnsi="宋体"/>
          <w:szCs w:val="21"/>
        </w:rPr>
      </w:pPr>
      <w:bookmarkStart w:id="412" w:name="评标方法2"/>
      <w:r>
        <w:rPr>
          <w:rFonts w:hint="eastAsia" w:ascii="宋体" w:hAnsi="宋体"/>
          <w:szCs w:val="21"/>
        </w:rPr>
        <w:t>34.1定性评审法</w:t>
      </w:r>
    </w:p>
    <w:p>
      <w:pPr>
        <w:spacing w:line="360" w:lineRule="auto"/>
        <w:ind w:firstLine="420" w:firstLineChars="200"/>
        <w:rPr>
          <w:rFonts w:ascii="宋体" w:hAnsi="宋体"/>
          <w:szCs w:val="21"/>
        </w:rPr>
      </w:pPr>
      <w:r>
        <w:rPr>
          <w:rFonts w:hint="eastAsia" w:ascii="宋体" w:hAnsi="宋体"/>
          <w:szCs w:val="21"/>
        </w:rPr>
        <w:t>按照招标文件规定的各项因素进行技术商务性评审，对各投标文件是否满足招标文件实质性要求提出评审意见，并形成评审报告。</w:t>
      </w:r>
    </w:p>
    <w:p>
      <w:pPr>
        <w:spacing w:line="360" w:lineRule="auto"/>
        <w:ind w:firstLine="420" w:firstLineChars="200"/>
        <w:rPr>
          <w:rFonts w:ascii="宋体" w:hAnsi="宋体"/>
          <w:szCs w:val="21"/>
        </w:rPr>
      </w:pPr>
      <w:r>
        <w:rPr>
          <w:rFonts w:hint="eastAsia" w:ascii="宋体" w:hAnsi="宋体"/>
          <w:szCs w:val="21"/>
        </w:rPr>
        <w:t>评审报告的内容主要包括：对各投标文件是否合格提出意见，指出各投标文件中的优点和存在的缺陷，签订合同前应注意和澄清的事项等。</w:t>
      </w:r>
    </w:p>
    <w:p>
      <w:pPr>
        <w:spacing w:line="360" w:lineRule="auto"/>
        <w:ind w:firstLine="420" w:firstLineChars="200"/>
        <w:rPr>
          <w:rFonts w:ascii="宋体" w:hAnsi="宋体"/>
          <w:szCs w:val="21"/>
        </w:rPr>
      </w:pPr>
      <w:r>
        <w:rPr>
          <w:rFonts w:hint="eastAsia" w:ascii="宋体" w:hAnsi="宋体"/>
          <w:szCs w:val="21"/>
        </w:rPr>
        <w:t>所有递交的投标文件未被判定为废标的投标人，均推荐为候选中标人。</w:t>
      </w:r>
    </w:p>
    <w:bookmarkEnd w:id="412"/>
    <w:p>
      <w:pPr>
        <w:spacing w:line="360" w:lineRule="auto"/>
        <w:rPr>
          <w:rFonts w:ascii="宋体" w:hAnsi="宋体"/>
          <w:b/>
          <w:szCs w:val="21"/>
        </w:rPr>
      </w:pPr>
      <w:r>
        <w:rPr>
          <w:rFonts w:hint="eastAsia" w:ascii="宋体" w:hAnsi="宋体"/>
          <w:b/>
          <w:bCs/>
          <w:szCs w:val="21"/>
        </w:rPr>
        <w:t>35.定标方法</w:t>
      </w:r>
    </w:p>
    <w:p>
      <w:pPr>
        <w:spacing w:line="360" w:lineRule="auto"/>
        <w:ind w:firstLine="420" w:firstLineChars="200"/>
        <w:rPr>
          <w:rFonts w:ascii="宋体" w:hAnsi="宋体"/>
          <w:szCs w:val="21"/>
        </w:rPr>
      </w:pPr>
      <w:r>
        <w:rPr>
          <w:rFonts w:hint="eastAsia" w:ascii="宋体" w:hAnsi="宋体"/>
          <w:szCs w:val="21"/>
        </w:rPr>
        <w:t>35.1采购人根据定性评审意见对提交申报材料的投标单位进行公平、公正、客观的调查和评审,票决确定中标单位</w:t>
      </w:r>
    </w:p>
    <w:p>
      <w:pPr>
        <w:pStyle w:val="4"/>
        <w:spacing w:line="300" w:lineRule="auto"/>
        <w:jc w:val="center"/>
        <w:rPr>
          <w:rFonts w:ascii="宋体" w:hAnsi="宋体"/>
          <w:b w:val="0"/>
          <w:sz w:val="30"/>
          <w:szCs w:val="30"/>
        </w:rPr>
      </w:pPr>
      <w:bookmarkStart w:id="413" w:name="_Toc51235184"/>
      <w:bookmarkStart w:id="414" w:name="_Toc306258448"/>
      <w:r>
        <w:rPr>
          <w:rFonts w:hint="eastAsia" w:ascii="宋体" w:hAnsi="宋体"/>
          <w:b w:val="0"/>
          <w:sz w:val="30"/>
          <w:szCs w:val="30"/>
        </w:rPr>
        <w:t>七、公开招标失败的后续处理</w:t>
      </w:r>
      <w:bookmarkEnd w:id="413"/>
      <w:bookmarkEnd w:id="414"/>
    </w:p>
    <w:p>
      <w:pPr>
        <w:spacing w:line="360" w:lineRule="auto"/>
        <w:rPr>
          <w:rFonts w:ascii="宋体" w:hAnsi="宋体"/>
          <w:b/>
          <w:szCs w:val="21"/>
        </w:rPr>
      </w:pPr>
      <w:r>
        <w:rPr>
          <w:rFonts w:hint="eastAsia" w:ascii="宋体" w:hAnsi="宋体"/>
          <w:b/>
          <w:szCs w:val="21"/>
        </w:rPr>
        <w:t>36．公开招标失败的处理</w:t>
      </w:r>
    </w:p>
    <w:p>
      <w:pPr>
        <w:tabs>
          <w:tab w:val="left" w:pos="567"/>
        </w:tabs>
        <w:spacing w:line="360" w:lineRule="auto"/>
        <w:ind w:firstLine="420" w:firstLineChars="200"/>
        <w:rPr>
          <w:rFonts w:ascii="宋体" w:hAnsi="宋体"/>
          <w:szCs w:val="21"/>
        </w:rPr>
      </w:pPr>
      <w:r>
        <w:rPr>
          <w:rFonts w:hint="eastAsia" w:ascii="宋体" w:hAnsi="宋体"/>
          <w:szCs w:val="21"/>
        </w:rPr>
        <w:t>36.1 本项目截标后，实际递交投标文件的投标人数量不足法定要求，或评审委员会依据招标文件的规定作出废标决定后，有效投标人数量不足法定要求等原因造成公开招标失败，采购人可重新组织采购或转为竞争性谈判或单一来源谈判方式采购。</w:t>
      </w:r>
    </w:p>
    <w:p>
      <w:pPr>
        <w:pStyle w:val="4"/>
        <w:spacing w:line="300" w:lineRule="auto"/>
        <w:jc w:val="center"/>
        <w:rPr>
          <w:rFonts w:ascii="宋体" w:hAnsi="宋体"/>
          <w:b w:val="0"/>
          <w:sz w:val="30"/>
          <w:szCs w:val="30"/>
        </w:rPr>
      </w:pPr>
      <w:bookmarkStart w:id="415" w:name="_Toc306258449"/>
      <w:bookmarkStart w:id="416" w:name="_Toc201401596"/>
      <w:bookmarkStart w:id="417" w:name="_Toc51235185"/>
      <w:bookmarkStart w:id="418" w:name="_Toc201997857"/>
      <w:r>
        <w:rPr>
          <w:rFonts w:hint="eastAsia" w:ascii="宋体" w:hAnsi="宋体"/>
          <w:b w:val="0"/>
          <w:sz w:val="30"/>
          <w:szCs w:val="30"/>
        </w:rPr>
        <w:t>八、合同授予</w:t>
      </w:r>
      <w:bookmarkEnd w:id="415"/>
      <w:bookmarkEnd w:id="416"/>
      <w:bookmarkEnd w:id="417"/>
      <w:bookmarkEnd w:id="418"/>
    </w:p>
    <w:p>
      <w:pPr>
        <w:spacing w:line="360" w:lineRule="auto"/>
        <w:rPr>
          <w:rFonts w:ascii="宋体" w:hAnsi="宋体"/>
          <w:b/>
          <w:bCs/>
          <w:szCs w:val="21"/>
        </w:rPr>
      </w:pPr>
      <w:r>
        <w:rPr>
          <w:rFonts w:hint="eastAsia" w:ascii="宋体" w:hAnsi="宋体"/>
          <w:b/>
          <w:bCs/>
          <w:szCs w:val="21"/>
        </w:rPr>
        <w:t>39.中标结果及中标通知书</w:t>
      </w:r>
    </w:p>
    <w:p>
      <w:pPr>
        <w:spacing w:line="360" w:lineRule="auto"/>
        <w:ind w:firstLine="420" w:firstLineChars="200"/>
        <w:rPr>
          <w:rFonts w:ascii="宋体" w:hAnsi="宋体"/>
          <w:szCs w:val="21"/>
        </w:rPr>
      </w:pPr>
      <w:r>
        <w:rPr>
          <w:rFonts w:hint="eastAsia" w:ascii="宋体" w:hAnsi="宋体"/>
          <w:szCs w:val="21"/>
        </w:rPr>
        <w:t>39.1 评标和定标工作结束后，采购人将在</w:t>
      </w:r>
      <w:r>
        <w:rPr>
          <w:rFonts w:hint="eastAsia" w:ascii="宋体" w:hAnsi="宋体" w:cs="Courier New"/>
          <w:b/>
          <w:bCs/>
          <w:szCs w:val="21"/>
        </w:rPr>
        <w:t>深圳市龙华区住房和建设局官方网站（</w:t>
      </w:r>
      <w:r>
        <w:rPr>
          <w:rFonts w:ascii="宋体" w:hAnsi="宋体" w:cs="Courier New"/>
          <w:b/>
          <w:bCs/>
          <w:szCs w:val="21"/>
        </w:rPr>
        <w:t>http://www.szlhq.gov.cn/bmxxgk/zfhjsj/</w:t>
      </w:r>
      <w:r>
        <w:rPr>
          <w:rFonts w:hint="eastAsia" w:ascii="宋体" w:hAnsi="宋体" w:cs="Courier New"/>
          <w:b/>
          <w:bCs/>
          <w:szCs w:val="21"/>
        </w:rPr>
        <w:t>）</w:t>
      </w:r>
      <w:r>
        <w:rPr>
          <w:rFonts w:hint="eastAsia" w:ascii="宋体" w:hAnsi="宋体"/>
          <w:szCs w:val="21"/>
        </w:rPr>
        <w:t>发布中标结果公告。投标人如对评标结果有异议，请于公示期内，以书面形式向采购人。若在公示期内未提出异议，则视为认同该评标结果。</w:t>
      </w:r>
    </w:p>
    <w:p>
      <w:pPr>
        <w:spacing w:line="360" w:lineRule="auto"/>
        <w:ind w:firstLine="420" w:firstLineChars="200"/>
        <w:rPr>
          <w:rFonts w:ascii="宋体" w:hAnsi="宋体"/>
          <w:szCs w:val="21"/>
        </w:rPr>
      </w:pPr>
      <w:r>
        <w:rPr>
          <w:rFonts w:hint="eastAsia" w:ascii="宋体" w:hAnsi="宋体"/>
          <w:szCs w:val="21"/>
        </w:rPr>
        <w:t xml:space="preserve">39.2 </w:t>
      </w:r>
      <w:r>
        <w:rPr>
          <w:rFonts w:hint="eastAsia" w:ascii="宋体" w:cs="宋体"/>
          <w:kern w:val="0"/>
          <w:szCs w:val="21"/>
          <w:lang w:val="zh-CN"/>
        </w:rPr>
        <w:t>质疑投诉人应保证质疑投诉内容的真实性和可靠性，并承担相应的法律责任。</w:t>
      </w:r>
      <w:r>
        <w:rPr>
          <w:rFonts w:ascii="宋体" w:hAnsi="宋体"/>
          <w:szCs w:val="21"/>
        </w:rPr>
        <w:t>质疑实行实名制和“谁质疑，谁举证”的原则</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39</w:t>
      </w:r>
      <w:r>
        <w:rPr>
          <w:rFonts w:ascii="宋体" w:hAnsi="宋体"/>
          <w:szCs w:val="21"/>
        </w:rPr>
        <w:t>.3</w:t>
      </w:r>
      <w:r>
        <w:rPr>
          <w:rFonts w:hint="eastAsia" w:ascii="宋体" w:hAnsi="宋体"/>
          <w:szCs w:val="21"/>
        </w:rPr>
        <w:t>中标公示结束且公示期内无质疑投诉,采购人向中标人发出中标通知书。</w:t>
      </w:r>
    </w:p>
    <w:p>
      <w:pPr>
        <w:spacing w:line="360" w:lineRule="auto"/>
        <w:rPr>
          <w:rFonts w:ascii="宋体" w:hAnsi="宋体"/>
          <w:b/>
          <w:szCs w:val="21"/>
        </w:rPr>
      </w:pPr>
      <w:bookmarkStart w:id="419" w:name="_Toc201997862"/>
      <w:bookmarkStart w:id="420" w:name="_Toc201401408"/>
      <w:bookmarkStart w:id="421" w:name="_Toc201401600"/>
      <w:r>
        <w:rPr>
          <w:rFonts w:hint="eastAsia" w:ascii="宋体" w:hAnsi="宋体"/>
          <w:b/>
          <w:szCs w:val="21"/>
        </w:rPr>
        <w:t>4</w:t>
      </w:r>
      <w:r>
        <w:rPr>
          <w:rFonts w:ascii="宋体" w:hAnsi="宋体"/>
          <w:b/>
          <w:szCs w:val="21"/>
        </w:rPr>
        <w:t>0</w:t>
      </w:r>
      <w:r>
        <w:rPr>
          <w:rFonts w:hint="eastAsia" w:ascii="宋体" w:hAnsi="宋体"/>
          <w:b/>
          <w:szCs w:val="21"/>
        </w:rPr>
        <w:t>．合同签订</w:t>
      </w:r>
      <w:bookmarkEnd w:id="419"/>
      <w:bookmarkEnd w:id="420"/>
      <w:bookmarkEnd w:id="421"/>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.1 采购人和中标人应在“</w:t>
      </w:r>
      <w:r>
        <w:rPr>
          <w:rFonts w:hint="eastAsia" w:ascii="宋体" w:hAnsi="宋体"/>
          <w:kern w:val="0"/>
          <w:szCs w:val="21"/>
        </w:rPr>
        <w:t>前附表</w:t>
      </w:r>
      <w:r>
        <w:rPr>
          <w:rFonts w:hint="eastAsia" w:ascii="宋体" w:hAnsi="宋体"/>
          <w:szCs w:val="21"/>
        </w:rPr>
        <w:t>”规定的时间内，依据招标文件与中标人的投标文件订立书面合同。</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.2中标人无正当理由拒签合同的，或在签订合同时向采购人提出附加条件或者更改合同实质性内容的，采购人可取消其中标资格，并没收其投标担保，同时由中标人承担相应的法律责任。</w:t>
      </w:r>
    </w:p>
    <w:p>
      <w:pPr>
        <w:spacing w:line="360" w:lineRule="auto"/>
        <w:ind w:firstLine="420" w:firstLineChars="200"/>
        <w:rPr>
          <w:rFonts w:ascii="宋体" w:hAnsi="宋体"/>
          <w:b/>
          <w:bCs/>
          <w:sz w:val="24"/>
          <w:szCs w:val="24"/>
        </w:rPr>
      </w:pPr>
      <w:r>
        <w:rPr>
          <w:rFonts w:hint="eastAsia" w:ascii="宋体" w:hAnsi="宋体"/>
          <w:szCs w:val="21"/>
        </w:rPr>
        <w:t>4</w:t>
      </w:r>
      <w:r>
        <w:rPr>
          <w:rFonts w:ascii="宋体" w:hAnsi="宋体"/>
          <w:szCs w:val="21"/>
        </w:rPr>
        <w:t>0</w:t>
      </w:r>
      <w:r>
        <w:rPr>
          <w:rFonts w:hint="eastAsia" w:ascii="宋体" w:hAnsi="宋体"/>
          <w:szCs w:val="21"/>
        </w:rPr>
        <w:t>.3 采购人与中标人应于合同签订之日起10日内，由采购人或委托中标人将采购合同副本抄送</w:t>
      </w:r>
      <w:r>
        <w:rPr>
          <w:rFonts w:hint="eastAsia" w:ascii="宋体" w:hAnsi="宋体"/>
          <w:b/>
          <w:szCs w:val="21"/>
        </w:rPr>
        <w:t>政府集中采购机构</w:t>
      </w:r>
      <w:r>
        <w:rPr>
          <w:rFonts w:hint="eastAsia" w:ascii="宋体" w:hAnsi="宋体"/>
          <w:szCs w:val="21"/>
        </w:rPr>
        <w:t>备案。</w:t>
      </w:r>
      <w:bookmarkStart w:id="422" w:name="_Toc148778186"/>
      <w:bookmarkStart w:id="423" w:name="_Toc148954628"/>
      <w:bookmarkStart w:id="424" w:name="_Toc201743005"/>
      <w:bookmarkStart w:id="425" w:name="_Toc144784851"/>
      <w:bookmarkStart w:id="426" w:name="_Toc158457131"/>
      <w:bookmarkStart w:id="427" w:name="_Toc146097813"/>
      <w:bookmarkStart w:id="428" w:name="_Toc135666944"/>
      <w:bookmarkStart w:id="429" w:name="_Toc163530332"/>
      <w:bookmarkStart w:id="430" w:name="_Toc143658483"/>
      <w:bookmarkStart w:id="431" w:name="_Toc149559255"/>
      <w:bookmarkStart w:id="432" w:name="_Toc148954886"/>
      <w:bookmarkStart w:id="433" w:name="_Toc148329830"/>
      <w:bookmarkStart w:id="434" w:name="_Toc148413327"/>
      <w:bookmarkStart w:id="435" w:name="_Toc188869307"/>
      <w:bookmarkStart w:id="436" w:name="_Toc201997866"/>
      <w:bookmarkStart w:id="437" w:name="_Toc134852057"/>
      <w:bookmarkStart w:id="438" w:name="_Toc131580340"/>
      <w:bookmarkStart w:id="439" w:name="_Toc163530330"/>
      <w:bookmarkStart w:id="440" w:name="_Toc149559257"/>
      <w:bookmarkStart w:id="441" w:name="_Toc148954888"/>
      <w:bookmarkStart w:id="442" w:name="_Toc134852052"/>
      <w:bookmarkStart w:id="443" w:name="_Toc148954491"/>
      <w:bookmarkStart w:id="444" w:name="_Toc135666949"/>
      <w:bookmarkStart w:id="445" w:name="_Toc148954626"/>
      <w:bookmarkStart w:id="446" w:name="_Toc148329828"/>
      <w:bookmarkStart w:id="447" w:name="_Toc146358685"/>
      <w:bookmarkStart w:id="448" w:name="_Toc131496564"/>
      <w:bookmarkStart w:id="449" w:name="_Toc148954493"/>
      <w:bookmarkStart w:id="450" w:name="_Toc133206474"/>
      <w:bookmarkStart w:id="451" w:name="_Toc158457129"/>
      <w:bookmarkStart w:id="452" w:name="_Toc148778184"/>
      <w:bookmarkStart w:id="453" w:name="_Toc143658485"/>
      <w:bookmarkStart w:id="454" w:name="_Toc148780265"/>
      <w:bookmarkStart w:id="455" w:name="_Toc133206469"/>
      <w:bookmarkStart w:id="456" w:name="_Toc146105842"/>
      <w:bookmarkStart w:id="457" w:name="_Toc148780267"/>
      <w:bookmarkStart w:id="458" w:name="_Toc199213691"/>
      <w:bookmarkStart w:id="459" w:name="_Toc135666845"/>
      <w:bookmarkStart w:id="460" w:name="_Toc135666850"/>
      <w:bookmarkStart w:id="461" w:name="_Toc148413329"/>
    </w:p>
    <w:p>
      <w:pPr>
        <w:spacing w:line="300" w:lineRule="auto"/>
        <w:jc w:val="center"/>
        <w:outlineLvl w:val="2"/>
        <w:rPr>
          <w:rFonts w:ascii="宋体" w:hAnsi="宋体"/>
          <w:b/>
          <w:bCs/>
          <w:sz w:val="32"/>
          <w:szCs w:val="32"/>
        </w:rPr>
        <w:sectPr>
          <w:pgSz w:w="11906" w:h="16838"/>
          <w:pgMar w:top="1701" w:right="1588" w:bottom="1304" w:left="1588" w:header="1247" w:footer="737" w:gutter="0"/>
          <w:cols w:space="720" w:num="1"/>
          <w:docGrid w:linePitch="380" w:charSpace="-4301"/>
        </w:sectPr>
      </w:pPr>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Pr>
        <w:spacing w:line="300" w:lineRule="auto"/>
        <w:rPr>
          <w:rFonts w:ascii="宋体" w:hAnsi="宋体"/>
          <w:szCs w:val="21"/>
        </w:rPr>
      </w:pPr>
      <w:bookmarkStart w:id="462" w:name="_Toc199215776"/>
      <w:bookmarkStart w:id="463" w:name="_Toc188869319"/>
      <w:bookmarkStart w:id="464" w:name="_Toc199213741"/>
      <w:bookmarkStart w:id="465" w:name="_Toc201743113"/>
      <w:bookmarkStart w:id="466" w:name="_Toc133227263"/>
      <w:bookmarkStart w:id="467" w:name="_Toc130184547"/>
      <w:bookmarkStart w:id="468" w:name="_Toc129401398"/>
      <w:bookmarkStart w:id="469" w:name="_Toc136748209"/>
      <w:bookmarkStart w:id="470" w:name="_Toc158457145"/>
      <w:bookmarkStart w:id="471" w:name="_Toc158456039"/>
      <w:bookmarkStart w:id="472" w:name="_Toc129676831"/>
      <w:bookmarkStart w:id="473" w:name="_Toc129402394"/>
      <w:bookmarkStart w:id="474" w:name="_Toc163530345"/>
      <w:bookmarkStart w:id="475" w:name="_Toc129775881"/>
      <w:bookmarkStart w:id="476" w:name="_Toc135108472"/>
    </w:p>
    <w:p>
      <w:pPr>
        <w:spacing w:line="300" w:lineRule="auto"/>
        <w:rPr>
          <w:rFonts w:ascii="宋体" w:hAnsi="宋体"/>
          <w:szCs w:val="21"/>
        </w:rPr>
      </w:pPr>
      <w:bookmarkStart w:id="477" w:name="_Toc201997941"/>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
      <w:pPr>
        <w:pStyle w:val="2"/>
        <w:spacing w:line="300" w:lineRule="auto"/>
        <w:rPr>
          <w:rFonts w:ascii="黑体" w:hAnsi="Courier New" w:eastAsia="黑体" w:cs="Courier New"/>
          <w:sz w:val="52"/>
          <w:szCs w:val="52"/>
        </w:rPr>
      </w:pPr>
      <w:bookmarkStart w:id="478" w:name="_Toc51235186"/>
      <w:r>
        <w:rPr>
          <w:rFonts w:hint="eastAsia" w:ascii="黑体" w:hAnsi="Courier New" w:eastAsia="黑体" w:cs="Courier New"/>
          <w:sz w:val="52"/>
          <w:szCs w:val="52"/>
        </w:rPr>
        <w:t>第三章　投标文件格式</w:t>
      </w:r>
      <w:bookmarkEnd w:id="462"/>
      <w:bookmarkEnd w:id="463"/>
      <w:bookmarkEnd w:id="464"/>
      <w:bookmarkEnd w:id="465"/>
      <w:bookmarkEnd w:id="477"/>
      <w:bookmarkEnd w:id="478"/>
    </w:p>
    <w:p>
      <w:pPr>
        <w:spacing w:line="300" w:lineRule="auto"/>
        <w:jc w:val="center"/>
        <w:rPr>
          <w:rStyle w:val="138"/>
          <w:rFonts w:ascii="宋体" w:hAnsi="宋体"/>
          <w:color w:val="auto"/>
          <w:szCs w:val="21"/>
        </w:rPr>
      </w:pPr>
      <w:r>
        <w:rPr>
          <w:rFonts w:hint="eastAsia"/>
        </w:rPr>
        <w:t>（对本章所有的投标文件格式，投标单位可根据项目实际情况进行补充和修改，但补充和修改不得与本格式内容有实质性的违背。）</w:t>
      </w:r>
    </w:p>
    <w:p>
      <w:pPr>
        <w:spacing w:line="360" w:lineRule="auto"/>
        <w:rPr>
          <w:rFonts w:ascii="宋体" w:hAnsi="宋体"/>
          <w:b/>
          <w:sz w:val="32"/>
          <w:szCs w:val="32"/>
          <w:u w:val="single"/>
        </w:rPr>
      </w:pPr>
      <w:r>
        <w:rPr>
          <w:rFonts w:ascii="宋体" w:hAnsi="宋体"/>
          <w:bCs/>
          <w:szCs w:val="21"/>
        </w:rPr>
        <w:br w:type="page"/>
      </w:r>
      <w:bookmarkEnd w:id="466"/>
      <w:bookmarkEnd w:id="467"/>
      <w:bookmarkEnd w:id="468"/>
      <w:bookmarkEnd w:id="469"/>
      <w:bookmarkEnd w:id="470"/>
      <w:bookmarkEnd w:id="471"/>
      <w:bookmarkEnd w:id="472"/>
      <w:bookmarkEnd w:id="473"/>
      <w:bookmarkEnd w:id="474"/>
      <w:bookmarkEnd w:id="475"/>
      <w:bookmarkEnd w:id="476"/>
      <w:bookmarkStart w:id="479" w:name="_Toc201997945"/>
      <w:bookmarkStart w:id="480" w:name="_Toc201743115"/>
      <w:bookmarkStart w:id="481" w:name="_Toc201742860"/>
      <w:bookmarkStart w:id="482" w:name="_Toc138067456"/>
      <w:bookmarkStart w:id="483" w:name="_Toc158456055"/>
      <w:bookmarkStart w:id="484" w:name="_Toc129687728"/>
      <w:bookmarkStart w:id="485" w:name="_Toc135108487"/>
      <w:bookmarkStart w:id="486" w:name="_Toc136748224"/>
      <w:bookmarkStart w:id="487" w:name="_Toc129402406"/>
      <w:bookmarkStart w:id="488" w:name="_Toc130184561"/>
      <w:bookmarkStart w:id="489" w:name="_Toc188869320"/>
      <w:bookmarkStart w:id="490" w:name="_Toc135042848"/>
      <w:bookmarkStart w:id="491" w:name="_Toc129775895"/>
      <w:bookmarkStart w:id="492" w:name="_Toc129402327"/>
      <w:bookmarkStart w:id="493" w:name="_Toc140916275"/>
      <w:bookmarkStart w:id="494" w:name="_Toc133227277"/>
      <w:bookmarkStart w:id="495" w:name="_Toc129401411"/>
      <w:bookmarkStart w:id="496" w:name="_Toc158457161"/>
      <w:bookmarkStart w:id="497" w:name="_Toc187729658"/>
      <w:bookmarkStart w:id="498" w:name="_Toc163530353"/>
    </w:p>
    <w:bookmarkEnd w:id="479"/>
    <w:bookmarkEnd w:id="480"/>
    <w:bookmarkEnd w:id="481"/>
    <w:p>
      <w:pPr>
        <w:spacing w:line="300" w:lineRule="auto"/>
        <w:ind w:right="390"/>
        <w:jc w:val="right"/>
        <w:rPr>
          <w:rFonts w:ascii="黑体" w:hAnsi="宋体" w:eastAsia="黑体"/>
          <w:b/>
          <w:sz w:val="36"/>
          <w:szCs w:val="36"/>
        </w:rPr>
        <w:sectPr>
          <w:headerReference r:id="rId7" w:type="even"/>
          <w:pgSz w:w="11906" w:h="16838"/>
          <w:pgMar w:top="1701" w:right="1588" w:bottom="1304" w:left="1588" w:header="1247" w:footer="737" w:gutter="0"/>
          <w:cols w:space="720" w:num="1"/>
          <w:docGrid w:linePitch="380" w:charSpace="-4301"/>
        </w:sectPr>
      </w:pPr>
    </w:p>
    <w:p>
      <w:pPr>
        <w:spacing w:line="300" w:lineRule="auto"/>
        <w:ind w:right="390"/>
        <w:jc w:val="right"/>
        <w:rPr>
          <w:rFonts w:ascii="黑体" w:hAnsi="宋体" w:eastAsia="黑体"/>
          <w:b/>
          <w:sz w:val="36"/>
          <w:szCs w:val="36"/>
        </w:rPr>
      </w:pPr>
    </w:p>
    <w:p>
      <w:pPr>
        <w:spacing w:line="300" w:lineRule="auto"/>
        <w:ind w:right="210"/>
        <w:jc w:val="right"/>
        <w:rPr>
          <w:rFonts w:ascii="黑体" w:hAnsi="宋体" w:eastAsia="黑体"/>
          <w:b/>
          <w:sz w:val="36"/>
          <w:szCs w:val="36"/>
        </w:rPr>
      </w:pPr>
      <w:r>
        <w:rPr>
          <w:rFonts w:hint="eastAsia" w:ascii="黑体" w:hAnsi="宋体" w:eastAsia="黑体"/>
          <w:b/>
          <w:sz w:val="36"/>
          <w:szCs w:val="36"/>
        </w:rPr>
        <w:t>正本/副本</w:t>
      </w:r>
    </w:p>
    <w:p>
      <w:pPr>
        <w:spacing w:line="300" w:lineRule="auto"/>
        <w:rPr>
          <w:rFonts w:ascii="宋体" w:hAnsi="宋体"/>
          <w:szCs w:val="21"/>
          <w:u w:val="single"/>
        </w:rPr>
      </w:pPr>
    </w:p>
    <w:p>
      <w:pPr>
        <w:spacing w:line="300" w:lineRule="auto"/>
        <w:rPr>
          <w:rFonts w:ascii="宋体" w:hAnsi="宋体"/>
          <w:szCs w:val="21"/>
          <w:u w:val="single"/>
        </w:rPr>
      </w:pPr>
    </w:p>
    <w:p>
      <w:pPr>
        <w:spacing w:line="300" w:lineRule="auto"/>
        <w:rPr>
          <w:rFonts w:ascii="宋体" w:hAnsi="宋体"/>
          <w:sz w:val="32"/>
          <w:szCs w:val="32"/>
          <w:u w:val="single"/>
        </w:rPr>
      </w:pPr>
    </w:p>
    <w:p>
      <w:pPr>
        <w:spacing w:line="300" w:lineRule="auto"/>
        <w:rPr>
          <w:rFonts w:ascii="宋体" w:hAnsi="宋体"/>
          <w:sz w:val="32"/>
          <w:szCs w:val="32"/>
          <w:u w:val="single"/>
        </w:rPr>
      </w:pPr>
    </w:p>
    <w:p>
      <w:pPr>
        <w:spacing w:line="300" w:lineRule="auto"/>
        <w:jc w:val="center"/>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w:t>
      </w:r>
    </w:p>
    <w:p>
      <w:pPr>
        <w:spacing w:line="300" w:lineRule="auto"/>
        <w:jc w:val="center"/>
        <w:rPr>
          <w:rFonts w:ascii="宋体" w:hAnsi="宋体"/>
          <w:b/>
          <w:sz w:val="32"/>
          <w:szCs w:val="32"/>
        </w:rPr>
      </w:pPr>
    </w:p>
    <w:p>
      <w:pPr>
        <w:spacing w:line="300" w:lineRule="auto"/>
        <w:jc w:val="center"/>
        <w:rPr>
          <w:rFonts w:ascii="宋体" w:hAnsi="宋体"/>
          <w:b/>
          <w:sz w:val="32"/>
          <w:szCs w:val="32"/>
        </w:rPr>
      </w:pPr>
    </w:p>
    <w:p>
      <w:pPr>
        <w:jc w:val="center"/>
        <w:rPr>
          <w:b/>
          <w:bCs/>
          <w:sz w:val="44"/>
          <w:szCs w:val="44"/>
        </w:rPr>
      </w:pPr>
      <w:bookmarkStart w:id="499" w:name="_Toc51235187"/>
      <w:r>
        <w:rPr>
          <w:rFonts w:hint="eastAsia"/>
          <w:b/>
          <w:bCs/>
          <w:sz w:val="44"/>
          <w:szCs w:val="44"/>
        </w:rPr>
        <w:t>投标文件</w:t>
      </w:r>
      <w:bookmarkEnd w:id="499"/>
    </w:p>
    <w:p>
      <w:pPr>
        <w:spacing w:line="300" w:lineRule="auto"/>
        <w:rPr>
          <w:rFonts w:ascii="宋体" w:hAnsi="宋体"/>
          <w:b/>
          <w:sz w:val="32"/>
          <w:szCs w:val="32"/>
        </w:rPr>
      </w:pPr>
    </w:p>
    <w:p>
      <w:pPr>
        <w:spacing w:line="300" w:lineRule="auto"/>
        <w:rPr>
          <w:rFonts w:ascii="宋体" w:hAnsi="宋体"/>
          <w:b/>
          <w:sz w:val="32"/>
          <w:szCs w:val="32"/>
        </w:rPr>
      </w:pPr>
    </w:p>
    <w:p>
      <w:pPr>
        <w:spacing w:line="300" w:lineRule="auto"/>
        <w:rPr>
          <w:rFonts w:ascii="宋体" w:hAnsi="宋体"/>
          <w:b/>
          <w:sz w:val="32"/>
          <w:szCs w:val="32"/>
        </w:rPr>
      </w:pPr>
    </w:p>
    <w:p>
      <w:pPr>
        <w:spacing w:line="300" w:lineRule="auto"/>
        <w:rPr>
          <w:rFonts w:ascii="宋体" w:hAnsi="宋体"/>
          <w:b/>
          <w:sz w:val="32"/>
          <w:szCs w:val="32"/>
        </w:rPr>
      </w:pPr>
    </w:p>
    <w:p>
      <w:pPr>
        <w:spacing w:line="300" w:lineRule="auto"/>
        <w:rPr>
          <w:rFonts w:ascii="宋体" w:hAnsi="宋体"/>
          <w:b/>
          <w:sz w:val="32"/>
          <w:szCs w:val="32"/>
        </w:rPr>
      </w:pPr>
    </w:p>
    <w:p>
      <w:pPr>
        <w:spacing w:line="300" w:lineRule="auto"/>
        <w:rPr>
          <w:rFonts w:ascii="宋体" w:hAnsi="宋体"/>
          <w:b/>
          <w:sz w:val="44"/>
          <w:szCs w:val="44"/>
        </w:rPr>
      </w:pPr>
    </w:p>
    <w:p>
      <w:pPr>
        <w:spacing w:line="300" w:lineRule="auto"/>
        <w:rPr>
          <w:rFonts w:ascii="宋体" w:hAnsi="宋体"/>
          <w:b/>
          <w:sz w:val="32"/>
          <w:szCs w:val="32"/>
        </w:rPr>
      </w:pPr>
    </w:p>
    <w:p>
      <w:pPr>
        <w:spacing w:line="360" w:lineRule="auto"/>
        <w:jc w:val="left"/>
        <w:rPr>
          <w:rFonts w:ascii="宋体" w:hAnsi="宋体"/>
          <w:b/>
          <w:sz w:val="32"/>
          <w:szCs w:val="32"/>
          <w:u w:val="single"/>
        </w:rPr>
      </w:pPr>
    </w:p>
    <w:p>
      <w:pPr>
        <w:spacing w:line="480" w:lineRule="auto"/>
        <w:ind w:firstLine="1445" w:firstLineChars="450"/>
        <w:jc w:val="left"/>
        <w:rPr>
          <w:rFonts w:ascii="宋体" w:hAnsi="宋体"/>
          <w:b/>
          <w:sz w:val="32"/>
          <w:szCs w:val="32"/>
        </w:rPr>
      </w:pPr>
      <w:r>
        <w:rPr>
          <w:rFonts w:hint="eastAsia" w:ascii="宋体" w:hAnsi="宋体"/>
          <w:b/>
          <w:sz w:val="32"/>
          <w:szCs w:val="32"/>
        </w:rPr>
        <w:t>投标人名称（公章)：</w:t>
      </w:r>
      <w:r>
        <w:rPr>
          <w:rFonts w:hint="eastAsia" w:ascii="宋体" w:hAnsi="宋体"/>
          <w:b/>
          <w:sz w:val="32"/>
          <w:szCs w:val="32"/>
          <w:u w:val="single"/>
        </w:rPr>
        <w:t xml:space="preserve">                    </w:t>
      </w:r>
    </w:p>
    <w:p>
      <w:pPr>
        <w:spacing w:line="480" w:lineRule="auto"/>
        <w:ind w:firstLine="1445" w:firstLineChars="450"/>
        <w:jc w:val="left"/>
        <w:rPr>
          <w:rFonts w:ascii="宋体" w:hAnsi="宋体"/>
          <w:b/>
          <w:sz w:val="32"/>
          <w:szCs w:val="32"/>
        </w:rPr>
      </w:pPr>
      <w:r>
        <w:rPr>
          <w:rFonts w:hint="eastAsia" w:ascii="宋体" w:hAnsi="宋体"/>
          <w:b/>
          <w:sz w:val="32"/>
          <w:szCs w:val="32"/>
        </w:rPr>
        <w:t>投标人代表（签字）：</w:t>
      </w:r>
      <w:r>
        <w:rPr>
          <w:rFonts w:hint="eastAsia" w:ascii="宋体" w:hAnsi="宋体"/>
          <w:b/>
          <w:sz w:val="32"/>
          <w:szCs w:val="32"/>
          <w:u w:val="single"/>
        </w:rPr>
        <w:t xml:space="preserve">                    </w:t>
      </w:r>
    </w:p>
    <w:p>
      <w:pPr>
        <w:spacing w:line="480" w:lineRule="auto"/>
        <w:ind w:firstLine="1445" w:firstLineChars="450"/>
        <w:jc w:val="left"/>
        <w:rPr>
          <w:rFonts w:ascii="宋体" w:hAnsi="宋体"/>
          <w:b/>
          <w:sz w:val="32"/>
          <w:szCs w:val="32"/>
        </w:rPr>
      </w:pPr>
      <w:r>
        <w:rPr>
          <w:rFonts w:hint="eastAsia" w:ascii="宋体" w:hAnsi="宋体"/>
          <w:b/>
          <w:sz w:val="32"/>
          <w:szCs w:val="32"/>
        </w:rPr>
        <w:t>投标日期：</w:t>
      </w:r>
      <w:r>
        <w:rPr>
          <w:rFonts w:hint="eastAsia" w:ascii="宋体" w:hAnsi="宋体"/>
          <w:b/>
          <w:sz w:val="32"/>
          <w:szCs w:val="32"/>
          <w:u w:val="single"/>
        </w:rPr>
        <w:t xml:space="preserve">       </w:t>
      </w:r>
      <w:r>
        <w:rPr>
          <w:rFonts w:hint="eastAsia" w:ascii="宋体" w:hAnsi="宋体"/>
          <w:b/>
          <w:sz w:val="32"/>
          <w:szCs w:val="32"/>
        </w:rPr>
        <w:t xml:space="preserve">年 </w:t>
      </w:r>
      <w:r>
        <w:rPr>
          <w:rFonts w:hint="eastAsia" w:ascii="宋体" w:hAnsi="宋体"/>
          <w:b/>
          <w:sz w:val="32"/>
          <w:szCs w:val="32"/>
          <w:u w:val="single"/>
        </w:rPr>
        <w:t xml:space="preserve">    </w:t>
      </w:r>
      <w:r>
        <w:rPr>
          <w:rFonts w:hint="eastAsia" w:ascii="宋体" w:hAnsi="宋体"/>
          <w:b/>
          <w:sz w:val="32"/>
          <w:szCs w:val="32"/>
        </w:rPr>
        <w:t>月</w:t>
      </w:r>
      <w:r>
        <w:rPr>
          <w:rFonts w:hint="eastAsia" w:ascii="宋体" w:hAnsi="宋体"/>
          <w:b/>
          <w:sz w:val="32"/>
          <w:szCs w:val="32"/>
          <w:u w:val="single"/>
        </w:rPr>
        <w:t xml:space="preserve">   </w:t>
      </w:r>
      <w:r>
        <w:rPr>
          <w:rFonts w:hint="eastAsia" w:ascii="宋体" w:hAnsi="宋体"/>
          <w:b/>
          <w:sz w:val="32"/>
          <w:szCs w:val="32"/>
        </w:rPr>
        <w:t>日</w:t>
      </w:r>
    </w:p>
    <w:p>
      <w:pPr>
        <w:spacing w:line="360" w:lineRule="auto"/>
        <w:jc w:val="center"/>
        <w:outlineLvl w:val="2"/>
        <w:rPr>
          <w:rFonts w:ascii="宋体" w:hAnsi="宋体"/>
          <w:szCs w:val="21"/>
        </w:rPr>
      </w:pPr>
      <w:r>
        <w:rPr>
          <w:rFonts w:hint="eastAsia" w:ascii="宋体" w:hAnsi="宋体"/>
          <w:b/>
          <w:szCs w:val="21"/>
        </w:rPr>
        <w:br w:type="page"/>
      </w:r>
      <w:bookmarkStart w:id="500" w:name="_Toc201997989"/>
      <w:bookmarkStart w:id="501" w:name="_Toc199215986"/>
      <w:bookmarkStart w:id="502" w:name="_Toc201719168"/>
      <w:bookmarkStart w:id="503" w:name="_Toc201401701"/>
      <w:bookmarkStart w:id="504" w:name="_Toc201743167"/>
      <w:bookmarkStart w:id="505" w:name="_Toc201742912"/>
      <w:bookmarkStart w:id="506" w:name="_Toc199215991"/>
      <w:bookmarkStart w:id="507" w:name="_Toc201719161"/>
      <w:bookmarkStart w:id="508" w:name="_Toc201742904"/>
      <w:bookmarkStart w:id="509" w:name="_Toc201743159"/>
      <w:bookmarkStart w:id="510" w:name="_Toc201997996"/>
      <w:bookmarkStart w:id="511" w:name="_Toc201401708"/>
    </w:p>
    <w:p>
      <w:pPr>
        <w:spacing w:line="300" w:lineRule="auto"/>
        <w:jc w:val="center"/>
        <w:rPr>
          <w:rFonts w:ascii="宋体" w:hAnsi="宋体"/>
          <w:b/>
          <w:bCs/>
          <w:sz w:val="32"/>
          <w:szCs w:val="32"/>
        </w:rPr>
        <w:sectPr>
          <w:pgSz w:w="11906" w:h="16838"/>
          <w:pgMar w:top="1701" w:right="1588" w:bottom="1304" w:left="1588" w:header="1247" w:footer="737" w:gutter="0"/>
          <w:cols w:space="720" w:num="1"/>
          <w:docGrid w:linePitch="380" w:charSpace="-4301"/>
        </w:sectPr>
      </w:pPr>
    </w:p>
    <w:p>
      <w:pPr>
        <w:spacing w:line="360" w:lineRule="auto"/>
        <w:jc w:val="center"/>
        <w:outlineLvl w:val="2"/>
        <w:rPr>
          <w:rFonts w:hint="eastAsia" w:ascii="宋体" w:hAnsi="宋体"/>
          <w:b/>
          <w:bCs/>
          <w:sz w:val="30"/>
          <w:szCs w:val="30"/>
        </w:rPr>
      </w:pPr>
      <w:bookmarkStart w:id="512" w:name="_Toc51235188"/>
      <w:r>
        <w:rPr>
          <w:rFonts w:hint="eastAsia" w:ascii="宋体" w:hAnsi="宋体"/>
          <w:b/>
          <w:bCs/>
          <w:sz w:val="30"/>
          <w:szCs w:val="30"/>
        </w:rPr>
        <w:t>一、法定代表人证明书</w:t>
      </w:r>
      <w:bookmarkEnd w:id="512"/>
    </w:p>
    <w:p>
      <w:pPr>
        <w:rPr>
          <w:rFonts w:hint="eastAsia"/>
        </w:rPr>
      </w:pPr>
    </w:p>
    <w:p>
      <w:pPr>
        <w:spacing w:line="360" w:lineRule="auto"/>
        <w:ind w:firstLine="420" w:firstLineChars="200"/>
        <w:rPr>
          <w:rFonts w:hint="eastAsia"/>
          <w:szCs w:val="22"/>
        </w:rPr>
      </w:pPr>
      <w:r>
        <w:rPr>
          <w:rFonts w:hint="eastAsia"/>
          <w:szCs w:val="22"/>
          <w:u w:val="single"/>
        </w:rPr>
        <w:t xml:space="preserve">            </w:t>
      </w:r>
      <w:r>
        <w:rPr>
          <w:rFonts w:hint="eastAsia"/>
          <w:szCs w:val="22"/>
        </w:rPr>
        <w:t>同志，现任我单位</w:t>
      </w:r>
      <w:r>
        <w:rPr>
          <w:rFonts w:hint="eastAsia"/>
          <w:szCs w:val="22"/>
          <w:u w:val="single"/>
        </w:rPr>
        <w:t xml:space="preserve">         </w:t>
      </w:r>
      <w:r>
        <w:rPr>
          <w:rFonts w:hint="eastAsia"/>
          <w:szCs w:val="22"/>
        </w:rPr>
        <w:t>职务，为法定代表人，特此证明。</w:t>
      </w:r>
    </w:p>
    <w:p>
      <w:pPr>
        <w:spacing w:line="360" w:lineRule="auto"/>
        <w:ind w:firstLine="420" w:firstLineChars="200"/>
        <w:rPr>
          <w:rFonts w:hint="eastAsia"/>
          <w:szCs w:val="22"/>
        </w:rPr>
      </w:pPr>
    </w:p>
    <w:p>
      <w:pPr>
        <w:spacing w:line="360" w:lineRule="auto"/>
        <w:ind w:firstLine="420" w:firstLineChars="200"/>
        <w:rPr>
          <w:rFonts w:hint="eastAsia"/>
          <w:szCs w:val="22"/>
        </w:rPr>
      </w:pPr>
      <w:r>
        <w:rPr>
          <w:rFonts w:hint="eastAsia"/>
          <w:szCs w:val="22"/>
        </w:rPr>
        <w:t>有效日期：         签发日期：         单位盖章：</w:t>
      </w:r>
    </w:p>
    <w:p>
      <w:pPr>
        <w:spacing w:line="360" w:lineRule="auto"/>
        <w:ind w:firstLine="420" w:firstLineChars="200"/>
        <w:rPr>
          <w:rFonts w:hint="eastAsia"/>
          <w:szCs w:val="22"/>
        </w:rPr>
      </w:pPr>
    </w:p>
    <w:p>
      <w:pPr>
        <w:spacing w:line="360" w:lineRule="auto"/>
        <w:ind w:firstLine="420" w:firstLineChars="200"/>
        <w:rPr>
          <w:rFonts w:hint="eastAsia"/>
          <w:szCs w:val="22"/>
        </w:rPr>
      </w:pPr>
      <w:r>
        <w:rPr>
          <w:rFonts w:hint="eastAsia"/>
          <w:szCs w:val="22"/>
        </w:rPr>
        <w:t>附：</w:t>
      </w:r>
    </w:p>
    <w:p>
      <w:pPr>
        <w:spacing w:line="360" w:lineRule="auto"/>
        <w:ind w:firstLine="420" w:firstLineChars="200"/>
        <w:rPr>
          <w:rFonts w:hint="eastAsia"/>
          <w:szCs w:val="22"/>
        </w:rPr>
      </w:pPr>
      <w:r>
        <w:rPr>
          <w:rFonts w:hint="eastAsia"/>
          <w:szCs w:val="22"/>
        </w:rPr>
        <w:t>营业执照号码：                 经济性质：</w:t>
      </w:r>
    </w:p>
    <w:p>
      <w:pPr>
        <w:spacing w:line="360" w:lineRule="auto"/>
        <w:ind w:firstLine="420" w:firstLineChars="200"/>
        <w:rPr>
          <w:rFonts w:hint="eastAsia"/>
          <w:szCs w:val="22"/>
        </w:rPr>
      </w:pPr>
      <w:r>
        <w:rPr>
          <w:rFonts w:hint="eastAsia"/>
          <w:szCs w:val="22"/>
        </w:rPr>
        <w:t>主营：</w:t>
      </w:r>
    </w:p>
    <w:p>
      <w:pPr>
        <w:spacing w:line="360" w:lineRule="auto"/>
        <w:ind w:firstLine="420" w:firstLineChars="200"/>
        <w:rPr>
          <w:rFonts w:hint="eastAsia"/>
          <w:szCs w:val="22"/>
        </w:rPr>
      </w:pPr>
      <w:r>
        <w:rPr>
          <w:rFonts w:hint="eastAsia"/>
          <w:szCs w:val="22"/>
        </w:rPr>
        <w:t>兼营：</w:t>
      </w:r>
    </w:p>
    <w:p>
      <w:pPr>
        <w:spacing w:line="360" w:lineRule="auto"/>
        <w:ind w:firstLine="420" w:firstLineChars="200"/>
        <w:rPr>
          <w:rFonts w:hint="eastAsia"/>
          <w:szCs w:val="22"/>
        </w:rPr>
      </w:pPr>
      <w:r>
        <w:rPr>
          <w:rFonts w:hint="eastAsia"/>
          <w:szCs w:val="22"/>
        </w:rPr>
        <w:t>说明：</w:t>
      </w:r>
    </w:p>
    <w:p>
      <w:pPr>
        <w:spacing w:line="360" w:lineRule="auto"/>
        <w:ind w:firstLine="420" w:firstLineChars="200"/>
        <w:rPr>
          <w:szCs w:val="22"/>
        </w:rPr>
      </w:pPr>
      <w:r>
        <w:rPr>
          <w:szCs w:val="22"/>
        </w:rPr>
        <w:t>1、法定代表人为企业事业单位、国家机关、社会团体的主要行政负责人。</w:t>
      </w:r>
    </w:p>
    <w:p>
      <w:pPr>
        <w:spacing w:line="360" w:lineRule="auto"/>
        <w:ind w:firstLine="420" w:firstLineChars="200"/>
        <w:rPr>
          <w:szCs w:val="21"/>
        </w:rPr>
      </w:pPr>
      <w:r>
        <w:rPr>
          <w:szCs w:val="22"/>
          <w:lang w:val="en-US" w:eastAsia="zh-CN"/>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12065" t="10160" r="7620" b="13335"/>
                <wp:wrapNone/>
                <wp:docPr id="1" name="矩形: 圆角 1"/>
                <wp:cNvGraphicFramePr/>
                <a:graphic xmlns:a="http://schemas.openxmlformats.org/drawingml/2006/main">
                  <a:graphicData uri="http://schemas.microsoft.com/office/word/2010/wordprocessingShape">
                    <wps:wsp>
                      <wps:cNvSpPr>
                        <a:spLocks noChangeArrowheads="1"/>
                      </wps:cNvSpPr>
                      <wps:spPr bwMode="auto">
                        <a:xfrm>
                          <a:off x="0" y="0"/>
                          <a:ext cx="3237865" cy="1795780"/>
                        </a:xfrm>
                        <a:prstGeom prst="roundRect">
                          <a:avLst>
                            <a:gd name="adj" fmla="val 16667"/>
                          </a:avLst>
                        </a:prstGeom>
                        <a:solidFill>
                          <a:srgbClr val="FFFFFF"/>
                        </a:solidFill>
                        <a:ln w="9525" cap="rnd" cmpd="sng">
                          <a:solidFill>
                            <a:srgbClr val="000000"/>
                          </a:solidFill>
                          <a:prstDash val="sysDot"/>
                          <a:round/>
                        </a:ln>
                      </wps:spPr>
                      <wps:txbx>
                        <w:txbxContent>
                          <w:p>
                            <w:pPr>
                              <w:rPr>
                                <w:rFonts w:hint="eastAsia"/>
                              </w:rPr>
                            </w:pPr>
                          </w:p>
                          <w:p>
                            <w:pPr>
                              <w:rPr>
                                <w:rFonts w:hint="eastAsia"/>
                              </w:rPr>
                            </w:pPr>
                          </w:p>
                          <w:p>
                            <w:pPr>
                              <w:rPr>
                                <w:rFonts w:hint="eastAsia"/>
                              </w:rPr>
                            </w:pPr>
                          </w:p>
                          <w:p>
                            <w:pPr>
                              <w:rPr>
                                <w:rFonts w:hint="eastAsia"/>
                              </w:rPr>
                            </w:pPr>
                          </w:p>
                          <w:p>
                            <w:pPr>
                              <w:jc w:val="center"/>
                            </w:pPr>
                            <w:r>
                              <w:rPr>
                                <w:rFonts w:hint="eastAsia"/>
                              </w:rPr>
                              <w:t>附：法定代表人身份证扫描件</w:t>
                            </w:r>
                          </w:p>
                        </w:txbxContent>
                      </wps:txbx>
                      <wps:bodyPr rot="0" vert="horz" wrap="square" lIns="91440" tIns="45720" rIns="91440" bIns="45720" anchor="t" anchorCtr="0" upright="1">
                        <a:noAutofit/>
                      </wps:bodyPr>
                    </wps:wsp>
                  </a:graphicData>
                </a:graphic>
              </wp:anchor>
            </w:drawing>
          </mc:Choice>
          <mc:Fallback>
            <w:pict>
              <v:roundrect id="矩形: 圆角 1"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JhVeNoAAAAL&#10;AQAADwAAAAAAAAABACAAAAA4AAAAZHJzL2Rvd25yZXYueG1sUEsBAhQAFAAAAAgAh07iQH4mDV52&#10;AgAA1gQAAA4AAAAAAAAAAQAgAAAAPwEAAGRycy9lMm9Eb2MueG1sUEsFBgAAAAAGAAYAWQEAACcG&#10;AAAAAA==&#10;">
                <v:fill on="t" focussize="0,0"/>
                <v:stroke color="#000000" joinstyle="round" dashstyle="1 1" endcap="round"/>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pPr>
                      <w:r>
                        <w:rPr>
                          <w:rFonts w:hint="eastAsia"/>
                        </w:rPr>
                        <w:t>附：法定代表人身份证扫描件</w:t>
                      </w:r>
                    </w:p>
                  </w:txbxContent>
                </v:textbox>
              </v:roundrect>
            </w:pict>
          </mc:Fallback>
        </mc:AlternateContent>
      </w:r>
      <w:r>
        <w:rPr>
          <w:szCs w:val="22"/>
        </w:rPr>
        <w:t>2、内容必须填写真实、清楚，涂改无效，不得转让、买卖。</w:t>
      </w:r>
      <w:r>
        <w:rPr>
          <w:szCs w:val="21"/>
        </w:rPr>
        <w:br w:type="page"/>
      </w:r>
    </w:p>
    <w:p>
      <w:pPr>
        <w:spacing w:line="360" w:lineRule="auto"/>
        <w:jc w:val="center"/>
        <w:outlineLvl w:val="2"/>
        <w:rPr>
          <w:rFonts w:hint="eastAsia" w:ascii="宋体" w:hAnsi="宋体"/>
          <w:b/>
          <w:bCs/>
          <w:sz w:val="30"/>
          <w:szCs w:val="30"/>
        </w:rPr>
      </w:pPr>
      <w:bookmarkStart w:id="513" w:name="_Toc51235189"/>
      <w:r>
        <w:rPr>
          <w:rFonts w:hint="eastAsia" w:ascii="宋体" w:hAnsi="宋体"/>
          <w:b/>
          <w:bCs/>
          <w:sz w:val="30"/>
          <w:szCs w:val="30"/>
        </w:rPr>
        <w:t>二、投标文件签署授权委托书</w:t>
      </w:r>
      <w:bookmarkEnd w:id="513"/>
    </w:p>
    <w:p>
      <w:pPr>
        <w:rPr>
          <w:rFonts w:hint="eastAsia"/>
        </w:rPr>
      </w:pPr>
    </w:p>
    <w:p>
      <w:pPr>
        <w:spacing w:line="360" w:lineRule="auto"/>
        <w:ind w:firstLine="420" w:firstLineChars="200"/>
        <w:rPr>
          <w:rFonts w:hint="eastAsia"/>
          <w:szCs w:val="22"/>
        </w:rPr>
      </w:pPr>
      <w:r>
        <w:rPr>
          <w:rFonts w:hint="eastAsia"/>
          <w:szCs w:val="22"/>
        </w:rPr>
        <w:t>本授权委托书声明：我</w:t>
      </w:r>
      <w:r>
        <w:rPr>
          <w:rFonts w:hint="eastAsia"/>
          <w:szCs w:val="22"/>
          <w:u w:val="single"/>
        </w:rPr>
        <w:t xml:space="preserve">           </w:t>
      </w:r>
      <w:r>
        <w:rPr>
          <w:rFonts w:hint="eastAsia"/>
          <w:szCs w:val="22"/>
        </w:rPr>
        <w:t>（姓名）系</w:t>
      </w:r>
      <w:r>
        <w:rPr>
          <w:rFonts w:hint="eastAsia"/>
          <w:szCs w:val="22"/>
          <w:u w:val="single"/>
        </w:rPr>
        <w:t xml:space="preserve">             </w:t>
      </w:r>
      <w:r>
        <w:rPr>
          <w:rFonts w:hint="eastAsia"/>
          <w:szCs w:val="22"/>
        </w:rPr>
        <w:t>（投标人名称）的法定代表人，现授权委托</w:t>
      </w:r>
      <w:r>
        <w:rPr>
          <w:rFonts w:hint="eastAsia"/>
          <w:szCs w:val="22"/>
          <w:u w:val="single"/>
        </w:rPr>
        <w:t xml:space="preserve">                     </w:t>
      </w:r>
      <w:r>
        <w:rPr>
          <w:rFonts w:hint="eastAsia"/>
          <w:szCs w:val="22"/>
        </w:rPr>
        <w:t>（单位名称）的</w:t>
      </w:r>
      <w:r>
        <w:rPr>
          <w:rFonts w:hint="eastAsia"/>
          <w:szCs w:val="22"/>
          <w:u w:val="single"/>
        </w:rPr>
        <w:t xml:space="preserve">            </w:t>
      </w:r>
      <w:r>
        <w:rPr>
          <w:rFonts w:hint="eastAsia"/>
          <w:szCs w:val="22"/>
        </w:rPr>
        <w:t>（姓名）为我公司签署本项目已递交的投标文件的法定代表人的授权委托代理人，代理人全权代表我所签署的本项目已递交的投标文件内容我均承认。</w:t>
      </w:r>
    </w:p>
    <w:p>
      <w:pPr>
        <w:spacing w:line="360" w:lineRule="auto"/>
        <w:ind w:firstLine="420" w:firstLineChars="200"/>
        <w:rPr>
          <w:szCs w:val="22"/>
        </w:rPr>
      </w:pPr>
      <w:r>
        <w:rPr>
          <w:rFonts w:hint="eastAsia"/>
          <w:szCs w:val="22"/>
        </w:rPr>
        <w:t>代理人无转委托权，特此委托。</w:t>
      </w:r>
    </w:p>
    <w:p>
      <w:pPr>
        <w:spacing w:line="360" w:lineRule="auto"/>
        <w:ind w:firstLine="420" w:firstLineChars="200"/>
        <w:rPr>
          <w:rFonts w:hint="eastAsia"/>
          <w:szCs w:val="22"/>
        </w:rPr>
      </w:pPr>
    </w:p>
    <w:p>
      <w:pPr>
        <w:spacing w:line="360" w:lineRule="auto"/>
        <w:ind w:firstLine="420" w:firstLineChars="200"/>
        <w:rPr>
          <w:szCs w:val="22"/>
        </w:rPr>
      </w:pPr>
    </w:p>
    <w:p>
      <w:pPr>
        <w:spacing w:line="360" w:lineRule="auto"/>
        <w:ind w:firstLine="420" w:firstLineChars="200"/>
        <w:rPr>
          <w:rFonts w:hint="eastAsia"/>
        </w:rPr>
      </w:pPr>
      <w:r>
        <w:rPr>
          <w:rFonts w:hint="eastAsia"/>
        </w:rPr>
        <w:t>投标人：</w:t>
      </w:r>
    </w:p>
    <w:p>
      <w:pPr>
        <w:spacing w:line="360" w:lineRule="auto"/>
        <w:ind w:firstLine="420" w:firstLineChars="200"/>
        <w:rPr>
          <w:rFonts w:hint="eastAsia"/>
        </w:rPr>
      </w:pPr>
      <w:r>
        <w:rPr>
          <w:rFonts w:hint="eastAsia"/>
        </w:rPr>
        <w:t>法定代表人：</w:t>
      </w:r>
    </w:p>
    <w:p>
      <w:pPr>
        <w:spacing w:line="360" w:lineRule="auto"/>
        <w:ind w:firstLine="420" w:firstLineChars="200"/>
        <w:rPr>
          <w:rFonts w:hint="eastAsia"/>
        </w:rPr>
      </w:pPr>
      <w:r>
        <w:rPr>
          <w:rFonts w:hint="eastAsia"/>
        </w:rPr>
        <w:t>授权委托日期：         年     月       日</w:t>
      </w:r>
    </w:p>
    <w:p>
      <w:pPr>
        <w:spacing w:line="360" w:lineRule="auto"/>
        <w:jc w:val="center"/>
        <w:outlineLvl w:val="2"/>
        <w:rPr>
          <w:rFonts w:ascii="宋体" w:hAnsi="宋体"/>
          <w:b/>
          <w:bCs/>
          <w:sz w:val="30"/>
          <w:szCs w:val="30"/>
        </w:rPr>
        <w:sectPr>
          <w:pgSz w:w="11906" w:h="16838"/>
          <w:pgMar w:top="1701" w:right="1588" w:bottom="1304" w:left="1588" w:header="1247" w:footer="737" w:gutter="0"/>
          <w:cols w:space="720" w:num="1"/>
          <w:docGrid w:linePitch="380" w:charSpace="-4301"/>
        </w:sectPr>
      </w:pPr>
    </w:p>
    <w:p>
      <w:pPr>
        <w:spacing w:line="360" w:lineRule="auto"/>
        <w:jc w:val="center"/>
        <w:outlineLvl w:val="2"/>
        <w:rPr>
          <w:rFonts w:ascii="宋体" w:hAnsi="宋体"/>
          <w:b/>
          <w:bCs/>
          <w:sz w:val="30"/>
          <w:szCs w:val="30"/>
        </w:rPr>
      </w:pPr>
      <w:bookmarkStart w:id="514" w:name="_Toc51235190"/>
      <w:r>
        <w:rPr>
          <w:rFonts w:hint="eastAsia" w:ascii="宋体" w:hAnsi="宋体"/>
          <w:b/>
          <w:bCs/>
          <w:sz w:val="30"/>
          <w:szCs w:val="30"/>
        </w:rPr>
        <w:t>三、投标函</w:t>
      </w:r>
      <w:bookmarkEnd w:id="514"/>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深圳市龙华区住房和建设局</w:t>
      </w:r>
    </w:p>
    <w:p>
      <w:pPr>
        <w:spacing w:line="360" w:lineRule="auto"/>
        <w:ind w:firstLine="420" w:firstLineChars="200"/>
      </w:pPr>
      <w:r>
        <w:rPr>
          <w:rFonts w:hint="eastAsia"/>
        </w:rPr>
        <w:t>1、根据已收到贵方的招标编号为</w:t>
      </w:r>
      <w:r>
        <w:rPr>
          <w:rFonts w:hint="eastAsia"/>
          <w:u w:val="single"/>
        </w:rPr>
        <w:t xml:space="preserve">        </w:t>
      </w:r>
      <w:r>
        <w:rPr>
          <w:rFonts w:hint="eastAsia"/>
        </w:rPr>
        <w:t>的</w:t>
      </w:r>
      <w:r>
        <w:rPr>
          <w:rFonts w:hint="eastAsia"/>
          <w:u w:val="single"/>
        </w:rPr>
        <w:t xml:space="preserve">               </w:t>
      </w:r>
      <w:r>
        <w:rPr>
          <w:rFonts w:hint="eastAsia"/>
        </w:rPr>
        <w:t>项目的采购文件，遵照《深圳经济特区政府采购条例》和有关规定，我单位经研究上述采购文件的专用条款及通用条款后，我方愿以投标文件编制《开标一览表》中填写的投标报价并按采购文件要求承包上述项目并修补其任何缺陷。</w:t>
      </w:r>
    </w:p>
    <w:p>
      <w:pPr>
        <w:spacing w:line="360" w:lineRule="auto"/>
        <w:ind w:firstLine="420" w:firstLineChars="200"/>
      </w:pPr>
      <w:r>
        <w:t>2</w:t>
      </w:r>
      <w:r>
        <w:rPr>
          <w:rFonts w:hint="eastAsia"/>
        </w:rPr>
        <w:t>、如果我方中标，我方将按照规定提交上述总价</w:t>
      </w:r>
      <w:r>
        <w:rPr>
          <w:rFonts w:hint="eastAsia"/>
          <w:u w:val="single"/>
        </w:rPr>
        <w:t xml:space="preserve">      </w:t>
      </w:r>
      <w:r>
        <w:rPr>
          <w:rFonts w:hint="eastAsia"/>
        </w:rPr>
        <w:t>％（或</w:t>
      </w:r>
      <w:r>
        <w:rPr>
          <w:rFonts w:hint="eastAsia"/>
          <w:u w:val="single"/>
        </w:rPr>
        <w:t xml:space="preserve">   </w:t>
      </w:r>
      <w:r>
        <w:rPr>
          <w:rFonts w:hint="eastAsia"/>
        </w:rPr>
        <w:t>万元）作为履约担保（可提供保函或现金）。</w:t>
      </w:r>
    </w:p>
    <w:p>
      <w:pPr>
        <w:spacing w:line="360" w:lineRule="auto"/>
        <w:ind w:firstLine="420" w:firstLineChars="200"/>
      </w:pPr>
      <w:r>
        <w:rPr>
          <w:rFonts w:hint="eastAsia"/>
        </w:rPr>
        <w:t>3、我方同意所递交的投标文件在“对通用条款的补充内容”中的投标有效期内有效，在此期间内我方的投标有可能中标，我方将受此约束。如果在投标有效期内撤回其投标，其投标保证金将全部被没收。</w:t>
      </w:r>
    </w:p>
    <w:p>
      <w:pPr>
        <w:spacing w:line="360" w:lineRule="auto"/>
        <w:ind w:firstLine="420" w:firstLineChars="200"/>
      </w:pPr>
      <w:r>
        <w:rPr>
          <w:rFonts w:hint="eastAsia"/>
        </w:rPr>
        <w:t>4、除非另外达成协议并生效，贵方的中标通知书和本投标文件将构成约束我们双方的合同。</w:t>
      </w:r>
    </w:p>
    <w:p>
      <w:pPr>
        <w:spacing w:line="360" w:lineRule="auto"/>
        <w:ind w:firstLine="420" w:firstLineChars="200"/>
      </w:pPr>
      <w:r>
        <w:rPr>
          <w:rFonts w:hint="eastAsia"/>
        </w:rPr>
        <w:t>5、我方理解贵方将不受必须接受你们所收到的最低标价或其它任何投标文件的约束。</w:t>
      </w:r>
    </w:p>
    <w:p>
      <w:pPr>
        <w:spacing w:line="360" w:lineRule="auto"/>
        <w:ind w:left="540" w:leftChars="257"/>
        <w:rPr>
          <w:rFonts w:hint="eastAsia"/>
          <w:szCs w:val="21"/>
        </w:rPr>
      </w:pPr>
    </w:p>
    <w:p>
      <w:pPr>
        <w:spacing w:line="360" w:lineRule="auto"/>
        <w:ind w:left="540" w:leftChars="257"/>
        <w:rPr>
          <w:rFonts w:hint="eastAsia"/>
          <w:szCs w:val="21"/>
        </w:rPr>
      </w:pPr>
    </w:p>
    <w:p>
      <w:pPr>
        <w:spacing w:line="360" w:lineRule="auto"/>
        <w:ind w:left="540" w:leftChars="257"/>
        <w:rPr>
          <w:rFonts w:hint="eastAsia"/>
          <w:szCs w:val="21"/>
        </w:rPr>
      </w:pPr>
    </w:p>
    <w:p>
      <w:pPr>
        <w:spacing w:line="360" w:lineRule="auto"/>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spacing w:line="360" w:lineRule="auto"/>
        <w:ind w:left="540" w:leftChars="257"/>
        <w:rPr>
          <w:szCs w:val="21"/>
          <w:u w:val="single"/>
        </w:rPr>
      </w:pPr>
      <w:r>
        <w:rPr>
          <w:rFonts w:hint="eastAsia"/>
          <w:szCs w:val="21"/>
        </w:rPr>
        <w:t>法定代表人或其委托代理人：</w:t>
      </w:r>
      <w:r>
        <w:rPr>
          <w:rFonts w:hint="eastAsia"/>
          <w:szCs w:val="21"/>
          <w:u w:val="single"/>
        </w:rPr>
        <w:t xml:space="preserve">                   </w:t>
      </w:r>
    </w:p>
    <w:p>
      <w:pPr>
        <w:spacing w:line="360" w:lineRule="auto"/>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pPr>
        <w:spacing w:line="360" w:lineRule="auto"/>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w:t>
      </w:r>
      <w:bookmarkStart w:id="550" w:name="_GoBack"/>
      <w:bookmarkEnd w:id="550"/>
      <w:r>
        <w:rPr>
          <w:rFonts w:hint="eastAsia"/>
          <w:szCs w:val="21"/>
          <w:lang w:eastAsia="zh-CN"/>
        </w:rPr>
        <w:t>账号</w:t>
      </w:r>
      <w:r>
        <w:rPr>
          <w:rFonts w:hint="eastAsia"/>
          <w:szCs w:val="21"/>
        </w:rPr>
        <w:t>：</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spacing w:line="360" w:lineRule="auto"/>
        <w:ind w:left="540" w:leftChars="257"/>
        <w:rPr>
          <w:rFonts w:hint="eastAsia"/>
          <w:szCs w:val="21"/>
          <w:u w:val="single"/>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spacing w:line="360" w:lineRule="auto"/>
        <w:ind w:left="540" w:leftChars="257"/>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ascii="宋体" w:hAnsi="宋体"/>
          <w:b/>
          <w:bCs/>
          <w:sz w:val="30"/>
          <w:szCs w:val="30"/>
        </w:rPr>
      </w:pPr>
    </w:p>
    <w:p>
      <w:pPr>
        <w:spacing w:line="360" w:lineRule="auto"/>
        <w:jc w:val="center"/>
        <w:outlineLvl w:val="2"/>
        <w:rPr>
          <w:rFonts w:ascii="宋体" w:hAnsi="宋体"/>
          <w:b/>
          <w:bCs/>
          <w:sz w:val="30"/>
          <w:szCs w:val="30"/>
        </w:rPr>
        <w:sectPr>
          <w:pgSz w:w="11906" w:h="16838"/>
          <w:pgMar w:top="1701" w:right="1588" w:bottom="1304" w:left="1588" w:header="1247" w:footer="737" w:gutter="0"/>
          <w:cols w:space="720" w:num="1"/>
          <w:docGrid w:linePitch="380" w:charSpace="-4301"/>
        </w:sectPr>
      </w:pPr>
    </w:p>
    <w:p>
      <w:pPr>
        <w:spacing w:line="360" w:lineRule="auto"/>
        <w:jc w:val="center"/>
        <w:outlineLvl w:val="2"/>
        <w:rPr>
          <w:rFonts w:hint="eastAsia" w:ascii="宋体" w:hAnsi="宋体"/>
          <w:b/>
          <w:bCs/>
          <w:sz w:val="30"/>
          <w:szCs w:val="30"/>
        </w:rPr>
      </w:pPr>
      <w:bookmarkStart w:id="515" w:name="_Toc51235191"/>
      <w:r>
        <w:rPr>
          <w:rFonts w:hint="eastAsia" w:ascii="宋体" w:hAnsi="宋体"/>
          <w:b/>
          <w:bCs/>
          <w:sz w:val="30"/>
          <w:szCs w:val="30"/>
        </w:rPr>
        <w:t>四、诚信声明函</w:t>
      </w:r>
      <w:bookmarkEnd w:id="515"/>
    </w:p>
    <w:p>
      <w:pPr>
        <w:ind w:firstLine="420" w:firstLineChars="200"/>
        <w:rPr>
          <w:rFonts w:hint="eastAsia"/>
        </w:rPr>
      </w:pPr>
    </w:p>
    <w:p>
      <w:pPr>
        <w:spacing w:line="360" w:lineRule="auto"/>
        <w:ind w:firstLine="420" w:firstLineChars="200"/>
        <w:rPr>
          <w:rFonts w:hint="eastAsia"/>
        </w:rPr>
      </w:pPr>
      <w:r>
        <w:rPr>
          <w:rFonts w:hint="eastAsia"/>
        </w:rPr>
        <w:t>本公司郑重声明，根据</w:t>
      </w:r>
      <w:r>
        <w:rPr>
          <w:rFonts w:hint="eastAsia" w:hAnsi="宋体"/>
          <w:bCs/>
        </w:rPr>
        <w:t>深财购</w:t>
      </w:r>
      <w:r>
        <w:rPr>
          <w:rFonts w:hAnsi="宋体"/>
          <w:bCs/>
        </w:rPr>
        <w:t>﹝2013﹞27</w:t>
      </w:r>
      <w:r>
        <w:rPr>
          <w:rFonts w:hint="eastAsia" w:hAnsi="宋体"/>
          <w:bCs/>
        </w:rPr>
        <w:t>号文通知</w:t>
      </w:r>
      <w:r>
        <w:rPr>
          <w:rFonts w:hint="eastAsia"/>
        </w:rPr>
        <w:t>，本公司</w:t>
      </w:r>
      <w:r>
        <w:rPr>
          <w:rFonts w:hint="eastAsia" w:hAnsi="宋体"/>
          <w:bCs/>
        </w:rPr>
        <w:t>不存在以下情形</w:t>
      </w:r>
      <w:r>
        <w:rPr>
          <w:rFonts w:hint="eastAsia"/>
        </w:rPr>
        <w:t>：</w:t>
      </w:r>
    </w:p>
    <w:p>
      <w:pPr>
        <w:spacing w:line="360" w:lineRule="auto"/>
        <w:ind w:firstLine="420" w:firstLineChars="200"/>
        <w:rPr>
          <w:rFonts w:hint="eastAsia"/>
        </w:rPr>
      </w:pPr>
      <w:r>
        <w:rPr>
          <w:rFonts w:hint="eastAsia"/>
        </w:rPr>
        <w:t>1.</w:t>
      </w:r>
      <w:r>
        <w:t>被纪检监察部门立案调查，违法违规事实成立的；</w:t>
      </w:r>
    </w:p>
    <w:p>
      <w:pPr>
        <w:spacing w:line="360" w:lineRule="auto"/>
        <w:ind w:firstLine="420" w:firstLineChars="200"/>
        <w:rPr>
          <w:rFonts w:hint="eastAsia"/>
        </w:rPr>
      </w:pPr>
      <w:r>
        <w:rPr>
          <w:rFonts w:hint="eastAsia"/>
        </w:rPr>
        <w:t>2.</w:t>
      </w:r>
      <w:r>
        <w:t>未按规定签订、履行采购合同，造成严重后果的；</w:t>
      </w:r>
    </w:p>
    <w:p>
      <w:pPr>
        <w:spacing w:line="360" w:lineRule="auto"/>
        <w:ind w:firstLine="420" w:firstLineChars="200"/>
        <w:rPr>
          <w:rFonts w:hint="eastAsia"/>
        </w:rPr>
      </w:pPr>
      <w:r>
        <w:rPr>
          <w:rFonts w:hint="eastAsia"/>
        </w:rPr>
        <w:t>3.</w:t>
      </w:r>
      <w:r>
        <w:t>隐瞒真实情况，提供虚假资料的；</w:t>
      </w:r>
    </w:p>
    <w:p>
      <w:pPr>
        <w:spacing w:line="360" w:lineRule="auto"/>
        <w:ind w:firstLine="420" w:firstLineChars="200"/>
      </w:pPr>
      <w:r>
        <w:rPr>
          <w:rFonts w:hint="eastAsia"/>
        </w:rPr>
        <w:t>4.</w:t>
      </w:r>
      <w:r>
        <w:t>以非法手段排斥其他投标人参与竞争的；</w:t>
      </w:r>
    </w:p>
    <w:p>
      <w:pPr>
        <w:spacing w:line="360" w:lineRule="auto"/>
        <w:ind w:firstLine="420" w:firstLineChars="200"/>
      </w:pPr>
      <w:r>
        <w:rPr>
          <w:rFonts w:hint="eastAsia"/>
        </w:rPr>
        <w:t>5.</w:t>
      </w:r>
      <w:r>
        <w:t>与其他采购参加人串通投标的；</w:t>
      </w:r>
    </w:p>
    <w:p>
      <w:pPr>
        <w:spacing w:line="360" w:lineRule="auto"/>
        <w:ind w:firstLine="420" w:firstLineChars="200"/>
      </w:pPr>
      <w:r>
        <w:rPr>
          <w:rFonts w:hint="eastAsia"/>
        </w:rPr>
        <w:t>6.</w:t>
      </w:r>
      <w:r>
        <w:t>在采购活动中应当回避而未回避的；</w:t>
      </w:r>
    </w:p>
    <w:p>
      <w:pPr>
        <w:spacing w:line="360" w:lineRule="auto"/>
        <w:ind w:firstLine="420" w:firstLineChars="200"/>
      </w:pPr>
      <w:r>
        <w:rPr>
          <w:rFonts w:hint="eastAsia"/>
        </w:rPr>
        <w:t>7.</w:t>
      </w:r>
      <w:r>
        <w:t>恶意投诉的；</w:t>
      </w:r>
    </w:p>
    <w:p>
      <w:pPr>
        <w:spacing w:line="360" w:lineRule="auto"/>
        <w:ind w:firstLine="420" w:firstLineChars="200"/>
      </w:pPr>
      <w:r>
        <w:rPr>
          <w:rFonts w:hint="eastAsia"/>
        </w:rPr>
        <w:t>8.</w:t>
      </w:r>
      <w:r>
        <w:t>向采购项目相关人行贿或者提供其他不当利益的；</w:t>
      </w:r>
    </w:p>
    <w:p>
      <w:pPr>
        <w:spacing w:line="360" w:lineRule="auto"/>
        <w:ind w:firstLine="420" w:firstLineChars="200"/>
      </w:pPr>
      <w:r>
        <w:rPr>
          <w:rFonts w:hint="eastAsia"/>
        </w:rPr>
        <w:t>9.</w:t>
      </w:r>
      <w:r>
        <w:t>阻碍、抗拒主管部门监督检查的；</w:t>
      </w:r>
    </w:p>
    <w:p>
      <w:pPr>
        <w:spacing w:line="360" w:lineRule="auto"/>
        <w:ind w:firstLine="420" w:firstLineChars="200"/>
      </w:pPr>
      <w:r>
        <w:rPr>
          <w:rFonts w:hint="eastAsia"/>
        </w:rPr>
        <w:t>10</w:t>
      </w:r>
      <w:r>
        <w:t>履约检查不及格或评价为差的；</w:t>
      </w:r>
    </w:p>
    <w:p>
      <w:pPr>
        <w:spacing w:line="360" w:lineRule="auto"/>
        <w:ind w:firstLine="420" w:firstLineChars="200"/>
        <w:rPr>
          <w:rFonts w:hint="eastAsia"/>
        </w:rPr>
      </w:pPr>
      <w:r>
        <w:rPr>
          <w:rFonts w:hint="eastAsia"/>
        </w:rPr>
        <w:t>11.</w:t>
      </w:r>
      <w:r>
        <w:t>主管部门认定的其他情形。</w:t>
      </w:r>
    </w:p>
    <w:p>
      <w:pPr>
        <w:spacing w:line="360" w:lineRule="auto"/>
        <w:ind w:firstLine="420" w:firstLineChars="200"/>
        <w:rPr>
          <w:rFonts w:hint="eastAsia"/>
        </w:rPr>
      </w:pPr>
      <w:r>
        <w:rPr>
          <w:rFonts w:hint="eastAsia"/>
        </w:rPr>
        <w:t>本公司对上述声明的真实性负责。如有虚假，将依法承担相应责任。</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r>
        <w:rPr>
          <w:rFonts w:hint="eastAsia"/>
        </w:rPr>
        <w:t>投标人：（盖公章）</w:t>
      </w:r>
    </w:p>
    <w:p>
      <w:pPr>
        <w:spacing w:line="360" w:lineRule="auto"/>
        <w:ind w:firstLine="420" w:firstLineChars="200"/>
        <w:rPr>
          <w:rFonts w:hint="eastAsia"/>
        </w:rPr>
      </w:pPr>
      <w:r>
        <w:rPr>
          <w:rFonts w:hint="eastAsia"/>
        </w:rPr>
        <w:t>日  期：     年    月     日</w:t>
      </w:r>
      <w:r>
        <w:rPr>
          <w:rFonts w:ascii="宋体" w:hAnsi="宋体"/>
          <w:szCs w:val="21"/>
        </w:rPr>
        <w:br w:type="page"/>
      </w:r>
      <w:r>
        <w:rPr>
          <w:rFonts w:hint="eastAsia"/>
        </w:rPr>
        <w:t>附件5：政府采购投标及履约承诺函格式</w:t>
      </w:r>
    </w:p>
    <w:p>
      <w:pPr>
        <w:rPr>
          <w:rFonts w:hint="eastAsia"/>
        </w:rPr>
      </w:pPr>
    </w:p>
    <w:p>
      <w:pPr>
        <w:spacing w:line="360" w:lineRule="auto"/>
        <w:jc w:val="center"/>
        <w:outlineLvl w:val="2"/>
        <w:rPr>
          <w:rFonts w:ascii="宋体" w:hAnsi="宋体"/>
          <w:b/>
          <w:bCs/>
          <w:sz w:val="30"/>
          <w:szCs w:val="30"/>
        </w:rPr>
      </w:pPr>
      <w:bookmarkStart w:id="516" w:name="_Toc51235192"/>
      <w:r>
        <w:rPr>
          <w:rFonts w:hint="eastAsia" w:ascii="宋体" w:hAnsi="宋体"/>
          <w:b/>
          <w:bCs/>
          <w:sz w:val="30"/>
          <w:szCs w:val="30"/>
        </w:rPr>
        <w:t>五、政府采购投标及履约承诺函</w:t>
      </w:r>
      <w:bookmarkEnd w:id="516"/>
    </w:p>
    <w:p>
      <w:pPr>
        <w:rPr>
          <w:rFonts w:hint="eastAsia" w:ascii="宋体" w:hAnsi="宋体"/>
          <w:szCs w:val="21"/>
        </w:rPr>
      </w:pPr>
    </w:p>
    <w:p>
      <w:pPr>
        <w:spacing w:line="360" w:lineRule="auto"/>
        <w:rPr>
          <w:rFonts w:hint="eastAsia"/>
        </w:rPr>
      </w:pPr>
      <w:r>
        <w:rPr>
          <w:rFonts w:hint="eastAsia"/>
        </w:rPr>
        <w:t>致：</w:t>
      </w:r>
      <w:r>
        <w:rPr>
          <w:rFonts w:hint="eastAsia" w:ascii="宋体" w:hAnsi="宋体"/>
          <w:szCs w:val="21"/>
          <w:u w:val="single"/>
        </w:rPr>
        <w:t>深圳市龙华区住房和建设局</w:t>
      </w:r>
    </w:p>
    <w:p>
      <w:pPr>
        <w:ind w:firstLine="420" w:firstLineChars="200"/>
        <w:rPr>
          <w:szCs w:val="21"/>
        </w:rPr>
      </w:pPr>
      <w:r>
        <w:rPr>
          <w:szCs w:val="21"/>
        </w:rPr>
        <w:t>我单位深知本项目对贵局的重要性和紧迫性，亦了解贵局对廉政建设的相关要求，因此我单位承诺如下：</w:t>
      </w:r>
    </w:p>
    <w:p>
      <w:pPr>
        <w:ind w:firstLine="420" w:firstLineChars="200"/>
        <w:rPr>
          <w:szCs w:val="21"/>
        </w:rPr>
      </w:pPr>
      <w:r>
        <w:rPr>
          <w:szCs w:val="21"/>
        </w:rPr>
        <w:t>1.我单位本招标项目所提供的货物或服务未侵犯知识产权。</w:t>
      </w:r>
    </w:p>
    <w:p>
      <w:pPr>
        <w:ind w:firstLine="420" w:firstLineChars="200"/>
        <w:rPr>
          <w:szCs w:val="21"/>
        </w:rPr>
      </w:pPr>
      <w:r>
        <w:rPr>
          <w:szCs w:val="21"/>
        </w:rPr>
        <w:t>2.我单位参与本项目投标前三年内，在经营活动中没有违法记录。</w:t>
      </w:r>
    </w:p>
    <w:p>
      <w:pPr>
        <w:ind w:firstLine="420" w:firstLineChars="200"/>
        <w:rPr>
          <w:szCs w:val="21"/>
        </w:rPr>
      </w:pPr>
      <w:r>
        <w:rPr>
          <w:szCs w:val="21"/>
        </w:rPr>
        <w:t>3.我单位参与本项目政府采购活动时不存在被有关部门禁止参与政府采购活动且在有效期内的情况。</w:t>
      </w:r>
    </w:p>
    <w:p>
      <w:pPr>
        <w:ind w:firstLine="420" w:firstLineChars="200"/>
        <w:rPr>
          <w:szCs w:val="21"/>
        </w:rPr>
      </w:pPr>
      <w:r>
        <w:rPr>
          <w:szCs w:val="21"/>
        </w:rPr>
        <w:t>4.我单位具备《中华人民共和国政府采购法》第二十二条第一款的条件。</w:t>
      </w:r>
    </w:p>
    <w:p>
      <w:pPr>
        <w:ind w:firstLine="420" w:firstLineChars="200"/>
        <w:rPr>
          <w:szCs w:val="21"/>
        </w:rPr>
      </w:pPr>
      <w:r>
        <w:rPr>
          <w:szCs w:val="21"/>
        </w:rPr>
        <w:t>5.我单位未被列入失信被执行人、税收违法案件当事人名单、政府采购严重违法失信行为记录名单。</w:t>
      </w:r>
    </w:p>
    <w:p>
      <w:pPr>
        <w:ind w:firstLine="420" w:firstLineChars="200"/>
        <w:rPr>
          <w:szCs w:val="21"/>
        </w:rPr>
      </w:pPr>
      <w:r>
        <w:rPr>
          <w:szCs w:val="21"/>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ind w:firstLine="420" w:firstLineChars="200"/>
        <w:rPr>
          <w:szCs w:val="21"/>
        </w:rPr>
      </w:pPr>
      <w:r>
        <w:rPr>
          <w:szCs w:val="21"/>
        </w:rPr>
        <w:t>7.我单位如果中标，做到诚实守信，依照本项目招标文件需求内容、签署的采购合同及本单位在投标中所作的一切承诺履约。</w:t>
      </w:r>
    </w:p>
    <w:p>
      <w:pPr>
        <w:ind w:firstLine="420" w:firstLineChars="200"/>
        <w:rPr>
          <w:szCs w:val="21"/>
        </w:rPr>
      </w:pPr>
      <w:r>
        <w:rPr>
          <w:szCs w:val="21"/>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szCs w:val="21"/>
        </w:rPr>
      </w:pPr>
      <w:r>
        <w:rPr>
          <w:szCs w:val="21"/>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ind w:firstLine="420" w:firstLineChars="200"/>
        <w:rPr>
          <w:szCs w:val="21"/>
        </w:rPr>
      </w:pPr>
      <w:r>
        <w:rPr>
          <w:szCs w:val="21"/>
        </w:rPr>
        <w:t>10.我单位承诺不非法转包、分包。</w:t>
      </w:r>
    </w:p>
    <w:p>
      <w:pPr>
        <w:ind w:firstLine="420" w:firstLineChars="200"/>
        <w:rPr>
          <w:szCs w:val="21"/>
        </w:rPr>
      </w:pPr>
      <w:r>
        <w:rPr>
          <w:szCs w:val="21"/>
        </w:rPr>
        <w:t>11.我单位承诺未参与本项目的采购需求、技术指标、商务指标等内容的设定，不存在对其他投标单位不公平的行为。</w:t>
      </w:r>
    </w:p>
    <w:p>
      <w:pPr>
        <w:ind w:firstLine="420" w:firstLineChars="200"/>
        <w:rPr>
          <w:szCs w:val="21"/>
        </w:rPr>
      </w:pPr>
      <w:r>
        <w:rPr>
          <w:szCs w:val="21"/>
        </w:rPr>
        <w:t>11.我单位承诺不对采购人进行贿赂，进行有偿报答。</w:t>
      </w:r>
    </w:p>
    <w:p>
      <w:pPr>
        <w:ind w:firstLine="420" w:firstLineChars="200"/>
        <w:rPr>
          <w:szCs w:val="21"/>
        </w:rPr>
      </w:pPr>
      <w:r>
        <w:rPr>
          <w:szCs w:val="21"/>
        </w:rPr>
        <w:t>12.我单位承诺不对采购人进行任何形式的利益输送。</w:t>
      </w:r>
    </w:p>
    <w:p>
      <w:pPr>
        <w:ind w:firstLine="420" w:firstLineChars="200"/>
        <w:rPr>
          <w:szCs w:val="21"/>
        </w:rPr>
      </w:pPr>
      <w:r>
        <w:rPr>
          <w:szCs w:val="21"/>
        </w:rPr>
        <w:t>13.我单位承诺不对采购人进行宴请和娱乐等消费活动。</w:t>
      </w:r>
    </w:p>
    <w:p>
      <w:pPr>
        <w:ind w:firstLine="420" w:firstLineChars="200"/>
        <w:rPr>
          <w:szCs w:val="21"/>
        </w:rPr>
      </w:pPr>
      <w:r>
        <w:rPr>
          <w:szCs w:val="21"/>
        </w:rPr>
        <w:t>14.我单位承诺不对采购人进行赠送各种礼品、现金、有价证券、中介费、好处费等行为。</w:t>
      </w:r>
    </w:p>
    <w:p>
      <w:pPr>
        <w:ind w:firstLine="420" w:firstLineChars="200"/>
        <w:rPr>
          <w:szCs w:val="21"/>
        </w:rPr>
      </w:pPr>
      <w:r>
        <w:rPr>
          <w:szCs w:val="21"/>
        </w:rPr>
        <w:t>以上承诺，如有违反，愿依照国家相关法律处理，并承担由此给采购人带来的损失。</w:t>
      </w:r>
    </w:p>
    <w:p>
      <w:pPr>
        <w:ind w:firstLine="420" w:firstLineChars="200"/>
        <w:rPr>
          <w:szCs w:val="21"/>
        </w:rPr>
      </w:pPr>
    </w:p>
    <w:p>
      <w:pPr>
        <w:ind w:firstLine="420" w:firstLineChars="200"/>
        <w:rPr>
          <w:szCs w:val="21"/>
        </w:rPr>
      </w:pPr>
    </w:p>
    <w:p>
      <w:pPr>
        <w:ind w:firstLine="420" w:firstLineChars="200"/>
      </w:pPr>
      <w:r>
        <w:rPr>
          <w:szCs w:val="21"/>
        </w:rPr>
        <w:t xml:space="preserve">  </w:t>
      </w:r>
    </w:p>
    <w:p>
      <w:pPr>
        <w:ind w:right="420" w:firstLine="5355" w:firstLineChars="2550"/>
      </w:pPr>
      <w:r>
        <w:t>投标人：（盖公章）</w:t>
      </w:r>
    </w:p>
    <w:p>
      <w:pPr>
        <w:ind w:right="420"/>
        <w:jc w:val="right"/>
      </w:pPr>
    </w:p>
    <w:p>
      <w:pPr>
        <w:ind w:right="420"/>
        <w:jc w:val="right"/>
        <w:rPr>
          <w:rFonts w:eastAsia="黑体"/>
          <w:b/>
          <w:sz w:val="24"/>
        </w:rPr>
      </w:pPr>
      <w:r>
        <w:t>日  期：     年    月     日</w:t>
      </w:r>
    </w:p>
    <w:p>
      <w:pPr>
        <w:spacing w:line="360" w:lineRule="auto"/>
        <w:jc w:val="center"/>
        <w:outlineLvl w:val="2"/>
        <w:rPr>
          <w:rFonts w:ascii="宋体" w:hAnsi="宋体"/>
          <w:b/>
          <w:bCs/>
          <w:sz w:val="30"/>
          <w:szCs w:val="30"/>
        </w:rPr>
        <w:sectPr>
          <w:pgSz w:w="11906" w:h="16838"/>
          <w:pgMar w:top="1701" w:right="1588" w:bottom="1304" w:left="1588" w:header="1247" w:footer="737" w:gutter="0"/>
          <w:cols w:space="720" w:num="1"/>
          <w:docGrid w:linePitch="380" w:charSpace="-4301"/>
        </w:sectPr>
      </w:pPr>
      <w:r>
        <w:rPr>
          <w:rFonts w:ascii="宋体"/>
          <w:szCs w:val="21"/>
        </w:rPr>
        <w:br w:type="page"/>
      </w:r>
    </w:p>
    <w:p>
      <w:pPr>
        <w:spacing w:line="360" w:lineRule="auto"/>
        <w:jc w:val="center"/>
        <w:outlineLvl w:val="2"/>
        <w:rPr>
          <w:rFonts w:ascii="宋体" w:hAnsi="宋体"/>
          <w:b/>
          <w:bCs/>
          <w:sz w:val="30"/>
          <w:szCs w:val="30"/>
        </w:rPr>
      </w:pPr>
      <w:bookmarkStart w:id="517" w:name="_Toc51235193"/>
      <w:r>
        <w:rPr>
          <w:rFonts w:hint="eastAsia" w:ascii="宋体" w:hAnsi="宋体"/>
          <w:b/>
          <w:bCs/>
          <w:sz w:val="30"/>
          <w:szCs w:val="30"/>
        </w:rPr>
        <w:t>六、开标一览表</w:t>
      </w:r>
      <w:bookmarkEnd w:id="517"/>
    </w:p>
    <w:p/>
    <w:tbl>
      <w:tblPr>
        <w:tblStyle w:val="83"/>
        <w:tblW w:w="89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1766"/>
        <w:gridCol w:w="1532"/>
        <w:gridCol w:w="1358"/>
        <w:gridCol w:w="13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34" w:type="dxa"/>
            <w:vMerge w:val="restart"/>
            <w:tcBorders>
              <w:top w:val="double" w:color="auto" w:sz="4" w:space="0"/>
            </w:tcBorders>
            <w:vAlign w:val="center"/>
          </w:tcPr>
          <w:p>
            <w:pPr>
              <w:spacing w:line="360" w:lineRule="auto"/>
              <w:jc w:val="center"/>
              <w:rPr>
                <w:rFonts w:ascii="宋体" w:hAnsi="宋体"/>
                <w:snapToGrid w:val="0"/>
                <w:kern w:val="0"/>
                <w:szCs w:val="21"/>
              </w:rPr>
            </w:pPr>
            <w:r>
              <w:rPr>
                <w:rFonts w:hint="eastAsia" w:ascii="宋体" w:hAnsi="宋体"/>
                <w:snapToGrid w:val="0"/>
                <w:kern w:val="0"/>
                <w:szCs w:val="21"/>
              </w:rPr>
              <w:t>项目名称</w:t>
            </w:r>
          </w:p>
        </w:tc>
        <w:tc>
          <w:tcPr>
            <w:tcW w:w="3298" w:type="dxa"/>
            <w:gridSpan w:val="2"/>
            <w:tcBorders>
              <w:top w:val="double" w:color="auto" w:sz="4" w:space="0"/>
              <w:bottom w:val="single" w:color="auto" w:sz="4" w:space="0"/>
            </w:tcBorders>
            <w:vAlign w:val="center"/>
          </w:tcPr>
          <w:p>
            <w:pPr>
              <w:spacing w:line="360" w:lineRule="auto"/>
              <w:jc w:val="center"/>
              <w:rPr>
                <w:rFonts w:ascii="宋体" w:hAnsi="宋体"/>
                <w:snapToGrid w:val="0"/>
                <w:kern w:val="0"/>
                <w:szCs w:val="21"/>
              </w:rPr>
            </w:pPr>
            <w:r>
              <w:rPr>
                <w:rFonts w:hint="eastAsia" w:ascii="宋体" w:hAnsi="宋体"/>
                <w:snapToGrid w:val="0"/>
                <w:kern w:val="0"/>
                <w:szCs w:val="21"/>
              </w:rPr>
              <w:t>投标总价（元）</w:t>
            </w:r>
          </w:p>
        </w:tc>
        <w:tc>
          <w:tcPr>
            <w:tcW w:w="1358" w:type="dxa"/>
            <w:vMerge w:val="restart"/>
            <w:tcBorders>
              <w:top w:val="double" w:color="auto" w:sz="4" w:space="0"/>
            </w:tcBorders>
            <w:vAlign w:val="center"/>
          </w:tcPr>
          <w:p>
            <w:pPr>
              <w:spacing w:line="360" w:lineRule="auto"/>
              <w:jc w:val="center"/>
              <w:rPr>
                <w:rFonts w:hint="eastAsia" w:ascii="宋体" w:hAnsi="宋体"/>
                <w:snapToGrid w:val="0"/>
                <w:kern w:val="0"/>
                <w:szCs w:val="21"/>
              </w:rPr>
            </w:pPr>
            <w:r>
              <w:rPr>
                <w:rFonts w:hint="eastAsia" w:ascii="宋体" w:hAnsi="宋体"/>
                <w:snapToGrid w:val="0"/>
                <w:kern w:val="0"/>
                <w:szCs w:val="21"/>
              </w:rPr>
              <w:t>服务期</w:t>
            </w:r>
          </w:p>
        </w:tc>
        <w:tc>
          <w:tcPr>
            <w:tcW w:w="1356" w:type="dxa"/>
            <w:vMerge w:val="restart"/>
            <w:tcBorders>
              <w:top w:val="double" w:color="auto" w:sz="4" w:space="0"/>
            </w:tcBorders>
            <w:vAlign w:val="center"/>
          </w:tcPr>
          <w:p>
            <w:pPr>
              <w:spacing w:line="360" w:lineRule="auto"/>
              <w:jc w:val="center"/>
              <w:rPr>
                <w:rFonts w:ascii="宋体" w:hAnsi="宋体"/>
                <w:snapToGrid w:val="0"/>
                <w:kern w:val="0"/>
                <w:szCs w:val="21"/>
              </w:rPr>
            </w:pPr>
            <w:r>
              <w:rPr>
                <w:rFonts w:hint="eastAsia" w:ascii="宋体" w:hAnsi="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934" w:type="dxa"/>
            <w:vMerge w:val="continue"/>
            <w:tcBorders>
              <w:bottom w:val="single" w:color="auto" w:sz="4" w:space="0"/>
            </w:tcBorders>
            <w:vAlign w:val="center"/>
          </w:tcPr>
          <w:p>
            <w:pPr>
              <w:spacing w:line="360" w:lineRule="auto"/>
              <w:jc w:val="center"/>
              <w:rPr>
                <w:rFonts w:ascii="宋体" w:hAnsi="宋体"/>
                <w:snapToGrid w:val="0"/>
                <w:kern w:val="0"/>
                <w:szCs w:val="21"/>
                <w:u w:val="single"/>
              </w:rPr>
            </w:pPr>
          </w:p>
        </w:tc>
        <w:tc>
          <w:tcPr>
            <w:tcW w:w="1766" w:type="dxa"/>
            <w:tcBorders>
              <w:top w:val="single" w:color="auto" w:sz="4" w:space="0"/>
              <w:bottom w:val="single" w:color="auto" w:sz="4" w:space="0"/>
            </w:tcBorders>
            <w:vAlign w:val="center"/>
          </w:tcPr>
          <w:p>
            <w:pPr>
              <w:spacing w:line="360" w:lineRule="auto"/>
              <w:jc w:val="center"/>
              <w:rPr>
                <w:rFonts w:ascii="宋体" w:hAnsi="宋体"/>
                <w:snapToGrid w:val="0"/>
                <w:kern w:val="0"/>
                <w:szCs w:val="21"/>
              </w:rPr>
            </w:pPr>
            <w:r>
              <w:rPr>
                <w:rFonts w:hint="eastAsia" w:ascii="宋体" w:hAnsi="宋体"/>
                <w:snapToGrid w:val="0"/>
                <w:kern w:val="0"/>
                <w:szCs w:val="21"/>
              </w:rPr>
              <w:t>大写</w:t>
            </w:r>
          </w:p>
        </w:tc>
        <w:tc>
          <w:tcPr>
            <w:tcW w:w="1532" w:type="dxa"/>
            <w:tcBorders>
              <w:top w:val="single" w:color="auto" w:sz="4" w:space="0"/>
              <w:bottom w:val="single" w:color="auto" w:sz="4" w:space="0"/>
            </w:tcBorders>
            <w:vAlign w:val="center"/>
          </w:tcPr>
          <w:p>
            <w:pPr>
              <w:spacing w:line="360" w:lineRule="auto"/>
              <w:jc w:val="center"/>
              <w:rPr>
                <w:rFonts w:ascii="宋体" w:hAnsi="宋体"/>
                <w:snapToGrid w:val="0"/>
                <w:kern w:val="0"/>
                <w:szCs w:val="21"/>
              </w:rPr>
            </w:pPr>
            <w:r>
              <w:rPr>
                <w:rFonts w:hint="eastAsia" w:ascii="宋体" w:hAnsi="宋体"/>
                <w:snapToGrid w:val="0"/>
                <w:kern w:val="0"/>
                <w:szCs w:val="21"/>
              </w:rPr>
              <w:t>小写</w:t>
            </w:r>
          </w:p>
        </w:tc>
        <w:tc>
          <w:tcPr>
            <w:tcW w:w="1358" w:type="dxa"/>
            <w:vMerge w:val="continue"/>
            <w:tcBorders>
              <w:bottom w:val="single" w:color="auto" w:sz="4" w:space="0"/>
            </w:tcBorders>
            <w:vAlign w:val="center"/>
          </w:tcPr>
          <w:p>
            <w:pPr>
              <w:spacing w:line="360" w:lineRule="auto"/>
              <w:jc w:val="center"/>
              <w:rPr>
                <w:rFonts w:ascii="宋体" w:hAnsi="宋体"/>
                <w:snapToGrid w:val="0"/>
                <w:kern w:val="0"/>
                <w:szCs w:val="21"/>
              </w:rPr>
            </w:pPr>
          </w:p>
        </w:tc>
        <w:tc>
          <w:tcPr>
            <w:tcW w:w="1356" w:type="dxa"/>
            <w:vMerge w:val="continue"/>
            <w:tcBorders>
              <w:bottom w:val="single" w:color="auto" w:sz="4" w:space="0"/>
            </w:tcBorders>
            <w:vAlign w:val="center"/>
          </w:tcPr>
          <w:p>
            <w:pPr>
              <w:spacing w:line="360" w:lineRule="auto"/>
              <w:jc w:val="center"/>
              <w:rPr>
                <w:rFonts w:ascii="宋体" w:hAnsi="宋体"/>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934" w:type="dxa"/>
            <w:tcBorders>
              <w:top w:val="single" w:color="auto" w:sz="4" w:space="0"/>
            </w:tcBorders>
            <w:vAlign w:val="center"/>
          </w:tcPr>
          <w:p>
            <w:pPr>
              <w:spacing w:line="360" w:lineRule="auto"/>
              <w:jc w:val="center"/>
              <w:rPr>
                <w:rFonts w:ascii="宋体" w:hAnsi="宋体"/>
                <w:snapToGrid w:val="0"/>
                <w:kern w:val="0"/>
                <w:szCs w:val="21"/>
                <w:u w:val="single"/>
              </w:rPr>
            </w:pPr>
          </w:p>
        </w:tc>
        <w:tc>
          <w:tcPr>
            <w:tcW w:w="1766" w:type="dxa"/>
            <w:tcBorders>
              <w:top w:val="single" w:color="auto" w:sz="4" w:space="0"/>
            </w:tcBorders>
            <w:vAlign w:val="center"/>
          </w:tcPr>
          <w:p>
            <w:pPr>
              <w:spacing w:line="360" w:lineRule="auto"/>
              <w:jc w:val="center"/>
              <w:rPr>
                <w:rFonts w:ascii="宋体" w:hAnsi="宋体"/>
                <w:snapToGrid w:val="0"/>
                <w:kern w:val="0"/>
                <w:szCs w:val="21"/>
              </w:rPr>
            </w:pPr>
          </w:p>
        </w:tc>
        <w:tc>
          <w:tcPr>
            <w:tcW w:w="1532" w:type="dxa"/>
            <w:tcBorders>
              <w:top w:val="single" w:color="auto" w:sz="4" w:space="0"/>
            </w:tcBorders>
            <w:vAlign w:val="center"/>
          </w:tcPr>
          <w:p>
            <w:pPr>
              <w:spacing w:line="360" w:lineRule="auto"/>
              <w:jc w:val="center"/>
              <w:rPr>
                <w:rFonts w:ascii="宋体" w:hAnsi="宋体"/>
                <w:snapToGrid w:val="0"/>
                <w:kern w:val="0"/>
                <w:szCs w:val="21"/>
              </w:rPr>
            </w:pPr>
          </w:p>
        </w:tc>
        <w:tc>
          <w:tcPr>
            <w:tcW w:w="1358" w:type="dxa"/>
            <w:tcBorders>
              <w:top w:val="single" w:color="auto" w:sz="4" w:space="0"/>
            </w:tcBorders>
            <w:vAlign w:val="center"/>
          </w:tcPr>
          <w:p>
            <w:pPr>
              <w:spacing w:line="360" w:lineRule="auto"/>
              <w:jc w:val="center"/>
              <w:rPr>
                <w:rFonts w:ascii="宋体" w:hAnsi="宋体"/>
                <w:snapToGrid w:val="0"/>
                <w:kern w:val="0"/>
                <w:szCs w:val="21"/>
              </w:rPr>
            </w:pPr>
          </w:p>
        </w:tc>
        <w:tc>
          <w:tcPr>
            <w:tcW w:w="1356" w:type="dxa"/>
            <w:tcBorders>
              <w:top w:val="single" w:color="auto" w:sz="4" w:space="0"/>
            </w:tcBorders>
            <w:vAlign w:val="center"/>
          </w:tcPr>
          <w:p>
            <w:pPr>
              <w:spacing w:line="360" w:lineRule="auto"/>
              <w:jc w:val="center"/>
              <w:rPr>
                <w:rFonts w:ascii="宋体" w:hAnsi="宋体"/>
                <w:snapToGrid w:val="0"/>
                <w:kern w:val="0"/>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ind w:firstLine="2940" w:firstLineChars="1400"/>
        <w:rPr>
          <w:rFonts w:ascii="宋体" w:hAnsi="宋体"/>
          <w:szCs w:val="21"/>
        </w:rPr>
      </w:pPr>
      <w:r>
        <w:rPr>
          <w:rFonts w:hint="eastAsia" w:ascii="宋体" w:hAnsi="宋体"/>
          <w:szCs w:val="21"/>
        </w:rPr>
        <w:t>投标人名称：</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 xml:space="preserve"> </w:t>
      </w:r>
    </w:p>
    <w:p>
      <w:pPr>
        <w:spacing w:line="360" w:lineRule="auto"/>
        <w:ind w:firstLine="2940" w:firstLineChars="1400"/>
        <w:rPr>
          <w:rFonts w:ascii="宋体" w:hAnsi="宋体"/>
          <w:szCs w:val="21"/>
        </w:rPr>
      </w:pPr>
      <w:r>
        <w:rPr>
          <w:rFonts w:hint="eastAsia"/>
          <w:szCs w:val="21"/>
        </w:rPr>
        <w:t>法定代表人或其委托代理人</w:t>
      </w:r>
      <w:r>
        <w:rPr>
          <w:rFonts w:hint="eastAsia" w:ascii="宋体" w:hAnsi="宋体"/>
          <w:szCs w:val="21"/>
        </w:rPr>
        <w:t>：</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2940" w:firstLineChars="1400"/>
      </w:pPr>
      <w:r>
        <w:rPr>
          <w:rFonts w:hint="eastAsia" w:ascii="宋体" w:hAnsi="宋体"/>
          <w:szCs w:val="21"/>
        </w:rPr>
        <w:t>日   期：</w:t>
      </w:r>
      <w:r>
        <w:rPr>
          <w:rFonts w:hint="eastAsia" w:ascii="宋体" w:hAnsi="宋体"/>
          <w:szCs w:val="21"/>
          <w:u w:val="single"/>
        </w:rPr>
        <w:t xml:space="preserve">                                   </w:t>
      </w:r>
    </w:p>
    <w:p>
      <w:pPr>
        <w:spacing w:line="360" w:lineRule="auto"/>
        <w:jc w:val="center"/>
        <w:outlineLvl w:val="2"/>
        <w:rPr>
          <w:rFonts w:ascii="宋体" w:hAnsi="宋体"/>
          <w:b/>
          <w:bCs/>
          <w:sz w:val="30"/>
          <w:szCs w:val="30"/>
        </w:rPr>
        <w:sectPr>
          <w:pgSz w:w="11906" w:h="16838"/>
          <w:pgMar w:top="1701" w:right="1588" w:bottom="1304" w:left="1588" w:header="1247" w:footer="737" w:gutter="0"/>
          <w:cols w:space="720" w:num="1"/>
          <w:docGrid w:linePitch="380" w:charSpace="-4301"/>
        </w:sectPr>
      </w:pPr>
    </w:p>
    <w:p>
      <w:pPr>
        <w:spacing w:line="360" w:lineRule="auto"/>
        <w:jc w:val="center"/>
        <w:outlineLvl w:val="2"/>
        <w:rPr>
          <w:rFonts w:ascii="宋体" w:hAnsi="宋体"/>
          <w:b/>
          <w:bCs/>
          <w:sz w:val="30"/>
          <w:szCs w:val="30"/>
        </w:rPr>
      </w:pPr>
      <w:bookmarkStart w:id="518" w:name="_Toc51235194"/>
      <w:r>
        <w:rPr>
          <w:rFonts w:hint="eastAsia" w:ascii="宋体" w:hAnsi="宋体"/>
          <w:b/>
          <w:bCs/>
          <w:sz w:val="30"/>
          <w:szCs w:val="30"/>
        </w:rPr>
        <w:t>七、投标人基本情况介绍</w:t>
      </w:r>
      <w:bookmarkEnd w:id="518"/>
    </w:p>
    <w:p>
      <w:pPr>
        <w:jc w:val="center"/>
        <w:rPr>
          <w:rFonts w:hint="eastAsia" w:ascii="黑体" w:eastAsia="黑体"/>
          <w:b/>
          <w:sz w:val="32"/>
          <w:szCs w:val="32"/>
        </w:rPr>
      </w:pPr>
      <w:r>
        <w:rPr>
          <w:rFonts w:hint="eastAsia" w:ascii="黑体" w:eastAsia="黑体"/>
          <w:b/>
          <w:sz w:val="32"/>
          <w:szCs w:val="32"/>
        </w:rPr>
        <w:t>投标人情况介绍</w:t>
      </w:r>
    </w:p>
    <w:p>
      <w:pPr>
        <w:rPr>
          <w:rFonts w:hint="eastAsia" w:ascii="黑体" w:eastAsia="黑体"/>
          <w:b/>
          <w:sz w:val="24"/>
        </w:rPr>
      </w:pPr>
    </w:p>
    <w:tbl>
      <w:tblPr>
        <w:tblStyle w:val="83"/>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367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序号</w:t>
            </w:r>
          </w:p>
        </w:tc>
        <w:tc>
          <w:tcPr>
            <w:tcW w:w="2477" w:type="dxa"/>
          </w:tcPr>
          <w:p>
            <w:pPr>
              <w:spacing w:line="360" w:lineRule="auto"/>
              <w:jc w:val="center"/>
              <w:rPr>
                <w:rFonts w:hint="eastAsia"/>
                <w:szCs w:val="21"/>
              </w:rPr>
            </w:pPr>
            <w:r>
              <w:rPr>
                <w:rFonts w:hint="eastAsia"/>
                <w:szCs w:val="21"/>
              </w:rPr>
              <w:t>项  目</w:t>
            </w:r>
          </w:p>
        </w:tc>
        <w:tc>
          <w:tcPr>
            <w:tcW w:w="3679" w:type="dxa"/>
            <w:vAlign w:val="center"/>
          </w:tcPr>
          <w:p>
            <w:pPr>
              <w:spacing w:line="360" w:lineRule="auto"/>
              <w:jc w:val="center"/>
              <w:rPr>
                <w:rFonts w:hint="eastAsia"/>
                <w:szCs w:val="21"/>
              </w:rPr>
            </w:pPr>
            <w:r>
              <w:rPr>
                <w:rFonts w:hint="eastAsia"/>
                <w:szCs w:val="21"/>
              </w:rPr>
              <w:t>内容及说明</w:t>
            </w:r>
          </w:p>
        </w:tc>
        <w:tc>
          <w:tcPr>
            <w:tcW w:w="1411" w:type="dxa"/>
            <w:vAlign w:val="center"/>
          </w:tcPr>
          <w:p>
            <w:pPr>
              <w:spacing w:line="360" w:lineRule="auto"/>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一</w:t>
            </w:r>
          </w:p>
        </w:tc>
        <w:tc>
          <w:tcPr>
            <w:tcW w:w="6156" w:type="dxa"/>
            <w:gridSpan w:val="2"/>
          </w:tcPr>
          <w:p>
            <w:pPr>
              <w:spacing w:line="360" w:lineRule="auto"/>
              <w:rPr>
                <w:szCs w:val="21"/>
              </w:rPr>
            </w:pPr>
            <w:r>
              <w:rPr>
                <w:rFonts w:hint="eastAsia"/>
                <w:szCs w:val="21"/>
              </w:rPr>
              <w:t>营业执照</w:t>
            </w:r>
          </w:p>
        </w:tc>
        <w:tc>
          <w:tcPr>
            <w:tcW w:w="1411" w:type="dxa"/>
            <w:vAlign w:val="center"/>
          </w:tcPr>
          <w:p>
            <w:pPr>
              <w:spacing w:line="360" w:lineRule="auto"/>
              <w:jc w:val="center"/>
              <w:rPr>
                <w:rFonts w:hint="eastAsia"/>
                <w:szCs w:val="21"/>
              </w:rPr>
            </w:pPr>
            <w:r>
              <w:rPr>
                <w:rFonts w:hint="eastAsia"/>
                <w:szCs w:val="21"/>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1</w:t>
            </w:r>
          </w:p>
        </w:tc>
        <w:tc>
          <w:tcPr>
            <w:tcW w:w="2477" w:type="dxa"/>
            <w:vAlign w:val="center"/>
          </w:tcPr>
          <w:p>
            <w:pPr>
              <w:spacing w:line="360" w:lineRule="auto"/>
              <w:jc w:val="center"/>
              <w:rPr>
                <w:rFonts w:hint="eastAsia"/>
                <w:szCs w:val="21"/>
              </w:rPr>
            </w:pPr>
            <w:r>
              <w:rPr>
                <w:rFonts w:hint="eastAsia"/>
                <w:szCs w:val="21"/>
              </w:rPr>
              <w:t>注册年度及注册编号</w:t>
            </w:r>
          </w:p>
        </w:tc>
        <w:tc>
          <w:tcPr>
            <w:tcW w:w="3679" w:type="dxa"/>
            <w:vAlign w:val="center"/>
          </w:tcPr>
          <w:p>
            <w:pPr>
              <w:spacing w:line="360" w:lineRule="auto"/>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2</w:t>
            </w:r>
          </w:p>
        </w:tc>
        <w:tc>
          <w:tcPr>
            <w:tcW w:w="2477" w:type="dxa"/>
            <w:vAlign w:val="center"/>
          </w:tcPr>
          <w:p>
            <w:pPr>
              <w:spacing w:line="360" w:lineRule="auto"/>
              <w:jc w:val="center"/>
              <w:rPr>
                <w:szCs w:val="21"/>
              </w:rPr>
            </w:pPr>
            <w:r>
              <w:rPr>
                <w:rFonts w:hint="eastAsia"/>
                <w:szCs w:val="21"/>
              </w:rPr>
              <w:t>注册资金（万元）</w:t>
            </w:r>
          </w:p>
        </w:tc>
        <w:tc>
          <w:tcPr>
            <w:tcW w:w="3679" w:type="dxa"/>
            <w:vAlign w:val="center"/>
          </w:tcPr>
          <w:p>
            <w:pPr>
              <w:spacing w:line="360" w:lineRule="auto"/>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3</w:t>
            </w:r>
          </w:p>
        </w:tc>
        <w:tc>
          <w:tcPr>
            <w:tcW w:w="2477" w:type="dxa"/>
            <w:vAlign w:val="center"/>
          </w:tcPr>
          <w:p>
            <w:pPr>
              <w:spacing w:line="360" w:lineRule="auto"/>
              <w:jc w:val="center"/>
              <w:rPr>
                <w:szCs w:val="21"/>
              </w:rPr>
            </w:pPr>
            <w:r>
              <w:rPr>
                <w:rFonts w:hint="eastAsia"/>
                <w:szCs w:val="21"/>
              </w:rPr>
              <w:t>经营场所</w:t>
            </w:r>
          </w:p>
        </w:tc>
        <w:tc>
          <w:tcPr>
            <w:tcW w:w="3679" w:type="dxa"/>
            <w:vAlign w:val="center"/>
          </w:tcPr>
          <w:p>
            <w:pPr>
              <w:spacing w:line="360" w:lineRule="auto"/>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4</w:t>
            </w:r>
          </w:p>
        </w:tc>
        <w:tc>
          <w:tcPr>
            <w:tcW w:w="2477" w:type="dxa"/>
            <w:vAlign w:val="center"/>
          </w:tcPr>
          <w:p>
            <w:pPr>
              <w:spacing w:line="360" w:lineRule="auto"/>
              <w:jc w:val="center"/>
              <w:rPr>
                <w:rFonts w:hint="eastAsia"/>
                <w:szCs w:val="21"/>
              </w:rPr>
            </w:pPr>
            <w:r>
              <w:rPr>
                <w:rFonts w:hint="eastAsia"/>
                <w:szCs w:val="21"/>
              </w:rPr>
              <w:t>有效期</w:t>
            </w:r>
          </w:p>
        </w:tc>
        <w:tc>
          <w:tcPr>
            <w:tcW w:w="3679" w:type="dxa"/>
            <w:vAlign w:val="center"/>
          </w:tcPr>
          <w:p>
            <w:pPr>
              <w:spacing w:line="360" w:lineRule="auto"/>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二</w:t>
            </w:r>
          </w:p>
        </w:tc>
        <w:tc>
          <w:tcPr>
            <w:tcW w:w="6156" w:type="dxa"/>
            <w:gridSpan w:val="2"/>
            <w:vAlign w:val="center"/>
          </w:tcPr>
          <w:p>
            <w:pPr>
              <w:spacing w:line="360" w:lineRule="auto"/>
              <w:rPr>
                <w:szCs w:val="21"/>
              </w:rPr>
            </w:pPr>
            <w:r>
              <w:rPr>
                <w:rFonts w:hint="eastAsia"/>
                <w:szCs w:val="21"/>
              </w:rPr>
              <w:t>税务登记证</w:t>
            </w:r>
          </w:p>
        </w:tc>
        <w:tc>
          <w:tcPr>
            <w:tcW w:w="1411" w:type="dxa"/>
            <w:vAlign w:val="center"/>
          </w:tcPr>
          <w:p>
            <w:pPr>
              <w:spacing w:line="360" w:lineRule="auto"/>
              <w:jc w:val="center"/>
              <w:rPr>
                <w:rFonts w:hint="eastAsia"/>
                <w:szCs w:val="21"/>
              </w:rPr>
            </w:pPr>
            <w:r>
              <w:rPr>
                <w:rFonts w:hint="eastAsia"/>
                <w:szCs w:val="21"/>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1</w:t>
            </w:r>
          </w:p>
        </w:tc>
        <w:tc>
          <w:tcPr>
            <w:tcW w:w="2477" w:type="dxa"/>
            <w:vAlign w:val="center"/>
          </w:tcPr>
          <w:p>
            <w:pPr>
              <w:spacing w:line="360" w:lineRule="auto"/>
              <w:jc w:val="center"/>
              <w:rPr>
                <w:rFonts w:hint="eastAsia"/>
                <w:szCs w:val="21"/>
              </w:rPr>
            </w:pPr>
            <w:r>
              <w:rPr>
                <w:rFonts w:hint="eastAsia"/>
                <w:szCs w:val="21"/>
              </w:rPr>
              <w:t>税务登记证编号</w:t>
            </w:r>
          </w:p>
        </w:tc>
        <w:tc>
          <w:tcPr>
            <w:tcW w:w="3679" w:type="dxa"/>
            <w:vAlign w:val="center"/>
          </w:tcPr>
          <w:p>
            <w:pPr>
              <w:spacing w:line="360" w:lineRule="auto"/>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三</w:t>
            </w:r>
          </w:p>
        </w:tc>
        <w:tc>
          <w:tcPr>
            <w:tcW w:w="6156" w:type="dxa"/>
            <w:gridSpan w:val="2"/>
            <w:vAlign w:val="center"/>
          </w:tcPr>
          <w:p>
            <w:pPr>
              <w:spacing w:line="360" w:lineRule="auto"/>
              <w:rPr>
                <w:szCs w:val="21"/>
              </w:rPr>
            </w:pPr>
            <w:r>
              <w:rPr>
                <w:rFonts w:hint="eastAsia"/>
                <w:szCs w:val="21"/>
              </w:rPr>
              <w:t>资格（质）证书（若有其他资质证书，可按表格格式扩展）</w:t>
            </w:r>
          </w:p>
        </w:tc>
        <w:tc>
          <w:tcPr>
            <w:tcW w:w="1411" w:type="dxa"/>
            <w:vAlign w:val="center"/>
          </w:tcPr>
          <w:p>
            <w:pPr>
              <w:spacing w:line="360" w:lineRule="auto"/>
              <w:jc w:val="center"/>
              <w:rPr>
                <w:rFonts w:hint="eastAsia"/>
                <w:szCs w:val="21"/>
              </w:rPr>
            </w:pPr>
            <w:r>
              <w:rPr>
                <w:rFonts w:hint="eastAsia"/>
                <w:szCs w:val="21"/>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1</w:t>
            </w:r>
          </w:p>
        </w:tc>
        <w:tc>
          <w:tcPr>
            <w:tcW w:w="2477" w:type="dxa"/>
            <w:vAlign w:val="center"/>
          </w:tcPr>
          <w:p>
            <w:pPr>
              <w:spacing w:line="360" w:lineRule="auto"/>
              <w:jc w:val="center"/>
              <w:rPr>
                <w:rFonts w:hint="eastAsia"/>
                <w:szCs w:val="21"/>
              </w:rPr>
            </w:pPr>
            <w:r>
              <w:rPr>
                <w:rFonts w:hint="eastAsia"/>
                <w:szCs w:val="21"/>
              </w:rPr>
              <w:t>证书名称</w:t>
            </w:r>
          </w:p>
        </w:tc>
        <w:tc>
          <w:tcPr>
            <w:tcW w:w="3679" w:type="dxa"/>
            <w:vAlign w:val="center"/>
          </w:tcPr>
          <w:p>
            <w:pPr>
              <w:spacing w:line="360" w:lineRule="auto"/>
              <w:jc w:val="center"/>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2</w:t>
            </w:r>
          </w:p>
        </w:tc>
        <w:tc>
          <w:tcPr>
            <w:tcW w:w="2477" w:type="dxa"/>
            <w:vAlign w:val="center"/>
          </w:tcPr>
          <w:p>
            <w:pPr>
              <w:spacing w:line="360" w:lineRule="auto"/>
              <w:jc w:val="center"/>
              <w:rPr>
                <w:rFonts w:hint="eastAsia"/>
                <w:szCs w:val="21"/>
              </w:rPr>
            </w:pPr>
            <w:r>
              <w:rPr>
                <w:rFonts w:hint="eastAsia"/>
                <w:szCs w:val="21"/>
              </w:rPr>
              <w:t>批准单位</w:t>
            </w:r>
          </w:p>
        </w:tc>
        <w:tc>
          <w:tcPr>
            <w:tcW w:w="3679" w:type="dxa"/>
            <w:vAlign w:val="center"/>
          </w:tcPr>
          <w:p>
            <w:pPr>
              <w:spacing w:line="360" w:lineRule="auto"/>
              <w:jc w:val="center"/>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3</w:t>
            </w:r>
          </w:p>
        </w:tc>
        <w:tc>
          <w:tcPr>
            <w:tcW w:w="2477" w:type="dxa"/>
            <w:vAlign w:val="center"/>
          </w:tcPr>
          <w:p>
            <w:pPr>
              <w:spacing w:line="360" w:lineRule="auto"/>
              <w:jc w:val="center"/>
              <w:rPr>
                <w:rFonts w:hint="eastAsia"/>
                <w:szCs w:val="21"/>
              </w:rPr>
            </w:pPr>
            <w:r>
              <w:rPr>
                <w:rFonts w:hint="eastAsia"/>
                <w:szCs w:val="21"/>
              </w:rPr>
              <w:t>等级</w:t>
            </w:r>
          </w:p>
        </w:tc>
        <w:tc>
          <w:tcPr>
            <w:tcW w:w="3679" w:type="dxa"/>
            <w:vAlign w:val="center"/>
          </w:tcPr>
          <w:p>
            <w:pPr>
              <w:spacing w:line="360" w:lineRule="auto"/>
              <w:jc w:val="center"/>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4</w:t>
            </w:r>
          </w:p>
        </w:tc>
        <w:tc>
          <w:tcPr>
            <w:tcW w:w="2477" w:type="dxa"/>
            <w:vAlign w:val="center"/>
          </w:tcPr>
          <w:p>
            <w:pPr>
              <w:spacing w:line="360" w:lineRule="auto"/>
              <w:jc w:val="center"/>
              <w:rPr>
                <w:rFonts w:hint="eastAsia"/>
                <w:szCs w:val="21"/>
              </w:rPr>
            </w:pPr>
            <w:r>
              <w:rPr>
                <w:rFonts w:hint="eastAsia"/>
                <w:szCs w:val="21"/>
              </w:rPr>
              <w:t>批准时间及编号</w:t>
            </w:r>
          </w:p>
        </w:tc>
        <w:tc>
          <w:tcPr>
            <w:tcW w:w="3679" w:type="dxa"/>
            <w:vAlign w:val="center"/>
          </w:tcPr>
          <w:p>
            <w:pPr>
              <w:spacing w:line="360" w:lineRule="auto"/>
              <w:jc w:val="center"/>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spacing w:line="360" w:lineRule="auto"/>
              <w:jc w:val="center"/>
              <w:rPr>
                <w:rFonts w:hint="eastAsia"/>
                <w:szCs w:val="21"/>
              </w:rPr>
            </w:pPr>
            <w:r>
              <w:rPr>
                <w:rFonts w:hint="eastAsia"/>
                <w:szCs w:val="21"/>
              </w:rPr>
              <w:t>5</w:t>
            </w:r>
          </w:p>
        </w:tc>
        <w:tc>
          <w:tcPr>
            <w:tcW w:w="2477" w:type="dxa"/>
            <w:vAlign w:val="center"/>
          </w:tcPr>
          <w:p>
            <w:pPr>
              <w:spacing w:line="360" w:lineRule="auto"/>
              <w:jc w:val="center"/>
              <w:rPr>
                <w:rFonts w:hint="eastAsia"/>
                <w:szCs w:val="21"/>
              </w:rPr>
            </w:pPr>
            <w:r>
              <w:rPr>
                <w:rFonts w:hint="eastAsia"/>
                <w:szCs w:val="21"/>
              </w:rPr>
              <w:t>有效期</w:t>
            </w:r>
          </w:p>
        </w:tc>
        <w:tc>
          <w:tcPr>
            <w:tcW w:w="3679" w:type="dxa"/>
            <w:vAlign w:val="center"/>
          </w:tcPr>
          <w:p>
            <w:pPr>
              <w:spacing w:line="360" w:lineRule="auto"/>
              <w:jc w:val="center"/>
              <w:rPr>
                <w:szCs w:val="21"/>
              </w:rPr>
            </w:pP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四</w:t>
            </w:r>
          </w:p>
        </w:tc>
        <w:tc>
          <w:tcPr>
            <w:tcW w:w="6156" w:type="dxa"/>
            <w:gridSpan w:val="2"/>
            <w:vAlign w:val="center"/>
          </w:tcPr>
          <w:p>
            <w:pPr>
              <w:spacing w:line="360" w:lineRule="auto"/>
              <w:rPr>
                <w:szCs w:val="21"/>
              </w:rPr>
            </w:pPr>
            <w:r>
              <w:rPr>
                <w:rFonts w:hint="eastAsia"/>
                <w:szCs w:val="21"/>
              </w:rPr>
              <w:t>其他（投标人认为需补充的其他说明）</w:t>
            </w:r>
          </w:p>
        </w:tc>
        <w:tc>
          <w:tcPr>
            <w:tcW w:w="141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spacing w:line="360" w:lineRule="auto"/>
              <w:jc w:val="center"/>
              <w:rPr>
                <w:rFonts w:hint="eastAsia"/>
                <w:szCs w:val="21"/>
              </w:rPr>
            </w:pPr>
            <w:r>
              <w:rPr>
                <w:rFonts w:hint="eastAsia"/>
                <w:szCs w:val="21"/>
              </w:rPr>
              <w:t>1</w:t>
            </w:r>
          </w:p>
        </w:tc>
        <w:tc>
          <w:tcPr>
            <w:tcW w:w="2477" w:type="dxa"/>
            <w:vAlign w:val="center"/>
          </w:tcPr>
          <w:p>
            <w:pPr>
              <w:spacing w:line="360" w:lineRule="auto"/>
              <w:jc w:val="center"/>
              <w:rPr>
                <w:rFonts w:hint="eastAsia"/>
                <w:szCs w:val="21"/>
              </w:rPr>
            </w:pPr>
          </w:p>
        </w:tc>
        <w:tc>
          <w:tcPr>
            <w:tcW w:w="3679" w:type="dxa"/>
            <w:vAlign w:val="center"/>
          </w:tcPr>
          <w:p>
            <w:pPr>
              <w:spacing w:line="360" w:lineRule="auto"/>
              <w:jc w:val="center"/>
              <w:rPr>
                <w:szCs w:val="21"/>
              </w:rPr>
            </w:pPr>
          </w:p>
        </w:tc>
        <w:tc>
          <w:tcPr>
            <w:tcW w:w="1411" w:type="dxa"/>
            <w:vAlign w:val="center"/>
          </w:tcPr>
          <w:p>
            <w:pPr>
              <w:spacing w:line="360" w:lineRule="auto"/>
              <w:jc w:val="center"/>
              <w:rPr>
                <w:szCs w:val="21"/>
              </w:rPr>
            </w:pPr>
          </w:p>
        </w:tc>
      </w:tr>
    </w:tbl>
    <w:p>
      <w:pPr>
        <w:spacing w:line="360" w:lineRule="auto"/>
      </w:pPr>
    </w:p>
    <w:p>
      <w:pPr>
        <w:spacing w:line="360" w:lineRule="auto"/>
        <w:rPr>
          <w:u w:val="single"/>
        </w:rPr>
      </w:pPr>
      <w:r>
        <w:rPr>
          <w:rFonts w:hint="eastAsia"/>
        </w:rPr>
        <w:t>投标人：</w:t>
      </w:r>
      <w:r>
        <w:rPr>
          <w:rFonts w:hint="eastAsia"/>
          <w:u w:val="single"/>
        </w:rPr>
        <w:t xml:space="preserve"> </w:t>
      </w:r>
      <w:r>
        <w:rPr>
          <w:u w:val="single"/>
        </w:rPr>
        <w:t xml:space="preserve">                                </w:t>
      </w:r>
    </w:p>
    <w:p>
      <w:pPr>
        <w:spacing w:line="360" w:lineRule="auto"/>
      </w:pPr>
    </w:p>
    <w:p>
      <w:pPr>
        <w:spacing w:line="360" w:lineRule="auto"/>
      </w:pPr>
      <w:r>
        <w:rPr>
          <w:rFonts w:hint="eastAsia"/>
          <w:szCs w:val="21"/>
        </w:rPr>
        <w:t>法定代表人或其委托代理人：</w:t>
      </w:r>
      <w:r>
        <w:rPr>
          <w:rFonts w:hint="eastAsia"/>
          <w:szCs w:val="21"/>
          <w:u w:val="single"/>
        </w:rPr>
        <w:t xml:space="preserve"> </w:t>
      </w:r>
      <w:r>
        <w:rPr>
          <w:szCs w:val="21"/>
          <w:u w:val="single"/>
        </w:rPr>
        <w:t xml:space="preserve">              </w:t>
      </w:r>
    </w:p>
    <w:p>
      <w:pPr>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rPr>
      </w:pPr>
    </w:p>
    <w:p>
      <w:pPr>
        <w:spacing w:line="360" w:lineRule="auto"/>
        <w:ind w:left="630" w:hanging="630" w:hangingChars="300"/>
        <w:rPr>
          <w:rFonts w:hint="eastAsia"/>
        </w:rPr>
      </w:pPr>
      <w:r>
        <w:rPr>
          <w:rFonts w:hint="eastAsia"/>
        </w:rPr>
        <w:t>注：1、在按要求填写好此表格后，投标单位可以用其它的方式，就自身整体情况作出详细的介绍。</w:t>
      </w:r>
    </w:p>
    <w:p>
      <w:pPr>
        <w:spacing w:line="360" w:lineRule="auto"/>
        <w:ind w:left="420"/>
        <w:rPr>
          <w:rFonts w:hint="eastAsia"/>
          <w:bCs/>
        </w:rPr>
      </w:pPr>
      <w:r>
        <w:rPr>
          <w:rFonts w:hint="eastAsia"/>
        </w:rPr>
        <w:t>2、提供营业执照及企业相关资质证书扫描件。</w:t>
      </w:r>
    </w:p>
    <w:p>
      <w:pPr>
        <w:jc w:val="center"/>
        <w:rPr>
          <w:sz w:val="32"/>
          <w:szCs w:val="32"/>
        </w:rPr>
      </w:pPr>
      <w:r>
        <w:br w:type="page"/>
      </w:r>
    </w:p>
    <w:p>
      <w:pPr>
        <w:rPr>
          <w:sz w:val="32"/>
          <w:szCs w:val="32"/>
        </w:rPr>
        <w:sectPr>
          <w:pgSz w:w="11906" w:h="16838"/>
          <w:pgMar w:top="1701" w:right="1588" w:bottom="1304" w:left="1588" w:header="1247" w:footer="737" w:gutter="0"/>
          <w:cols w:space="720" w:num="1"/>
          <w:docGrid w:linePitch="380" w:charSpace="-4301"/>
        </w:sectPr>
      </w:pPr>
    </w:p>
    <w:p>
      <w:pPr>
        <w:spacing w:line="360" w:lineRule="auto"/>
        <w:jc w:val="center"/>
        <w:outlineLvl w:val="2"/>
        <w:rPr>
          <w:rFonts w:ascii="宋体" w:hAnsi="宋体"/>
          <w:b/>
          <w:bCs/>
          <w:sz w:val="30"/>
          <w:szCs w:val="30"/>
        </w:rPr>
      </w:pPr>
      <w:bookmarkStart w:id="519" w:name="_Toc51235195"/>
      <w:r>
        <w:rPr>
          <w:rFonts w:hint="eastAsia" w:ascii="宋体" w:hAnsi="宋体"/>
          <w:b/>
          <w:bCs/>
          <w:sz w:val="30"/>
          <w:szCs w:val="30"/>
        </w:rPr>
        <w:t>八、主要服务人员列表</w:t>
      </w:r>
      <w:bookmarkEnd w:id="519"/>
    </w:p>
    <w:p>
      <w:pPr>
        <w:rPr>
          <w:rFonts w:asciiTheme="minorEastAsia" w:hAnsiTheme="minorEastAsia" w:eastAsiaTheme="minorEastAsia"/>
          <w:sz w:val="32"/>
          <w:szCs w:val="32"/>
        </w:rPr>
      </w:pPr>
      <w:r>
        <w:rPr>
          <w:rFonts w:hint="eastAsia" w:asciiTheme="minorEastAsia" w:hAnsiTheme="minorEastAsia" w:eastAsiaTheme="minorEastAsia"/>
          <w:sz w:val="32"/>
          <w:szCs w:val="32"/>
        </w:rPr>
        <w:t>(下表按拟投入的服务人员每人一份，详细说明人员履历、资历等情况)</w:t>
      </w:r>
    </w:p>
    <w:tbl>
      <w:tblPr>
        <w:tblStyle w:val="83"/>
        <w:tblW w:w="894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25"/>
        <w:gridCol w:w="1863"/>
        <w:gridCol w:w="802"/>
        <w:gridCol w:w="2151"/>
        <w:gridCol w:w="1158"/>
        <w:gridCol w:w="1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525" w:type="dxa"/>
            <w:shd w:val="clear" w:color="auto" w:fill="auto"/>
            <w:vAlign w:val="center"/>
          </w:tcPr>
          <w:p>
            <w:pPr>
              <w:adjustRightInd w:val="0"/>
              <w:snapToGrid w:val="0"/>
              <w:spacing w:line="360" w:lineRule="auto"/>
              <w:jc w:val="distribute"/>
              <w:rPr>
                <w:rFonts w:ascii="宋体" w:hAnsi="宋体"/>
                <w:snapToGrid w:val="0"/>
                <w:kern w:val="0"/>
              </w:rPr>
            </w:pPr>
            <w:r>
              <w:rPr>
                <w:rFonts w:hint="eastAsia" w:ascii="宋体" w:hAnsi="宋体"/>
                <w:snapToGrid w:val="0"/>
                <w:kern w:val="0"/>
              </w:rPr>
              <w:t>姓名</w:t>
            </w:r>
          </w:p>
        </w:tc>
        <w:tc>
          <w:tcPr>
            <w:tcW w:w="1863" w:type="dxa"/>
            <w:shd w:val="clear" w:color="auto" w:fill="auto"/>
            <w:vAlign w:val="center"/>
          </w:tcPr>
          <w:p>
            <w:pPr>
              <w:adjustRightInd w:val="0"/>
              <w:snapToGrid w:val="0"/>
              <w:spacing w:line="360" w:lineRule="auto"/>
              <w:jc w:val="center"/>
              <w:rPr>
                <w:rFonts w:ascii="宋体" w:hAnsi="宋体"/>
                <w:snapToGrid w:val="0"/>
                <w:kern w:val="0"/>
              </w:rPr>
            </w:pPr>
          </w:p>
        </w:tc>
        <w:tc>
          <w:tcPr>
            <w:tcW w:w="802" w:type="dxa"/>
            <w:shd w:val="clear" w:color="auto" w:fill="auto"/>
            <w:vAlign w:val="center"/>
          </w:tcPr>
          <w:p>
            <w:pPr>
              <w:adjustRightInd w:val="0"/>
              <w:snapToGrid w:val="0"/>
              <w:spacing w:line="360" w:lineRule="auto"/>
              <w:jc w:val="center"/>
              <w:rPr>
                <w:rFonts w:ascii="宋体" w:hAnsi="宋体"/>
                <w:snapToGrid w:val="0"/>
                <w:kern w:val="0"/>
              </w:rPr>
            </w:pPr>
            <w:r>
              <w:rPr>
                <w:rFonts w:hint="eastAsia" w:ascii="宋体" w:hAnsi="宋体"/>
                <w:snapToGrid w:val="0"/>
                <w:kern w:val="0"/>
              </w:rPr>
              <w:t>性别</w:t>
            </w:r>
          </w:p>
        </w:tc>
        <w:tc>
          <w:tcPr>
            <w:tcW w:w="2151" w:type="dxa"/>
            <w:shd w:val="clear" w:color="auto" w:fill="auto"/>
            <w:vAlign w:val="center"/>
          </w:tcPr>
          <w:p>
            <w:pPr>
              <w:adjustRightInd w:val="0"/>
              <w:snapToGrid w:val="0"/>
              <w:spacing w:line="360" w:lineRule="auto"/>
              <w:jc w:val="center"/>
              <w:rPr>
                <w:rFonts w:ascii="宋体" w:hAnsi="宋体"/>
                <w:snapToGrid w:val="0"/>
                <w:kern w:val="0"/>
              </w:rPr>
            </w:pPr>
          </w:p>
        </w:tc>
        <w:tc>
          <w:tcPr>
            <w:tcW w:w="1158" w:type="dxa"/>
            <w:shd w:val="clear" w:color="auto" w:fill="auto"/>
            <w:vAlign w:val="center"/>
          </w:tcPr>
          <w:p>
            <w:pPr>
              <w:adjustRightInd w:val="0"/>
              <w:snapToGrid w:val="0"/>
              <w:spacing w:line="360" w:lineRule="auto"/>
              <w:jc w:val="center"/>
              <w:rPr>
                <w:rFonts w:ascii="宋体" w:hAnsi="宋体"/>
                <w:snapToGrid w:val="0"/>
                <w:kern w:val="0"/>
              </w:rPr>
            </w:pPr>
            <w:r>
              <w:rPr>
                <w:rFonts w:hint="eastAsia" w:ascii="宋体" w:hAnsi="宋体"/>
                <w:snapToGrid w:val="0"/>
                <w:kern w:val="0"/>
              </w:rPr>
              <w:t>年龄</w:t>
            </w:r>
          </w:p>
        </w:tc>
        <w:tc>
          <w:tcPr>
            <w:tcW w:w="1447" w:type="dxa"/>
            <w:shd w:val="clear" w:color="auto" w:fill="auto"/>
            <w:vAlign w:val="center"/>
          </w:tcPr>
          <w:p>
            <w:pPr>
              <w:adjustRightInd w:val="0"/>
              <w:snapToGrid w:val="0"/>
              <w:spacing w:line="360" w:lineRule="auto"/>
              <w:jc w:val="center"/>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525" w:type="dxa"/>
            <w:shd w:val="clear" w:color="auto" w:fill="auto"/>
            <w:vAlign w:val="center"/>
          </w:tcPr>
          <w:p>
            <w:pPr>
              <w:adjustRightInd w:val="0"/>
              <w:snapToGrid w:val="0"/>
              <w:spacing w:line="360" w:lineRule="auto"/>
              <w:jc w:val="distribute"/>
              <w:rPr>
                <w:rFonts w:ascii="宋体" w:hAnsi="宋体"/>
                <w:snapToGrid w:val="0"/>
                <w:kern w:val="0"/>
              </w:rPr>
            </w:pPr>
            <w:r>
              <w:rPr>
                <w:rFonts w:hint="eastAsia" w:ascii="宋体" w:hAnsi="宋体"/>
                <w:snapToGrid w:val="0"/>
                <w:kern w:val="0"/>
              </w:rPr>
              <w:t>学历</w:t>
            </w:r>
          </w:p>
        </w:tc>
        <w:tc>
          <w:tcPr>
            <w:tcW w:w="1863" w:type="dxa"/>
            <w:shd w:val="clear" w:color="auto" w:fill="auto"/>
            <w:vAlign w:val="center"/>
          </w:tcPr>
          <w:p>
            <w:pPr>
              <w:adjustRightInd w:val="0"/>
              <w:snapToGrid w:val="0"/>
              <w:spacing w:line="360" w:lineRule="auto"/>
              <w:jc w:val="center"/>
              <w:rPr>
                <w:rFonts w:ascii="宋体" w:hAnsi="宋体"/>
                <w:snapToGrid w:val="0"/>
                <w:kern w:val="0"/>
              </w:rPr>
            </w:pPr>
          </w:p>
        </w:tc>
        <w:tc>
          <w:tcPr>
            <w:tcW w:w="802" w:type="dxa"/>
            <w:shd w:val="clear" w:color="auto" w:fill="auto"/>
            <w:vAlign w:val="center"/>
          </w:tcPr>
          <w:p>
            <w:pPr>
              <w:adjustRightInd w:val="0"/>
              <w:snapToGrid w:val="0"/>
              <w:spacing w:line="360" w:lineRule="auto"/>
              <w:jc w:val="center"/>
              <w:rPr>
                <w:rFonts w:ascii="宋体" w:hAnsi="宋体"/>
                <w:snapToGrid w:val="0"/>
                <w:kern w:val="0"/>
              </w:rPr>
            </w:pPr>
            <w:r>
              <w:rPr>
                <w:rFonts w:hint="eastAsia" w:ascii="宋体" w:hAnsi="宋体"/>
                <w:snapToGrid w:val="0"/>
                <w:kern w:val="0"/>
              </w:rPr>
              <w:t>职称</w:t>
            </w:r>
          </w:p>
        </w:tc>
        <w:tc>
          <w:tcPr>
            <w:tcW w:w="4756" w:type="dxa"/>
            <w:gridSpan w:val="3"/>
            <w:shd w:val="clear" w:color="auto" w:fill="auto"/>
            <w:vAlign w:val="center"/>
          </w:tcPr>
          <w:p>
            <w:pPr>
              <w:adjustRightInd w:val="0"/>
              <w:snapToGrid w:val="0"/>
              <w:spacing w:line="360" w:lineRule="auto"/>
              <w:jc w:val="center"/>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525" w:type="dxa"/>
            <w:shd w:val="clear" w:color="auto" w:fill="auto"/>
            <w:vAlign w:val="center"/>
          </w:tcPr>
          <w:p>
            <w:pPr>
              <w:adjustRightInd w:val="0"/>
              <w:snapToGrid w:val="0"/>
              <w:spacing w:line="360" w:lineRule="auto"/>
              <w:jc w:val="distribute"/>
              <w:rPr>
                <w:rFonts w:ascii="宋体" w:hAnsi="宋体"/>
                <w:snapToGrid w:val="0"/>
                <w:kern w:val="0"/>
              </w:rPr>
            </w:pPr>
            <w:r>
              <w:rPr>
                <w:rFonts w:hint="eastAsia" w:ascii="宋体" w:hAnsi="宋体"/>
                <w:snapToGrid w:val="0"/>
                <w:kern w:val="0"/>
              </w:rPr>
              <w:t>毕业院校</w:t>
            </w:r>
          </w:p>
        </w:tc>
        <w:tc>
          <w:tcPr>
            <w:tcW w:w="2665" w:type="dxa"/>
            <w:gridSpan w:val="2"/>
            <w:shd w:val="clear" w:color="auto" w:fill="auto"/>
            <w:vAlign w:val="center"/>
          </w:tcPr>
          <w:p>
            <w:pPr>
              <w:adjustRightInd w:val="0"/>
              <w:snapToGrid w:val="0"/>
              <w:spacing w:line="360" w:lineRule="auto"/>
              <w:jc w:val="center"/>
              <w:rPr>
                <w:rFonts w:ascii="宋体" w:hAnsi="宋体"/>
                <w:snapToGrid w:val="0"/>
                <w:kern w:val="0"/>
              </w:rPr>
            </w:pPr>
          </w:p>
        </w:tc>
        <w:tc>
          <w:tcPr>
            <w:tcW w:w="2151" w:type="dxa"/>
            <w:shd w:val="clear" w:color="auto" w:fill="auto"/>
            <w:vAlign w:val="center"/>
          </w:tcPr>
          <w:p>
            <w:pPr>
              <w:adjustRightInd w:val="0"/>
              <w:snapToGrid w:val="0"/>
              <w:spacing w:line="360" w:lineRule="auto"/>
              <w:jc w:val="center"/>
              <w:rPr>
                <w:rFonts w:ascii="宋体" w:hAnsi="宋体"/>
                <w:snapToGrid w:val="0"/>
                <w:kern w:val="0"/>
              </w:rPr>
            </w:pPr>
            <w:r>
              <w:rPr>
                <w:rFonts w:hint="eastAsia" w:ascii="宋体" w:hAnsi="宋体"/>
                <w:snapToGrid w:val="0"/>
                <w:kern w:val="0"/>
              </w:rPr>
              <w:t>毕业时间</w:t>
            </w:r>
          </w:p>
        </w:tc>
        <w:tc>
          <w:tcPr>
            <w:tcW w:w="2605" w:type="dxa"/>
            <w:gridSpan w:val="2"/>
            <w:shd w:val="clear" w:color="auto" w:fill="auto"/>
            <w:vAlign w:val="center"/>
          </w:tcPr>
          <w:p>
            <w:pPr>
              <w:adjustRightInd w:val="0"/>
              <w:snapToGrid w:val="0"/>
              <w:spacing w:line="360" w:lineRule="auto"/>
              <w:jc w:val="center"/>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525" w:type="dxa"/>
            <w:shd w:val="clear" w:color="auto" w:fill="auto"/>
            <w:vAlign w:val="center"/>
          </w:tcPr>
          <w:p>
            <w:pPr>
              <w:adjustRightInd w:val="0"/>
              <w:snapToGrid w:val="0"/>
              <w:spacing w:line="360" w:lineRule="auto"/>
              <w:jc w:val="distribute"/>
              <w:rPr>
                <w:rFonts w:ascii="宋体" w:hAnsi="宋体"/>
                <w:snapToGrid w:val="0"/>
                <w:kern w:val="0"/>
              </w:rPr>
            </w:pPr>
            <w:r>
              <w:rPr>
                <w:rFonts w:hint="eastAsia" w:ascii="宋体" w:hAnsi="宋体"/>
                <w:snapToGrid w:val="0"/>
                <w:kern w:val="0"/>
              </w:rPr>
              <w:t>工程建设行业工作年限</w:t>
            </w:r>
          </w:p>
        </w:tc>
        <w:tc>
          <w:tcPr>
            <w:tcW w:w="2665" w:type="dxa"/>
            <w:gridSpan w:val="2"/>
            <w:shd w:val="clear" w:color="auto" w:fill="auto"/>
            <w:vAlign w:val="center"/>
          </w:tcPr>
          <w:p>
            <w:pPr>
              <w:adjustRightInd w:val="0"/>
              <w:snapToGrid w:val="0"/>
              <w:spacing w:line="360" w:lineRule="auto"/>
              <w:jc w:val="distribute"/>
              <w:rPr>
                <w:rFonts w:ascii="宋体" w:hAnsi="宋体"/>
                <w:snapToGrid w:val="0"/>
                <w:kern w:val="0"/>
              </w:rPr>
            </w:pPr>
          </w:p>
        </w:tc>
        <w:tc>
          <w:tcPr>
            <w:tcW w:w="2151" w:type="dxa"/>
            <w:shd w:val="clear" w:color="auto" w:fill="auto"/>
            <w:vAlign w:val="center"/>
          </w:tcPr>
          <w:p>
            <w:pPr>
              <w:adjustRightInd w:val="0"/>
              <w:snapToGrid w:val="0"/>
              <w:spacing w:line="360" w:lineRule="auto"/>
              <w:jc w:val="distribute"/>
              <w:rPr>
                <w:rFonts w:ascii="宋体" w:hAnsi="宋体"/>
                <w:snapToGrid w:val="0"/>
                <w:kern w:val="0"/>
              </w:rPr>
            </w:pPr>
            <w:r>
              <w:rPr>
                <w:rFonts w:hint="eastAsia" w:ascii="宋体" w:hAnsi="宋体"/>
                <w:snapToGrid w:val="0"/>
                <w:kern w:val="0"/>
              </w:rPr>
              <w:t>投标人企业</w:t>
            </w:r>
          </w:p>
          <w:p>
            <w:pPr>
              <w:adjustRightInd w:val="0"/>
              <w:snapToGrid w:val="0"/>
              <w:spacing w:line="360" w:lineRule="auto"/>
              <w:jc w:val="distribute"/>
              <w:rPr>
                <w:rFonts w:ascii="宋体" w:hAnsi="宋体"/>
                <w:snapToGrid w:val="0"/>
                <w:kern w:val="0"/>
              </w:rPr>
            </w:pPr>
            <w:r>
              <w:rPr>
                <w:rFonts w:hint="eastAsia" w:ascii="宋体" w:hAnsi="宋体"/>
                <w:snapToGrid w:val="0"/>
                <w:kern w:val="0"/>
              </w:rPr>
              <w:t>工作年限</w:t>
            </w:r>
          </w:p>
        </w:tc>
        <w:tc>
          <w:tcPr>
            <w:tcW w:w="2605" w:type="dxa"/>
            <w:gridSpan w:val="2"/>
            <w:shd w:val="clear" w:color="auto" w:fill="auto"/>
            <w:vAlign w:val="center"/>
          </w:tcPr>
          <w:p>
            <w:pPr>
              <w:adjustRightInd w:val="0"/>
              <w:snapToGrid w:val="0"/>
              <w:spacing w:line="360" w:lineRule="auto"/>
              <w:jc w:val="center"/>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2" w:hRule="atLeast"/>
          <w:jc w:val="center"/>
        </w:trPr>
        <w:tc>
          <w:tcPr>
            <w:tcW w:w="1525" w:type="dxa"/>
            <w:shd w:val="clear" w:color="auto" w:fill="auto"/>
            <w:vAlign w:val="center"/>
          </w:tcPr>
          <w:p>
            <w:pPr>
              <w:adjustRightInd w:val="0"/>
              <w:snapToGrid w:val="0"/>
              <w:spacing w:line="360" w:lineRule="auto"/>
              <w:jc w:val="center"/>
              <w:rPr>
                <w:rFonts w:ascii="宋体" w:hAnsi="宋体"/>
                <w:snapToGrid w:val="0"/>
                <w:kern w:val="0"/>
              </w:rPr>
            </w:pPr>
            <w:r>
              <w:rPr>
                <w:rFonts w:hint="eastAsia" w:ascii="宋体" w:hAnsi="宋体"/>
                <w:snapToGrid w:val="0"/>
                <w:kern w:val="0"/>
              </w:rPr>
              <w:t>主要工作经历</w:t>
            </w:r>
          </w:p>
        </w:tc>
        <w:tc>
          <w:tcPr>
            <w:tcW w:w="7421" w:type="dxa"/>
            <w:gridSpan w:val="5"/>
            <w:shd w:val="clear" w:color="auto" w:fill="auto"/>
            <w:vAlign w:val="center"/>
          </w:tcPr>
          <w:p>
            <w:pPr>
              <w:adjustRightInd w:val="0"/>
              <w:snapToGrid w:val="0"/>
              <w:spacing w:line="360" w:lineRule="auto"/>
              <w:rPr>
                <w:rFonts w:ascii="宋体" w:hAnsi="宋体"/>
                <w:snapToGrid w:val="0"/>
                <w:kern w:val="0"/>
              </w:rPr>
            </w:pPr>
          </w:p>
        </w:tc>
      </w:tr>
    </w:tbl>
    <w:p/>
    <w:p>
      <w:pPr>
        <w:spacing w:line="360" w:lineRule="auto"/>
        <w:jc w:val="center"/>
        <w:outlineLvl w:val="2"/>
        <w:rPr>
          <w:rFonts w:ascii="宋体" w:hAnsi="宋体"/>
          <w:b/>
          <w:bCs/>
          <w:sz w:val="30"/>
          <w:szCs w:val="30"/>
        </w:rPr>
        <w:sectPr>
          <w:pgSz w:w="11906" w:h="16838"/>
          <w:pgMar w:top="1701" w:right="1588" w:bottom="1304" w:left="1588" w:header="1247" w:footer="737" w:gutter="0"/>
          <w:cols w:space="720" w:num="1"/>
          <w:docGrid w:linePitch="380" w:charSpace="-4301"/>
        </w:sectPr>
      </w:pPr>
    </w:p>
    <w:p>
      <w:pPr>
        <w:spacing w:line="360" w:lineRule="auto"/>
        <w:jc w:val="center"/>
        <w:outlineLvl w:val="2"/>
        <w:rPr>
          <w:rFonts w:ascii="宋体" w:hAnsi="宋体"/>
          <w:b/>
          <w:bCs/>
          <w:sz w:val="30"/>
          <w:szCs w:val="30"/>
        </w:rPr>
      </w:pPr>
      <w:bookmarkStart w:id="520" w:name="_Toc51235196"/>
      <w:r>
        <w:rPr>
          <w:rFonts w:hint="eastAsia" w:ascii="宋体" w:hAnsi="宋体"/>
          <w:b/>
          <w:bCs/>
          <w:sz w:val="30"/>
          <w:szCs w:val="30"/>
        </w:rPr>
        <w:t>九、评估方案</w:t>
      </w:r>
      <w:bookmarkEnd w:id="520"/>
    </w:p>
    <w:p>
      <w:pPr>
        <w:jc w:val="center"/>
        <w:rPr>
          <w:sz w:val="32"/>
          <w:szCs w:val="32"/>
        </w:rPr>
      </w:pPr>
      <w:r>
        <w:rPr>
          <w:rFonts w:hint="eastAsia"/>
          <w:sz w:val="32"/>
          <w:szCs w:val="32"/>
        </w:rPr>
        <w:t>（投标人根据采购需求编制，格式自拟）</w:t>
      </w:r>
    </w:p>
    <w:p>
      <w:pPr>
        <w:jc w:val="center"/>
        <w:rPr>
          <w:sz w:val="32"/>
          <w:szCs w:val="32"/>
        </w:rPr>
        <w:sectPr>
          <w:pgSz w:w="11906" w:h="16838"/>
          <w:pgMar w:top="1701" w:right="1588" w:bottom="1304" w:left="1588" w:header="1247" w:footer="737" w:gutter="0"/>
          <w:cols w:space="720" w:num="1"/>
          <w:docGrid w:linePitch="380" w:charSpace="-4301"/>
        </w:sectPr>
      </w:pPr>
    </w:p>
    <w:p>
      <w:pPr>
        <w:spacing w:line="360" w:lineRule="auto"/>
        <w:jc w:val="center"/>
        <w:outlineLvl w:val="2"/>
        <w:rPr>
          <w:rFonts w:ascii="宋体" w:hAnsi="宋体"/>
          <w:b/>
          <w:bCs/>
          <w:sz w:val="30"/>
          <w:szCs w:val="30"/>
        </w:rPr>
      </w:pPr>
      <w:bookmarkStart w:id="521" w:name="_Toc51235197"/>
      <w:r>
        <w:rPr>
          <w:rFonts w:hint="eastAsia" w:ascii="宋体" w:hAnsi="宋体"/>
          <w:b/>
          <w:bCs/>
          <w:sz w:val="30"/>
          <w:szCs w:val="30"/>
        </w:rPr>
        <w:t>十、投标人自认为需要提交的其它资料。</w:t>
      </w:r>
      <w:bookmarkEnd w:id="521"/>
    </w:p>
    <w:p>
      <w:pPr>
        <w:spacing w:line="360" w:lineRule="auto"/>
        <w:rPr>
          <w:rFonts w:ascii="宋体" w:hAnsi="宋体"/>
          <w:sz w:val="22"/>
          <w:szCs w:val="22"/>
        </w:rPr>
      </w:pPr>
    </w:p>
    <w:p>
      <w:pPr>
        <w:spacing w:line="360" w:lineRule="auto"/>
        <w:jc w:val="center"/>
        <w:outlineLvl w:val="2"/>
        <w:rPr>
          <w:rFonts w:ascii="宋体" w:hAnsi="宋体"/>
        </w:rPr>
        <w:sectPr>
          <w:pgSz w:w="11906" w:h="16838"/>
          <w:pgMar w:top="1701" w:right="1588" w:bottom="1304" w:left="1588" w:header="1247" w:footer="737" w:gutter="0"/>
          <w:cols w:space="720" w:num="1"/>
          <w:docGrid w:linePitch="380" w:charSpace="-4301"/>
        </w:sectPr>
      </w:pPr>
      <w:r>
        <w:rPr>
          <w:rFonts w:ascii="宋体" w:hAnsi="宋体"/>
          <w:szCs w:val="21"/>
        </w:rPr>
        <w:br w:type="page"/>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500"/>
      <w:bookmarkEnd w:id="501"/>
      <w:bookmarkEnd w:id="502"/>
      <w:bookmarkEnd w:id="503"/>
      <w:bookmarkEnd w:id="504"/>
      <w:bookmarkEnd w:id="505"/>
      <w:bookmarkEnd w:id="506"/>
      <w:bookmarkEnd w:id="507"/>
      <w:bookmarkEnd w:id="508"/>
      <w:bookmarkEnd w:id="509"/>
      <w:bookmarkEnd w:id="510"/>
      <w:bookmarkEnd w:id="511"/>
      <w:bookmarkStart w:id="522" w:name="_Toc135310192"/>
      <w:bookmarkEnd w:id="522"/>
    </w:p>
    <w:p>
      <w:pPr>
        <w:snapToGrid w:val="0"/>
        <w:spacing w:line="360" w:lineRule="auto"/>
        <w:ind w:firstLine="1758" w:firstLineChars="398"/>
        <w:outlineLvl w:val="0"/>
        <w:rPr>
          <w:rFonts w:ascii="宋体" w:hAnsi="宋体"/>
          <w:szCs w:val="21"/>
        </w:rPr>
      </w:pPr>
      <w:bookmarkStart w:id="523" w:name="_Toc201743015"/>
      <w:bookmarkStart w:id="524" w:name="_Toc201997876"/>
      <w:bookmarkStart w:id="525" w:name="_Toc51235198"/>
      <w:bookmarkStart w:id="526" w:name="_Toc199213698"/>
      <w:bookmarkStart w:id="527" w:name="_Toc199215733"/>
      <w:bookmarkStart w:id="528" w:name="_Toc188869346"/>
      <w:r>
        <w:rPr>
          <w:rFonts w:hint="eastAsia" w:ascii="黑体" w:eastAsia="黑体"/>
          <w:b/>
          <w:sz w:val="44"/>
          <w:szCs w:val="44"/>
        </w:rPr>
        <w:t>第四章 合</w:t>
      </w:r>
      <w:bookmarkStart w:id="529" w:name="_Toc201719037"/>
      <w:r>
        <w:rPr>
          <w:rFonts w:hint="eastAsia" w:ascii="黑体" w:eastAsia="黑体"/>
          <w:b/>
          <w:sz w:val="44"/>
          <w:szCs w:val="44"/>
        </w:rPr>
        <w:t>同</w:t>
      </w:r>
      <w:bookmarkEnd w:id="523"/>
      <w:bookmarkEnd w:id="524"/>
      <w:bookmarkEnd w:id="529"/>
      <w:r>
        <w:rPr>
          <w:rFonts w:hint="eastAsia" w:ascii="黑体" w:eastAsia="黑体"/>
          <w:b/>
          <w:sz w:val="44"/>
          <w:szCs w:val="44"/>
        </w:rPr>
        <w:t>文件格式</w:t>
      </w:r>
      <w:bookmarkEnd w:id="525"/>
    </w:p>
    <w:bookmarkEnd w:id="526"/>
    <w:bookmarkEnd w:id="527"/>
    <w:bookmarkEnd w:id="528"/>
    <w:p>
      <w:pPr>
        <w:pStyle w:val="4"/>
        <w:spacing w:line="300" w:lineRule="auto"/>
        <w:jc w:val="center"/>
        <w:rPr>
          <w:rFonts w:cs="Courier New"/>
          <w:bCs/>
          <w:sz w:val="32"/>
          <w:szCs w:val="21"/>
        </w:rPr>
      </w:pPr>
      <w:bookmarkStart w:id="530" w:name="_Toc51235199"/>
      <w:bookmarkStart w:id="531" w:name="_Toc201997925"/>
      <w:bookmarkStart w:id="532" w:name="_Toc201743097"/>
      <w:bookmarkStart w:id="533" w:name="_Toc309632044"/>
      <w:bookmarkStart w:id="534" w:name="_Toc201743096"/>
      <w:bookmarkStart w:id="535" w:name="_Toc199213726"/>
      <w:bookmarkStart w:id="536" w:name="_Toc199215761"/>
      <w:bookmarkStart w:id="537" w:name="_Toc201997924"/>
      <w:r>
        <w:rPr>
          <w:rFonts w:hint="eastAsia" w:cs="Courier New"/>
          <w:bCs/>
          <w:sz w:val="32"/>
          <w:szCs w:val="21"/>
        </w:rPr>
        <w:t>合同协议书</w:t>
      </w:r>
      <w:bookmarkEnd w:id="530"/>
      <w:bookmarkEnd w:id="531"/>
      <w:bookmarkEnd w:id="532"/>
      <w:bookmarkEnd w:id="533"/>
    </w:p>
    <w:bookmarkEnd w:id="534"/>
    <w:bookmarkEnd w:id="535"/>
    <w:bookmarkEnd w:id="536"/>
    <w:bookmarkEnd w:id="537"/>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420" w:firstLineChars="200"/>
        <w:jc w:val="left"/>
        <w:textAlignment w:val="auto"/>
        <w:outlineLvl w:val="9"/>
        <w:rPr>
          <w:rFonts w:ascii="宋体" w:hAnsi="宋体"/>
          <w:szCs w:val="21"/>
        </w:rPr>
      </w:pPr>
      <w:r>
        <w:rPr>
          <w:rFonts w:hint="eastAsia" w:ascii="宋体" w:hAnsi="宋体" w:cs="宋体"/>
          <w:szCs w:val="21"/>
        </w:rPr>
        <w:t>甲方委托乙方就</w:t>
      </w:r>
      <w:r>
        <w:rPr>
          <w:rFonts w:hint="eastAsia" w:ascii="宋体" w:hAnsi="宋体" w:cs="宋体"/>
          <w:b/>
          <w:szCs w:val="21"/>
          <w:u w:val="single"/>
          <w:lang w:eastAsia="zh-CN"/>
        </w:rPr>
        <w:t>龙华区2019年度-2020年度建设工程招投标情况后评估工作</w:t>
      </w:r>
      <w:r>
        <w:rPr>
          <w:rFonts w:hint="eastAsia" w:ascii="宋体" w:hAnsi="宋体" w:cs="宋体"/>
          <w:szCs w:val="21"/>
        </w:rPr>
        <w:t>开展技术咨询服务，并支付咨询报酬。双方经过平等协商，在真实、充分得表达各自意愿的基础上，根据《中华人民共和国合同法》的规定，达成如下协议，并由双方共同恪守。</w:t>
      </w: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rPr>
        <w:t>第一条   组成本合同的文件及优先解释顺序如下：</w:t>
      </w:r>
    </w:p>
    <w:p>
      <w:pPr>
        <w:spacing w:line="360" w:lineRule="auto"/>
        <w:ind w:firstLine="420" w:firstLineChars="200"/>
        <w:rPr>
          <w:rFonts w:ascii="宋体" w:hAnsi="宋体"/>
          <w:szCs w:val="21"/>
        </w:rPr>
      </w:pPr>
      <w:r>
        <w:rPr>
          <w:rFonts w:hint="eastAsia" w:ascii="宋体" w:hAnsi="宋体" w:cs="宋体"/>
          <w:szCs w:val="21"/>
        </w:rPr>
        <w:t>（1）本合同书；</w:t>
      </w:r>
    </w:p>
    <w:p>
      <w:pPr>
        <w:spacing w:line="360" w:lineRule="auto"/>
        <w:ind w:firstLine="420" w:firstLineChars="200"/>
        <w:rPr>
          <w:rFonts w:ascii="宋体" w:hAnsi="宋体"/>
          <w:szCs w:val="21"/>
        </w:rPr>
      </w:pPr>
      <w:r>
        <w:rPr>
          <w:rFonts w:hint="eastAsia" w:ascii="宋体" w:hAnsi="宋体" w:cs="宋体"/>
          <w:szCs w:val="21"/>
        </w:rPr>
        <w:t>（2）合同履行过程中，双方有关项目的洽商、补充等方面的协议或补充意见；</w:t>
      </w:r>
    </w:p>
    <w:p>
      <w:pPr>
        <w:spacing w:line="360" w:lineRule="auto"/>
        <w:ind w:firstLine="420" w:firstLineChars="200"/>
        <w:rPr>
          <w:rFonts w:ascii="宋体" w:hAnsi="宋体" w:cs="宋体"/>
          <w:szCs w:val="21"/>
        </w:rPr>
      </w:pPr>
      <w:r>
        <w:rPr>
          <w:rFonts w:hint="eastAsia" w:ascii="宋体" w:hAnsi="宋体" w:cs="宋体"/>
          <w:szCs w:val="21"/>
        </w:rPr>
        <w:t>（3）标准、规范及有关技术文件；</w:t>
      </w:r>
    </w:p>
    <w:p>
      <w:pPr>
        <w:spacing w:line="360" w:lineRule="auto"/>
        <w:ind w:firstLine="420" w:firstLineChars="200"/>
        <w:rPr>
          <w:rFonts w:ascii="宋体" w:hAnsi="宋体"/>
          <w:szCs w:val="21"/>
        </w:rPr>
      </w:pPr>
      <w:r>
        <w:rPr>
          <w:rFonts w:hint="eastAsia" w:ascii="宋体" w:hAnsi="宋体"/>
          <w:szCs w:val="21"/>
        </w:rPr>
        <w:t>（4）甲方的相关管理规定；</w:t>
      </w:r>
    </w:p>
    <w:p>
      <w:pPr>
        <w:spacing w:line="360" w:lineRule="auto"/>
        <w:ind w:firstLine="420" w:firstLineChars="200"/>
        <w:rPr>
          <w:rFonts w:ascii="宋体" w:hAnsi="宋体"/>
          <w:szCs w:val="21"/>
        </w:rPr>
      </w:pPr>
      <w:r>
        <w:rPr>
          <w:rFonts w:hint="eastAsia" w:ascii="宋体" w:hAnsi="宋体" w:cs="宋体"/>
          <w:szCs w:val="21"/>
        </w:rPr>
        <w:t>（5）合同双方约定的其他文件。</w:t>
      </w:r>
    </w:p>
    <w:p>
      <w:pPr>
        <w:spacing w:line="360" w:lineRule="auto"/>
        <w:rPr>
          <w:rFonts w:ascii="宋体" w:hAnsi="宋体"/>
          <w:szCs w:val="21"/>
        </w:rPr>
      </w:pPr>
      <w:r>
        <w:rPr>
          <w:rFonts w:hint="eastAsia" w:ascii="宋体" w:hAnsi="宋体" w:cs="宋体"/>
          <w:szCs w:val="21"/>
        </w:rPr>
        <w:t>第二条  双方的权利义务</w:t>
      </w:r>
    </w:p>
    <w:p>
      <w:pPr>
        <w:spacing w:line="360" w:lineRule="auto"/>
        <w:ind w:firstLine="420" w:firstLineChars="200"/>
        <w:rPr>
          <w:rFonts w:ascii="宋体" w:hAnsi="宋体" w:cs="宋体"/>
          <w:szCs w:val="21"/>
        </w:rPr>
      </w:pPr>
      <w:r>
        <w:rPr>
          <w:rFonts w:hint="eastAsia" w:ascii="宋体" w:hAnsi="宋体" w:cs="宋体"/>
          <w:szCs w:val="21"/>
        </w:rPr>
        <w:t xml:space="preserve">（一）甲方的权利和义务 </w:t>
      </w:r>
    </w:p>
    <w:p>
      <w:pPr>
        <w:spacing w:line="360" w:lineRule="auto"/>
        <w:ind w:firstLine="420" w:firstLineChars="200"/>
        <w:rPr>
          <w:rFonts w:ascii="宋体" w:hAnsi="宋体"/>
          <w:szCs w:val="21"/>
        </w:rPr>
      </w:pPr>
      <w:r>
        <w:rPr>
          <w:rFonts w:hint="eastAsia" w:ascii="宋体" w:hAnsi="宋体" w:cs="宋体"/>
          <w:szCs w:val="21"/>
        </w:rPr>
        <w:t>1．要求乙方按时按合同的约定提供咨询服务。</w:t>
      </w:r>
    </w:p>
    <w:p>
      <w:pPr>
        <w:spacing w:line="360" w:lineRule="auto"/>
        <w:ind w:firstLine="420" w:firstLineChars="200"/>
        <w:rPr>
          <w:rFonts w:ascii="宋体" w:hAnsi="宋体"/>
          <w:szCs w:val="21"/>
        </w:rPr>
      </w:pPr>
      <w:r>
        <w:rPr>
          <w:rFonts w:hint="eastAsia" w:ascii="宋体" w:hAnsi="宋体" w:cs="宋体"/>
          <w:szCs w:val="21"/>
        </w:rPr>
        <w:t>2．按本合同约定支付费用。</w:t>
      </w:r>
    </w:p>
    <w:p>
      <w:pPr>
        <w:spacing w:line="360" w:lineRule="auto"/>
        <w:ind w:firstLine="420" w:firstLineChars="200"/>
        <w:rPr>
          <w:rFonts w:ascii="宋体" w:hAnsi="宋体"/>
          <w:szCs w:val="21"/>
        </w:rPr>
      </w:pPr>
      <w:r>
        <w:rPr>
          <w:rFonts w:hint="eastAsia" w:ascii="宋体" w:hAnsi="宋体" w:cs="宋体"/>
          <w:szCs w:val="21"/>
        </w:rPr>
        <w:t xml:space="preserve">（二）乙方的权利和义务 </w:t>
      </w:r>
    </w:p>
    <w:p>
      <w:pPr>
        <w:spacing w:line="360" w:lineRule="auto"/>
        <w:ind w:firstLine="420" w:firstLineChars="200"/>
        <w:rPr>
          <w:rFonts w:ascii="宋体" w:hAnsi="宋体"/>
          <w:szCs w:val="21"/>
        </w:rPr>
      </w:pPr>
      <w:r>
        <w:rPr>
          <w:rFonts w:hint="eastAsia" w:ascii="宋体" w:hAnsi="宋体" w:cs="宋体"/>
          <w:szCs w:val="21"/>
        </w:rPr>
        <w:t>1.乙方按照双方确认的内容提供技术咨询服务，在提供咨询过程中，根据甲方要求及时修改方案，确保按期并高质量地提供咨询报告。</w:t>
      </w:r>
    </w:p>
    <w:p>
      <w:pPr>
        <w:spacing w:line="360" w:lineRule="auto"/>
        <w:ind w:firstLine="420" w:firstLineChars="200"/>
        <w:rPr>
          <w:rFonts w:ascii="宋体" w:hAnsi="宋体"/>
          <w:szCs w:val="21"/>
        </w:rPr>
      </w:pPr>
      <w:r>
        <w:rPr>
          <w:rFonts w:hint="eastAsia" w:ascii="宋体" w:hAnsi="宋体" w:cs="宋体"/>
          <w:szCs w:val="21"/>
        </w:rPr>
        <w:t>2.乙方应按照本合同第九条的规定通过甲方的咨询成果的验收。</w:t>
      </w:r>
    </w:p>
    <w:p>
      <w:pPr>
        <w:spacing w:line="360" w:lineRule="auto"/>
        <w:ind w:firstLine="420" w:firstLineChars="200"/>
        <w:rPr>
          <w:rFonts w:ascii="宋体" w:hAnsi="宋体"/>
          <w:szCs w:val="21"/>
        </w:rPr>
      </w:pPr>
      <w:r>
        <w:rPr>
          <w:rFonts w:hint="eastAsia" w:ascii="宋体" w:hAnsi="宋体" w:cs="宋体"/>
          <w:szCs w:val="21"/>
        </w:rPr>
        <w:t>3.乙方保证履行本合同要求过程的全部研究成果合法，并不得损害任何第三人合法权益，包括但不限于第三人著作权、专利权、商标权等知识产权和其他合法权利。</w:t>
      </w:r>
    </w:p>
    <w:p>
      <w:pPr>
        <w:spacing w:line="360" w:lineRule="auto"/>
        <w:ind w:firstLine="420" w:firstLineChars="200"/>
        <w:rPr>
          <w:rFonts w:ascii="宋体" w:hAnsi="宋体" w:cs="宋体"/>
          <w:szCs w:val="21"/>
        </w:rPr>
      </w:pPr>
      <w:r>
        <w:rPr>
          <w:rFonts w:hint="eastAsia" w:ascii="宋体" w:hAnsi="宋体" w:cs="宋体"/>
          <w:szCs w:val="21"/>
        </w:rPr>
        <w:t>如发生第三人以甲方的技术侵权为由与甲方发生纠纷，使甲方名誉受损害，或向甲方索赔的情况，乙方应当承担由此所带来的一切后果，包括但不限于赔偿金、诉讼费、仲裁费、律师费等。</w:t>
      </w:r>
    </w:p>
    <w:p>
      <w:pPr>
        <w:spacing w:line="360" w:lineRule="auto"/>
        <w:ind w:firstLine="420" w:firstLineChars="200"/>
        <w:rPr>
          <w:rFonts w:ascii="宋体" w:hAnsi="宋体" w:cs="宋体"/>
          <w:szCs w:val="21"/>
        </w:rPr>
      </w:pPr>
      <w:r>
        <w:rPr>
          <w:rFonts w:hint="eastAsia" w:ascii="宋体" w:hAnsi="宋体" w:cs="宋体"/>
          <w:szCs w:val="21"/>
        </w:rPr>
        <w:t>4.乙方在履行合同过程中不得侵害第三方的合法权益，因乙方或其工作人员在履行合同过程中的侵权行为导致的法律责任由乙方负责，甲方不承担任何责任。</w:t>
      </w:r>
    </w:p>
    <w:p>
      <w:pPr>
        <w:spacing w:line="360" w:lineRule="auto"/>
        <w:ind w:firstLine="420" w:firstLineChars="200"/>
        <w:rPr>
          <w:rFonts w:ascii="宋体" w:hAnsi="宋体" w:cs="宋体"/>
          <w:szCs w:val="21"/>
        </w:rPr>
      </w:pPr>
      <w:r>
        <w:rPr>
          <w:rFonts w:hint="eastAsia" w:ascii="宋体" w:hAnsi="宋体" w:cs="宋体"/>
          <w:szCs w:val="21"/>
        </w:rPr>
        <w:t>5.依合同收取费用。</w:t>
      </w:r>
    </w:p>
    <w:p>
      <w:pPr>
        <w:spacing w:line="360" w:lineRule="auto"/>
        <w:ind w:firstLine="420" w:firstLineChars="200"/>
        <w:rPr>
          <w:rFonts w:ascii="宋体" w:hAnsi="宋体" w:cs="宋体"/>
          <w:szCs w:val="21"/>
        </w:rPr>
      </w:pPr>
      <w:r>
        <w:rPr>
          <w:rFonts w:hint="eastAsia" w:ascii="宋体" w:hAnsi="宋体" w:cs="宋体"/>
          <w:szCs w:val="21"/>
        </w:rPr>
        <w:t>6.乙方应具有完成合同义务所需要的资质。</w:t>
      </w:r>
    </w:p>
    <w:p>
      <w:pPr>
        <w:spacing w:line="360" w:lineRule="auto"/>
        <w:rPr>
          <w:rFonts w:ascii="宋体" w:hAnsi="宋体"/>
          <w:szCs w:val="21"/>
        </w:rPr>
      </w:pPr>
      <w:r>
        <w:rPr>
          <w:rFonts w:hint="eastAsia" w:ascii="宋体" w:hAnsi="宋体" w:cs="宋体"/>
          <w:szCs w:val="21"/>
        </w:rPr>
        <w:t>第三条  乙方开展技术咨询服务的内容、要求和方式：</w:t>
      </w:r>
    </w:p>
    <w:p>
      <w:pPr>
        <w:spacing w:line="360" w:lineRule="auto"/>
        <w:ind w:firstLine="420" w:firstLineChars="200"/>
        <w:rPr>
          <w:rFonts w:ascii="宋体" w:hAnsi="宋体" w:cs="宋体"/>
          <w:szCs w:val="21"/>
        </w:rPr>
      </w:pPr>
      <w:r>
        <w:rPr>
          <w:rFonts w:hint="eastAsia" w:ascii="宋体" w:hAnsi="宋体" w:cs="宋体"/>
          <w:szCs w:val="21"/>
        </w:rPr>
        <w:t>根据《关于建设工程招标投标改革的若干规定》（深府[</w:t>
      </w:r>
      <w:r>
        <w:rPr>
          <w:rFonts w:ascii="宋体" w:hAnsi="宋体" w:cs="宋体"/>
          <w:szCs w:val="21"/>
        </w:rPr>
        <w:t>2015</w:t>
      </w:r>
      <w:r>
        <w:rPr>
          <w:rFonts w:hint="eastAsia" w:ascii="宋体" w:hAnsi="宋体" w:cs="宋体"/>
          <w:szCs w:val="21"/>
        </w:rPr>
        <w:t>]7</w:t>
      </w:r>
      <w:r>
        <w:rPr>
          <w:rFonts w:ascii="宋体" w:hAnsi="宋体" w:cs="宋体"/>
          <w:szCs w:val="21"/>
        </w:rPr>
        <w:t>3</w:t>
      </w:r>
      <w:r>
        <w:rPr>
          <w:rFonts w:hint="eastAsia" w:ascii="宋体" w:hAnsi="宋体" w:cs="宋体"/>
          <w:szCs w:val="21"/>
        </w:rPr>
        <w:t>号）及《深圳市建设工程招标投标情况后评估工作规则（试行）》（深建市场[2</w:t>
      </w:r>
      <w:r>
        <w:rPr>
          <w:rFonts w:ascii="宋体" w:hAnsi="宋体" w:cs="宋体"/>
          <w:szCs w:val="21"/>
        </w:rPr>
        <w:t>017]16</w:t>
      </w:r>
      <w:r>
        <w:rPr>
          <w:rFonts w:hint="eastAsia" w:ascii="宋体" w:hAnsi="宋体" w:cs="宋体"/>
          <w:szCs w:val="21"/>
        </w:rPr>
        <w:t>号）的相关规定，对龙华区属建设工程招标投标情况进行后评估，评估分初步评估和详细评估两个阶段。</w:t>
      </w:r>
    </w:p>
    <w:p>
      <w:pPr>
        <w:spacing w:line="360" w:lineRule="auto"/>
        <w:ind w:firstLine="420" w:firstLineChars="200"/>
        <w:rPr>
          <w:rFonts w:ascii="宋体" w:hAnsi="宋体" w:cs="宋体"/>
          <w:szCs w:val="21"/>
        </w:rPr>
      </w:pPr>
      <w:r>
        <w:rPr>
          <w:rFonts w:hint="eastAsia" w:ascii="宋体" w:hAnsi="宋体" w:cs="宋体"/>
          <w:szCs w:val="21"/>
        </w:rPr>
        <w:t>1.初步评估</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）记录统计</w:t>
      </w:r>
    </w:p>
    <w:p>
      <w:pPr>
        <w:spacing w:line="360" w:lineRule="auto"/>
        <w:ind w:firstLine="420" w:firstLineChars="200"/>
        <w:rPr>
          <w:rFonts w:ascii="宋体" w:hAnsi="宋体" w:cs="宋体"/>
          <w:szCs w:val="21"/>
        </w:rPr>
      </w:pPr>
      <w:r>
        <w:rPr>
          <w:rFonts w:hint="eastAsia" w:ascii="宋体" w:hAnsi="宋体" w:cs="宋体"/>
          <w:szCs w:val="21"/>
        </w:rPr>
        <w:t>记录统计每个项目招标投标关键要素，用以积累相关数据，以便于主管部门掌握招标投标活动的现状，并通过数据分析发现和总结相关问题。</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）工作质量评估</w:t>
      </w:r>
    </w:p>
    <w:p>
      <w:pPr>
        <w:spacing w:line="360" w:lineRule="auto"/>
        <w:ind w:firstLine="420" w:firstLineChars="200"/>
        <w:rPr>
          <w:rFonts w:ascii="宋体" w:hAnsi="宋体" w:cs="宋体"/>
          <w:szCs w:val="21"/>
        </w:rPr>
      </w:pPr>
      <w:r>
        <w:rPr>
          <w:rFonts w:hint="eastAsia" w:ascii="宋体" w:hAnsi="宋体" w:cs="宋体"/>
          <w:szCs w:val="21"/>
        </w:rPr>
        <w:t>1）文件质量</w:t>
      </w:r>
    </w:p>
    <w:p>
      <w:pPr>
        <w:spacing w:line="360" w:lineRule="auto"/>
        <w:ind w:firstLine="420" w:firstLineChars="200"/>
        <w:rPr>
          <w:rFonts w:ascii="宋体" w:hAnsi="宋体" w:cs="宋体"/>
          <w:szCs w:val="21"/>
        </w:rPr>
      </w:pPr>
      <w:r>
        <w:rPr>
          <w:rFonts w:hint="eastAsia" w:ascii="宋体" w:hAnsi="宋体" w:cs="宋体"/>
          <w:szCs w:val="21"/>
        </w:rPr>
        <w:t>包括招标文件编制质量、补遗（答疑）文件质量、相关报告及函件质量、招标过程相关用表质量及招标投标成果资料的完备性等。</w:t>
      </w:r>
    </w:p>
    <w:p>
      <w:pPr>
        <w:spacing w:line="360" w:lineRule="auto"/>
        <w:ind w:firstLine="420" w:firstLineChars="200"/>
        <w:rPr>
          <w:rFonts w:ascii="宋体" w:hAnsi="宋体" w:cs="宋体"/>
          <w:szCs w:val="21"/>
        </w:rPr>
      </w:pPr>
      <w:r>
        <w:rPr>
          <w:rFonts w:hint="eastAsia" w:ascii="宋体" w:hAnsi="宋体" w:cs="宋体"/>
          <w:szCs w:val="21"/>
        </w:rPr>
        <w:t>2）工作程序、评定标组织工作质量</w:t>
      </w:r>
    </w:p>
    <w:p>
      <w:pPr>
        <w:spacing w:line="360" w:lineRule="auto"/>
        <w:ind w:firstLine="420" w:firstLineChars="200"/>
        <w:rPr>
          <w:rFonts w:ascii="宋体" w:hAnsi="宋体" w:cs="宋体"/>
          <w:szCs w:val="21"/>
        </w:rPr>
      </w:pPr>
      <w:r>
        <w:rPr>
          <w:rFonts w:hint="eastAsia" w:ascii="宋体" w:hAnsi="宋体" w:cs="宋体"/>
          <w:szCs w:val="21"/>
        </w:rPr>
        <w:t>招标公告发布、招标控制价公示（如有）、专家抽取、清标、评定标组织及配合、投诉处理、开标、资格审查、业绩及中标公示、颁发中标通知书等工作环节的质量。</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）合法、合规性评估</w:t>
      </w:r>
    </w:p>
    <w:p>
      <w:pPr>
        <w:spacing w:line="360" w:lineRule="auto"/>
        <w:ind w:firstLine="420" w:firstLineChars="200"/>
        <w:rPr>
          <w:rFonts w:ascii="宋体" w:hAnsi="宋体" w:cs="宋体"/>
          <w:szCs w:val="21"/>
        </w:rPr>
      </w:pPr>
      <w:r>
        <w:rPr>
          <w:rFonts w:hint="eastAsia" w:ascii="宋体" w:hAnsi="宋体" w:cs="宋体"/>
          <w:szCs w:val="21"/>
        </w:rPr>
        <w:t>1）招标条件设置的合法合规性；</w:t>
      </w:r>
    </w:p>
    <w:p>
      <w:pPr>
        <w:spacing w:line="360" w:lineRule="auto"/>
        <w:ind w:firstLine="420" w:firstLineChars="200"/>
        <w:rPr>
          <w:rFonts w:ascii="宋体" w:hAnsi="宋体" w:cs="宋体"/>
          <w:szCs w:val="21"/>
        </w:rPr>
      </w:pPr>
      <w:r>
        <w:rPr>
          <w:rFonts w:hint="eastAsia" w:ascii="宋体" w:hAnsi="宋体" w:cs="宋体"/>
          <w:szCs w:val="21"/>
        </w:rPr>
        <w:t>2）招标公告发布时间的合法合规性；</w:t>
      </w:r>
    </w:p>
    <w:p>
      <w:pPr>
        <w:spacing w:line="360" w:lineRule="auto"/>
        <w:ind w:firstLine="420" w:firstLineChars="200"/>
        <w:rPr>
          <w:rFonts w:ascii="宋体" w:hAnsi="宋体" w:cs="宋体"/>
          <w:szCs w:val="21"/>
        </w:rPr>
      </w:pPr>
      <w:r>
        <w:rPr>
          <w:rFonts w:hint="eastAsia" w:ascii="宋体" w:hAnsi="宋体" w:cs="宋体"/>
          <w:szCs w:val="21"/>
        </w:rPr>
        <w:t>3）评标办法的合法合规性；</w:t>
      </w:r>
    </w:p>
    <w:p>
      <w:pPr>
        <w:spacing w:line="360" w:lineRule="auto"/>
        <w:ind w:firstLine="420" w:firstLineChars="200"/>
        <w:rPr>
          <w:rFonts w:ascii="宋体" w:hAnsi="宋体" w:cs="宋体"/>
          <w:szCs w:val="21"/>
        </w:rPr>
      </w:pPr>
      <w:r>
        <w:rPr>
          <w:rFonts w:hint="eastAsia" w:ascii="宋体" w:hAnsi="宋体" w:cs="宋体"/>
          <w:szCs w:val="21"/>
        </w:rPr>
        <w:t>4）定标规则的合法合规性；</w:t>
      </w:r>
    </w:p>
    <w:p>
      <w:pPr>
        <w:spacing w:line="360" w:lineRule="auto"/>
        <w:ind w:firstLine="420" w:firstLineChars="200"/>
        <w:rPr>
          <w:rFonts w:ascii="宋体" w:hAnsi="宋体" w:cs="宋体"/>
          <w:szCs w:val="21"/>
        </w:rPr>
      </w:pPr>
      <w:r>
        <w:rPr>
          <w:rFonts w:hint="eastAsia" w:ascii="宋体" w:hAnsi="宋体" w:cs="宋体"/>
          <w:szCs w:val="21"/>
        </w:rPr>
        <w:t>5）其他有倾向性或限制性的条款内容。</w:t>
      </w:r>
    </w:p>
    <w:p>
      <w:pPr>
        <w:spacing w:line="360" w:lineRule="auto"/>
        <w:ind w:firstLine="420" w:firstLineChars="200"/>
        <w:rPr>
          <w:rFonts w:ascii="宋体" w:hAnsi="宋体" w:cs="宋体"/>
          <w:szCs w:val="21"/>
        </w:rPr>
      </w:pPr>
      <w:bookmarkStart w:id="538" w:name="_Toc17301911"/>
      <w:r>
        <w:rPr>
          <w:rFonts w:hint="eastAsia" w:ascii="宋体" w:hAnsi="宋体" w:cs="宋体"/>
          <w:szCs w:val="21"/>
        </w:rPr>
        <w:t>2.详细评估</w:t>
      </w:r>
      <w:bookmarkEnd w:id="538"/>
    </w:p>
    <w:p>
      <w:pPr>
        <w:spacing w:line="360" w:lineRule="auto"/>
        <w:ind w:firstLine="420" w:firstLineChars="200"/>
        <w:rPr>
          <w:rFonts w:ascii="宋体" w:hAnsi="宋体" w:cs="宋体"/>
          <w:szCs w:val="21"/>
        </w:rPr>
      </w:pPr>
      <w:r>
        <w:rPr>
          <w:rFonts w:hint="eastAsia" w:ascii="宋体" w:hAnsi="宋体" w:cs="宋体"/>
          <w:szCs w:val="21"/>
        </w:rPr>
        <w:t>（1）异常情况分析</w:t>
      </w:r>
    </w:p>
    <w:p>
      <w:pPr>
        <w:spacing w:line="360" w:lineRule="auto"/>
        <w:ind w:firstLine="420" w:firstLineChars="200"/>
        <w:rPr>
          <w:rFonts w:ascii="宋体" w:hAnsi="宋体" w:cs="宋体"/>
          <w:szCs w:val="21"/>
        </w:rPr>
      </w:pPr>
      <w:r>
        <w:rPr>
          <w:rFonts w:hint="eastAsia" w:ascii="宋体" w:hAnsi="宋体" w:cs="宋体"/>
          <w:szCs w:val="21"/>
        </w:rPr>
        <w:t>1）流标项目中流标原因、直接委托等情况分析；</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）质疑、异议、投诉反映的问题；</w:t>
      </w:r>
    </w:p>
    <w:p>
      <w:pPr>
        <w:spacing w:line="360" w:lineRule="auto"/>
        <w:ind w:firstLine="420" w:firstLineChars="200"/>
        <w:rPr>
          <w:rFonts w:ascii="宋体" w:hAnsi="宋体" w:cs="宋体"/>
          <w:szCs w:val="21"/>
        </w:rPr>
      </w:pPr>
      <w:r>
        <w:rPr>
          <w:rFonts w:hint="eastAsia" w:ascii="宋体" w:hAnsi="宋体" w:cs="宋体"/>
          <w:szCs w:val="21"/>
        </w:rPr>
        <w:t>（2）重点环节分析</w:t>
      </w:r>
    </w:p>
    <w:p>
      <w:pPr>
        <w:spacing w:line="360" w:lineRule="auto"/>
        <w:ind w:firstLine="420" w:firstLineChars="200"/>
        <w:rPr>
          <w:rFonts w:ascii="宋体" w:hAnsi="宋体" w:cs="宋体"/>
          <w:szCs w:val="21"/>
        </w:rPr>
      </w:pPr>
      <w:r>
        <w:rPr>
          <w:rFonts w:hint="eastAsia" w:ascii="宋体" w:hAnsi="宋体" w:cs="宋体"/>
          <w:szCs w:val="21"/>
        </w:rPr>
        <w:t>1）评定标规则的公平、公正、择优性分析；</w:t>
      </w:r>
    </w:p>
    <w:p>
      <w:pPr>
        <w:spacing w:line="360" w:lineRule="auto"/>
        <w:ind w:firstLine="420" w:firstLineChars="200"/>
        <w:rPr>
          <w:rFonts w:ascii="宋体" w:hAnsi="宋体" w:cs="宋体"/>
          <w:szCs w:val="21"/>
        </w:rPr>
      </w:pPr>
      <w:r>
        <w:rPr>
          <w:rFonts w:hint="eastAsia" w:ascii="宋体" w:hAnsi="宋体" w:cs="宋体"/>
          <w:szCs w:val="21"/>
        </w:rPr>
        <w:t>2）评标的合理性分析；</w:t>
      </w:r>
    </w:p>
    <w:p>
      <w:pPr>
        <w:spacing w:line="360" w:lineRule="auto"/>
        <w:ind w:firstLine="420" w:firstLineChars="200"/>
        <w:rPr>
          <w:rFonts w:ascii="宋体" w:hAnsi="宋体" w:cs="宋体"/>
          <w:szCs w:val="21"/>
        </w:rPr>
      </w:pPr>
      <w:r>
        <w:rPr>
          <w:rFonts w:hint="eastAsia" w:ascii="宋体" w:hAnsi="宋体" w:cs="宋体"/>
          <w:szCs w:val="21"/>
        </w:rPr>
        <w:t>3）定标的合理性分析；</w:t>
      </w:r>
    </w:p>
    <w:p>
      <w:pPr>
        <w:spacing w:line="360" w:lineRule="auto"/>
        <w:ind w:firstLine="420" w:firstLineChars="200"/>
        <w:rPr>
          <w:rFonts w:ascii="宋体" w:hAnsi="宋体" w:cs="宋体"/>
          <w:szCs w:val="21"/>
        </w:rPr>
      </w:pPr>
      <w:r>
        <w:rPr>
          <w:rFonts w:hint="eastAsia" w:ascii="宋体" w:hAnsi="宋体" w:cs="宋体"/>
          <w:szCs w:val="21"/>
        </w:rPr>
        <w:t>4）合法不合理情形分析。</w:t>
      </w:r>
    </w:p>
    <w:p>
      <w:pPr>
        <w:spacing w:line="360" w:lineRule="auto"/>
        <w:ind w:firstLine="420" w:firstLineChars="200"/>
        <w:rPr>
          <w:rFonts w:ascii="宋体" w:hAnsi="宋体" w:cs="宋体"/>
          <w:szCs w:val="21"/>
        </w:rPr>
      </w:pPr>
      <w:r>
        <w:rPr>
          <w:rFonts w:hint="eastAsia" w:ascii="宋体" w:hAnsi="宋体" w:cs="宋体"/>
          <w:szCs w:val="21"/>
        </w:rPr>
        <w:t>（3）招标结果分析</w:t>
      </w:r>
    </w:p>
    <w:p>
      <w:pPr>
        <w:spacing w:line="360" w:lineRule="auto"/>
        <w:ind w:firstLine="420" w:firstLineChars="200"/>
        <w:rPr>
          <w:rFonts w:ascii="宋体" w:hAnsi="宋体" w:cs="宋体"/>
          <w:szCs w:val="21"/>
        </w:rPr>
      </w:pPr>
      <w:r>
        <w:rPr>
          <w:rFonts w:hint="eastAsia" w:ascii="宋体" w:hAnsi="宋体" w:cs="宋体"/>
          <w:szCs w:val="21"/>
        </w:rPr>
        <w:t>从择优和竞价两个维度对招标结果进行分析。</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工作要求</w:t>
      </w:r>
    </w:p>
    <w:p>
      <w:pPr>
        <w:spacing w:line="360" w:lineRule="auto"/>
        <w:ind w:firstLine="420" w:firstLineChars="200"/>
        <w:rPr>
          <w:rFonts w:ascii="宋体" w:hAnsi="宋体" w:cs="宋体"/>
          <w:szCs w:val="21"/>
        </w:rPr>
      </w:pPr>
      <w:r>
        <w:rPr>
          <w:rFonts w:hint="eastAsia" w:ascii="宋体" w:hAnsi="宋体" w:cs="宋体"/>
          <w:szCs w:val="21"/>
        </w:rPr>
        <w:t>根据《关于建设工程招标投标改革的若干规定》（深府[</w:t>
      </w:r>
      <w:r>
        <w:rPr>
          <w:rFonts w:ascii="宋体" w:hAnsi="宋体" w:cs="宋体"/>
          <w:szCs w:val="21"/>
        </w:rPr>
        <w:t>2015</w:t>
      </w:r>
      <w:r>
        <w:rPr>
          <w:rFonts w:hint="eastAsia" w:ascii="宋体" w:hAnsi="宋体" w:cs="宋体"/>
          <w:szCs w:val="21"/>
        </w:rPr>
        <w:t>]7</w:t>
      </w:r>
      <w:r>
        <w:rPr>
          <w:rFonts w:ascii="宋体" w:hAnsi="宋体" w:cs="宋体"/>
          <w:szCs w:val="21"/>
        </w:rPr>
        <w:t>3</w:t>
      </w:r>
      <w:r>
        <w:rPr>
          <w:rFonts w:hint="eastAsia" w:ascii="宋体" w:hAnsi="宋体" w:cs="宋体"/>
          <w:szCs w:val="21"/>
        </w:rPr>
        <w:t>号）及《深圳市建设工程招标投标情况后评估工作规则（试行）》（深建市场[2</w:t>
      </w:r>
      <w:r>
        <w:rPr>
          <w:rFonts w:ascii="宋体" w:hAnsi="宋体" w:cs="宋体"/>
          <w:szCs w:val="21"/>
        </w:rPr>
        <w:t>017]16</w:t>
      </w:r>
      <w:r>
        <w:rPr>
          <w:rFonts w:hint="eastAsia" w:ascii="宋体" w:hAnsi="宋体" w:cs="宋体"/>
          <w:szCs w:val="21"/>
        </w:rPr>
        <w:t>号）的相关规定，对龙华区属建设工程招标投标情况进行后评估，后评估工作以招标结果的合理性为导向，重点对招标投标各环节进行核查，对异常情况和招标结果进行调查分析，科学、客观、公正地评估工程招标投标情况的合法合规性，为工程建设主管部门掌握招标投标市场情况，查漏补缺，提高建设工程招标投标行业管理水平奠定基础。</w:t>
      </w:r>
    </w:p>
    <w:p>
      <w:pPr>
        <w:spacing w:line="360" w:lineRule="auto"/>
        <w:ind w:firstLine="420" w:firstLineChars="200"/>
        <w:rPr>
          <w:rFonts w:ascii="宋体" w:hAnsi="宋体" w:cs="宋体"/>
          <w:szCs w:val="21"/>
        </w:rPr>
      </w:pPr>
      <w:r>
        <w:rPr>
          <w:rFonts w:hint="eastAsia" w:ascii="宋体" w:hAnsi="宋体" w:cs="宋体"/>
          <w:szCs w:val="21"/>
        </w:rPr>
        <w:t>本次招标投标情况后评估工作开始前，首先制定合理可行的后评估工作方案，明确工作标准和程序，确保后评估工作的规范性。评估标准、工作程序应当科学严谨、依据充分，评估结论应当客观公正、真实准确，不做无证据的结论，避免评估结论产生异议或争议，确保本次招标投标情况后评估的权威性。</w:t>
      </w:r>
    </w:p>
    <w:p>
      <w:pPr>
        <w:spacing w:line="360" w:lineRule="auto"/>
        <w:ind w:firstLine="420" w:firstLineChars="200"/>
        <w:rPr>
          <w:rFonts w:ascii="宋体" w:hAnsi="宋体" w:cs="宋体"/>
          <w:szCs w:val="21"/>
        </w:rPr>
      </w:pPr>
      <w:r>
        <w:rPr>
          <w:rFonts w:hint="eastAsia" w:ascii="宋体" w:hAnsi="宋体" w:cs="宋体"/>
          <w:szCs w:val="21"/>
        </w:rPr>
        <w:t>通过开展建设工程招标投标情况后评估，在对当前阶段建设工程招标投标情况进行评估的基础上，建立科学、稳定的招标投标后评估工作标准和程序，并根据政策法规和市场环境变化定期修订和完善，使后评估工作逐步体系化、制度化，逐步建立招标投标后评估工作的长效机制，形成对招标投标活动事前核备、过程监督、事后评估的闭环监管体系。</w:t>
      </w:r>
    </w:p>
    <w:p>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.工期要求</w:t>
      </w:r>
    </w:p>
    <w:p>
      <w:pPr>
        <w:spacing w:line="360" w:lineRule="auto"/>
        <w:ind w:firstLine="420" w:firstLineChars="200"/>
        <w:rPr>
          <w:rFonts w:ascii="宋体" w:hAnsi="宋体" w:cs="宋体"/>
          <w:szCs w:val="21"/>
        </w:rPr>
      </w:pPr>
      <w:r>
        <w:rPr>
          <w:rFonts w:hint="eastAsia" w:ascii="宋体" w:hAnsi="宋体" w:cs="宋体"/>
          <w:szCs w:val="21"/>
        </w:rPr>
        <w:t>（1）后评估工期要求：</w:t>
      </w:r>
      <w:r>
        <w:rPr>
          <w:rFonts w:hint="eastAsia" w:ascii="宋体"/>
          <w:b/>
        </w:rPr>
        <w:t>2020年10月底完成2019年度标后评估工作，2021年3月底完成2020年度标后评估工作</w:t>
      </w:r>
      <w:r>
        <w:rPr>
          <w:rFonts w:hint="eastAsia" w:ascii="宋体"/>
          <w:bCs/>
        </w:rPr>
        <w:t>。</w:t>
      </w:r>
    </w:p>
    <w:p>
      <w:pPr>
        <w:spacing w:line="360" w:lineRule="auto"/>
        <w:ind w:firstLine="420" w:firstLineChars="200"/>
        <w:rPr>
          <w:rFonts w:ascii="宋体" w:hAnsi="宋体" w:cs="宋体"/>
          <w:szCs w:val="21"/>
        </w:rPr>
      </w:pPr>
      <w:r>
        <w:rPr>
          <w:rFonts w:hint="eastAsia" w:ascii="宋体" w:hAnsi="宋体" w:cs="宋体"/>
          <w:szCs w:val="21"/>
        </w:rPr>
        <w:t>（2）后续服务要求：后续服务时间1年。</w:t>
      </w:r>
    </w:p>
    <w:p>
      <w:pPr>
        <w:spacing w:line="360" w:lineRule="auto"/>
        <w:ind w:firstLine="420" w:firstLineChars="200"/>
        <w:rPr>
          <w:rFonts w:ascii="宋体" w:hAnsi="宋体" w:cs="宋体"/>
          <w:szCs w:val="21"/>
        </w:rPr>
      </w:pPr>
      <w:r>
        <w:rPr>
          <w:rFonts w:hint="eastAsia" w:ascii="宋体" w:hAnsi="宋体" w:cs="宋体"/>
          <w:szCs w:val="21"/>
        </w:rPr>
        <w:t>（3）工作成果要求。</w:t>
      </w:r>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）《评估工作方案》（原件4套，电子版1套）。</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）《评估报告》（包含总报告、单个项目评估情况表、清标复核情况表，原件4套，电子版1套）。</w:t>
      </w:r>
    </w:p>
    <w:p>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 咨询方式：</w:t>
      </w:r>
    </w:p>
    <w:p>
      <w:pPr>
        <w:spacing w:line="360" w:lineRule="auto"/>
        <w:ind w:firstLine="420" w:firstLineChars="200"/>
        <w:rPr>
          <w:rFonts w:ascii="宋体" w:hAnsi="宋体" w:cs="宋体"/>
          <w:szCs w:val="21"/>
          <w:u w:val="single"/>
        </w:rPr>
      </w:pPr>
      <w:r>
        <w:rPr>
          <w:rFonts w:hint="eastAsia" w:ascii="宋体" w:hAnsi="宋体" w:cs="宋体"/>
          <w:szCs w:val="21"/>
          <w:u w:val="single"/>
        </w:rPr>
        <w:t>包括但不限于面对面咨询，电话咨询，邮件咨询。</w:t>
      </w:r>
    </w:p>
    <w:p>
      <w:pPr>
        <w:spacing w:line="360" w:lineRule="auto"/>
        <w:rPr>
          <w:rFonts w:ascii="宋体" w:hAnsi="宋体"/>
          <w:szCs w:val="21"/>
          <w:u w:val="single"/>
        </w:rPr>
      </w:pPr>
      <w:r>
        <w:rPr>
          <w:rFonts w:hint="eastAsia" w:ascii="宋体" w:hAnsi="宋体" w:cs="宋体"/>
          <w:szCs w:val="21"/>
        </w:rPr>
        <w:t>第四条 乙方应当按照下列进度要求进行本合同项目的技术咨询工作：</w:t>
      </w:r>
    </w:p>
    <w:p>
      <w:pPr>
        <w:spacing w:line="360" w:lineRule="auto"/>
        <w:ind w:firstLine="315" w:firstLineChars="150"/>
        <w:rPr>
          <w:rFonts w:ascii="宋体" w:hAnsi="宋体"/>
          <w:szCs w:val="21"/>
        </w:rPr>
      </w:pPr>
      <w:r>
        <w:rPr>
          <w:rFonts w:hint="eastAsia" w:ascii="宋体" w:hAnsi="宋体" w:cs="宋体"/>
          <w:szCs w:val="21"/>
        </w:rPr>
        <w:t>1.甲方提出书面咨询要求后，应在</w:t>
      </w:r>
      <w:r>
        <w:rPr>
          <w:rFonts w:hint="eastAsia" w:ascii="宋体" w:hAnsi="宋体" w:cs="宋体"/>
          <w:szCs w:val="21"/>
          <w:u w:val="single"/>
        </w:rPr>
        <w:t xml:space="preserve"> </w:t>
      </w:r>
      <w:r>
        <w:rPr>
          <w:rFonts w:hint="eastAsia" w:ascii="宋体" w:hAnsi="宋体" w:cs="宋体"/>
          <w:szCs w:val="21"/>
          <w:u w:val="single"/>
          <w:lang w:val="en-US" w:eastAsia="zh-CN"/>
        </w:rPr>
        <w:t>15</w:t>
      </w:r>
      <w:r>
        <w:rPr>
          <w:rFonts w:hint="eastAsia" w:ascii="宋体" w:hAnsi="宋体" w:cs="宋体"/>
          <w:szCs w:val="21"/>
          <w:u w:val="single"/>
        </w:rPr>
        <w:t xml:space="preserve"> </w:t>
      </w:r>
      <w:r>
        <w:rPr>
          <w:rFonts w:hint="eastAsia" w:ascii="宋体" w:hAnsi="宋体" w:cs="宋体"/>
          <w:szCs w:val="21"/>
        </w:rPr>
        <w:t>日内提交书面咨询报告。</w:t>
      </w:r>
    </w:p>
    <w:p>
      <w:pPr>
        <w:spacing w:line="360" w:lineRule="auto"/>
        <w:ind w:firstLine="315" w:firstLineChars="150"/>
        <w:rPr>
          <w:rFonts w:ascii="宋体" w:hAnsi="宋体"/>
          <w:szCs w:val="21"/>
          <w:u w:val="single"/>
        </w:rPr>
      </w:pPr>
      <w:r>
        <w:rPr>
          <w:rFonts w:hint="eastAsia" w:ascii="宋体" w:hAnsi="宋体" w:cs="宋体"/>
          <w:szCs w:val="21"/>
        </w:rPr>
        <w:t>2.甲方提出的临时口头咨询要求，应在</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小时内答复。</w:t>
      </w:r>
    </w:p>
    <w:p>
      <w:pPr>
        <w:spacing w:line="360" w:lineRule="auto"/>
        <w:ind w:firstLine="315" w:firstLineChars="150"/>
        <w:rPr>
          <w:rFonts w:ascii="宋体" w:hAnsi="宋体" w:cs="宋体"/>
          <w:szCs w:val="21"/>
        </w:rPr>
      </w:pPr>
      <w:r>
        <w:rPr>
          <w:rFonts w:hint="eastAsia" w:ascii="宋体" w:hAnsi="宋体" w:cs="宋体"/>
          <w:szCs w:val="21"/>
        </w:rPr>
        <w:t>3.在本合同约定的咨询成果完成并经甲方认可后</w:t>
      </w:r>
      <w:r>
        <w:rPr>
          <w:rFonts w:hint="eastAsia" w:ascii="宋体" w:hAnsi="宋体" w:cs="宋体"/>
          <w:szCs w:val="21"/>
          <w:u w:val="single"/>
        </w:rPr>
        <w:t xml:space="preserve">  1  </w:t>
      </w:r>
      <w:r>
        <w:rPr>
          <w:rFonts w:hint="eastAsia" w:ascii="宋体" w:hAnsi="宋体" w:cs="宋体"/>
          <w:szCs w:val="21"/>
        </w:rPr>
        <w:t>年内，乙方根据甲方的需求提供免费的技术咨询，根据甲方需要到指定的深圳现场服务的次数不少于</w:t>
      </w:r>
      <w:r>
        <w:rPr>
          <w:rFonts w:hint="eastAsia" w:ascii="宋体" w:hAnsi="宋体" w:cs="宋体"/>
          <w:szCs w:val="21"/>
          <w:u w:val="single"/>
        </w:rPr>
        <w:t xml:space="preserve"> 5 </w:t>
      </w:r>
      <w:r>
        <w:rPr>
          <w:rFonts w:hint="eastAsia" w:ascii="宋体" w:hAnsi="宋体" w:cs="宋体"/>
          <w:szCs w:val="21"/>
        </w:rPr>
        <w:t>次，不多于</w:t>
      </w:r>
      <w:r>
        <w:rPr>
          <w:rFonts w:hint="eastAsia" w:ascii="宋体" w:hAnsi="宋体" w:cs="宋体"/>
          <w:szCs w:val="21"/>
          <w:u w:val="single"/>
        </w:rPr>
        <w:t xml:space="preserve"> 10 </w:t>
      </w:r>
      <w:r>
        <w:rPr>
          <w:rFonts w:hint="eastAsia" w:ascii="宋体" w:hAnsi="宋体" w:cs="宋体"/>
          <w:szCs w:val="21"/>
        </w:rPr>
        <w:t>次，乙方由此产生的费用由乙方承担。</w:t>
      </w:r>
    </w:p>
    <w:p>
      <w:pPr>
        <w:spacing w:line="360" w:lineRule="auto"/>
        <w:ind w:firstLine="315" w:firstLineChars="15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 xml:space="preserve"> 组建龙华区2019年度-2020年度建设工程招标项目后评估工作协助服务人员团队，团队人员不得少于6人，项目团队所有工作人员应具有大学本科以上学历且具有工程师及以上职称，其中高级专家不得少于1名，高级专业技术人员不得少于3人，中级专业技术人员不得少于2人。其他要求如下：</w:t>
      </w:r>
    </w:p>
    <w:p>
      <w:pPr>
        <w:spacing w:line="360" w:lineRule="auto"/>
        <w:ind w:firstLine="315" w:firstLineChars="150"/>
        <w:rPr>
          <w:rFonts w:hint="eastAsia" w:ascii="宋体" w:hAnsi="宋体" w:cs="宋体"/>
          <w:szCs w:val="21"/>
        </w:rPr>
      </w:pPr>
      <w:r>
        <w:rPr>
          <w:rFonts w:hint="eastAsia" w:ascii="宋体" w:hAnsi="宋体" w:cs="宋体"/>
          <w:szCs w:val="21"/>
        </w:rPr>
        <w:t>（1）性别不限，身体健康，年龄原则上在50岁以下；</w:t>
      </w:r>
    </w:p>
    <w:p>
      <w:pPr>
        <w:spacing w:line="360" w:lineRule="auto"/>
        <w:ind w:firstLine="315" w:firstLineChars="150"/>
        <w:rPr>
          <w:rFonts w:hint="eastAsia" w:ascii="宋体" w:hAnsi="宋体" w:cs="宋体"/>
          <w:szCs w:val="21"/>
        </w:rPr>
      </w:pPr>
      <w:r>
        <w:rPr>
          <w:rFonts w:hint="eastAsia" w:ascii="宋体" w:hAnsi="宋体" w:cs="宋体"/>
          <w:szCs w:val="21"/>
        </w:rPr>
        <w:t>（2）具有良好的思想品质、职业道德、专业技术素质，能够爱岗敬业、遵纪守法、乐于奉献；</w:t>
      </w:r>
    </w:p>
    <w:p>
      <w:pPr>
        <w:spacing w:line="360" w:lineRule="auto"/>
        <w:ind w:firstLine="315" w:firstLineChars="150"/>
        <w:rPr>
          <w:rFonts w:hint="eastAsia" w:ascii="宋体" w:hAnsi="宋体"/>
          <w:szCs w:val="21"/>
        </w:rPr>
      </w:pPr>
      <w:r>
        <w:rPr>
          <w:rFonts w:hint="eastAsia" w:ascii="宋体"/>
          <w:bCs/>
        </w:rPr>
        <w:t>（3）熟悉深圳建筑市场从业企业的综合实力、信誉、履约能力等情况</w:t>
      </w:r>
    </w:p>
    <w:p>
      <w:pPr>
        <w:spacing w:line="360" w:lineRule="auto"/>
        <w:ind w:firstLine="315" w:firstLineChars="150"/>
        <w:rPr>
          <w:rFonts w:ascii="宋体" w:hAnsi="宋体"/>
          <w:szCs w:val="21"/>
        </w:rPr>
      </w:pPr>
      <w:r>
        <w:rPr>
          <w:rFonts w:ascii="宋体" w:hAnsi="宋体" w:cs="宋体"/>
          <w:szCs w:val="21"/>
        </w:rPr>
        <w:t>5</w:t>
      </w:r>
      <w:r>
        <w:rPr>
          <w:rFonts w:hint="eastAsia" w:ascii="宋体" w:hAnsi="宋体" w:cs="宋体"/>
          <w:szCs w:val="21"/>
        </w:rPr>
        <w:t xml:space="preserve">.其他  </w:t>
      </w:r>
      <w:r>
        <w:rPr>
          <w:rFonts w:hint="eastAsia" w:ascii="宋体" w:hAnsi="宋体" w:cs="宋体"/>
          <w:szCs w:val="21"/>
          <w:u w:val="single"/>
        </w:rPr>
        <w:t>在合同履行过程中，在必要情况下，经双方协商一致，可对上述工作进度和阶段成果要求进行调整，所作调整不影响本合同价款，最终成果提交日期相应调整。</w:t>
      </w:r>
    </w:p>
    <w:p>
      <w:pPr>
        <w:tabs>
          <w:tab w:val="left" w:pos="360"/>
        </w:tabs>
        <w:spacing w:line="360" w:lineRule="auto"/>
        <w:rPr>
          <w:rFonts w:ascii="宋体" w:hAnsi="宋体"/>
          <w:szCs w:val="21"/>
        </w:rPr>
      </w:pPr>
      <w:r>
        <w:rPr>
          <w:rFonts w:hint="eastAsia" w:ascii="宋体" w:hAnsi="宋体" w:cs="宋体"/>
          <w:szCs w:val="21"/>
        </w:rPr>
        <w:t>第五条  为保证乙方有效开展技术咨询服务工作，甲方应当向乙方提供下列协作事项：</w:t>
      </w:r>
    </w:p>
    <w:p>
      <w:pPr>
        <w:tabs>
          <w:tab w:val="left" w:pos="360"/>
        </w:tabs>
        <w:spacing w:line="360" w:lineRule="auto"/>
        <w:ind w:left="136" w:firstLine="274"/>
        <w:rPr>
          <w:rFonts w:ascii="宋体" w:hAnsi="宋体"/>
          <w:szCs w:val="21"/>
        </w:rPr>
      </w:pPr>
      <w:r>
        <w:rPr>
          <w:rFonts w:hint="eastAsia" w:ascii="宋体" w:hAnsi="宋体" w:cs="宋体"/>
          <w:szCs w:val="21"/>
        </w:rPr>
        <w:t>1. 提供技术资料：</w:t>
      </w:r>
    </w:p>
    <w:p>
      <w:pPr>
        <w:tabs>
          <w:tab w:val="left" w:pos="1080"/>
        </w:tabs>
        <w:spacing w:line="360" w:lineRule="auto"/>
        <w:ind w:firstLine="420" w:firstLineChars="200"/>
        <w:rPr>
          <w:rFonts w:ascii="宋体" w:hAnsi="宋体"/>
          <w:szCs w:val="21"/>
        </w:rPr>
      </w:pPr>
      <w:r>
        <w:rPr>
          <w:rFonts w:hint="eastAsia" w:ascii="宋体" w:hAnsi="宋体" w:cs="宋体"/>
          <w:szCs w:val="21"/>
        </w:rPr>
        <w:t>根据本合同的实际需要按照乙方书面合理要求及时向乙方提供有关的文字资料及图片资料等，并进行相关的协调工作，甲方保证所提供的所有资料真实、合法。</w:t>
      </w:r>
    </w:p>
    <w:p>
      <w:pPr>
        <w:tabs>
          <w:tab w:val="left" w:pos="360"/>
        </w:tabs>
        <w:spacing w:line="360" w:lineRule="auto"/>
        <w:ind w:left="136" w:firstLine="274"/>
        <w:rPr>
          <w:rFonts w:ascii="宋体" w:hAnsi="宋体"/>
          <w:szCs w:val="21"/>
        </w:rPr>
      </w:pPr>
      <w:r>
        <w:rPr>
          <w:rFonts w:hint="eastAsia" w:ascii="宋体" w:hAnsi="宋体" w:cs="宋体"/>
          <w:szCs w:val="21"/>
        </w:rPr>
        <w:t>2. 其他：</w:t>
      </w:r>
      <w:r>
        <w:rPr>
          <w:rFonts w:hint="eastAsia" w:ascii="宋体" w:hAnsi="宋体" w:cs="宋体"/>
          <w:szCs w:val="21"/>
          <w:u w:val="single"/>
        </w:rPr>
        <w:t>依本项目需要提供</w:t>
      </w:r>
      <w:r>
        <w:rPr>
          <w:rFonts w:hint="eastAsia" w:ascii="宋体" w:hAnsi="宋体" w:cs="宋体"/>
          <w:szCs w:val="21"/>
        </w:rPr>
        <w:t>。</w:t>
      </w:r>
    </w:p>
    <w:p>
      <w:pPr>
        <w:tabs>
          <w:tab w:val="left" w:pos="360"/>
        </w:tabs>
        <w:spacing w:line="360" w:lineRule="auto"/>
        <w:ind w:left="143" w:leftChars="68" w:firstLine="197" w:firstLineChars="94"/>
        <w:rPr>
          <w:rFonts w:ascii="宋体" w:hAnsi="宋体"/>
          <w:szCs w:val="21"/>
        </w:rPr>
      </w:pPr>
      <w:r>
        <w:rPr>
          <w:rFonts w:hint="eastAsia" w:ascii="宋体" w:hAnsi="宋体" w:cs="宋体"/>
          <w:szCs w:val="21"/>
        </w:rPr>
        <w:t>3.甲方提供上述协作事项的时间及方式：</w:t>
      </w:r>
      <w:r>
        <w:rPr>
          <w:rFonts w:hint="eastAsia" w:ascii="宋体" w:hAnsi="宋体" w:cs="宋体"/>
          <w:szCs w:val="21"/>
          <w:u w:val="single"/>
        </w:rPr>
        <w:t>视事项不同，双方具体约定时间及方式</w:t>
      </w: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第六条 甲方向乙方支付技术咨询报酬及支付方式为：</w:t>
      </w:r>
    </w:p>
    <w:p>
      <w:pPr>
        <w:tabs>
          <w:tab w:val="left" w:pos="360"/>
        </w:tabs>
        <w:spacing w:line="360" w:lineRule="auto"/>
        <w:ind w:left="143" w:leftChars="68" w:firstLine="197" w:firstLineChars="94"/>
        <w:rPr>
          <w:rFonts w:ascii="宋体" w:hAnsi="宋体" w:cs="宋体"/>
          <w:szCs w:val="21"/>
        </w:rPr>
      </w:pPr>
      <w:r>
        <w:rPr>
          <w:rFonts w:hint="eastAsia" w:ascii="宋体" w:hAnsi="宋体" w:cs="宋体"/>
          <w:szCs w:val="21"/>
        </w:rPr>
        <w:t>1. 技术咨询服务合同总额按如下方式计算；</w:t>
      </w:r>
    </w:p>
    <w:p>
      <w:pPr>
        <w:tabs>
          <w:tab w:val="left" w:pos="360"/>
        </w:tabs>
        <w:spacing w:line="360" w:lineRule="auto"/>
        <w:ind w:left="136" w:leftChars="65" w:firstLine="413" w:firstLineChars="197"/>
        <w:rPr>
          <w:rFonts w:ascii="宋体" w:hAnsi="宋体" w:cs="宋体"/>
          <w:szCs w:val="21"/>
        </w:rPr>
      </w:pPr>
      <w:r>
        <w:rPr>
          <w:rFonts w:hint="eastAsia" w:ascii="宋体" w:hAnsi="宋体" w:cs="宋体"/>
          <w:szCs w:val="21"/>
        </w:rPr>
        <w:t>本合同约定进行</w:t>
      </w:r>
      <w:r>
        <w:rPr>
          <w:rFonts w:hint="eastAsia" w:ascii="宋体" w:hAnsi="宋体" w:cs="宋体"/>
          <w:szCs w:val="21"/>
          <w:lang w:eastAsia="zh-CN"/>
        </w:rPr>
        <w:t>龙华区2019年度-2020年度建设工程招投标情况后评估工作</w:t>
      </w:r>
      <w:r>
        <w:rPr>
          <w:rFonts w:hint="eastAsia" w:ascii="宋体" w:hAnsi="宋体" w:cs="宋体"/>
          <w:szCs w:val="21"/>
        </w:rPr>
        <w:t>技术咨询服务合同总额为：</w:t>
      </w:r>
      <w:r>
        <w:rPr>
          <w:rFonts w:hint="eastAsia" w:ascii="宋体" w:hAnsi="宋体" w:cs="宋体"/>
          <w:b/>
          <w:bCs/>
          <w:szCs w:val="21"/>
        </w:rPr>
        <w:t>人民币</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rPr>
        <w:t>元整（¥</w:t>
      </w:r>
      <w:r>
        <w:rPr>
          <w:rFonts w:ascii="宋体" w:hAnsi="宋体" w:cs="宋体"/>
          <w:b/>
          <w:bCs/>
          <w:szCs w:val="21"/>
          <w:u w:val="single"/>
        </w:rPr>
        <w:t xml:space="preserve">               </w:t>
      </w:r>
      <w:r>
        <w:rPr>
          <w:rFonts w:hint="eastAsia" w:ascii="宋体" w:hAnsi="宋体" w:cs="宋体"/>
          <w:b/>
          <w:bCs/>
          <w:szCs w:val="21"/>
        </w:rPr>
        <w:t>元）</w:t>
      </w:r>
      <w:r>
        <w:rPr>
          <w:rFonts w:hint="eastAsia" w:ascii="宋体" w:hAnsi="宋体" w:cs="宋体"/>
          <w:szCs w:val="21"/>
        </w:rPr>
        <w:t>。</w:t>
      </w:r>
    </w:p>
    <w:p>
      <w:pPr>
        <w:tabs>
          <w:tab w:val="left" w:pos="360"/>
        </w:tabs>
        <w:spacing w:line="360" w:lineRule="auto"/>
        <w:ind w:left="136" w:leftChars="65" w:firstLine="413" w:firstLineChars="197"/>
        <w:rPr>
          <w:rFonts w:ascii="宋体" w:hAnsi="宋体"/>
          <w:szCs w:val="21"/>
        </w:rPr>
      </w:pPr>
      <w:r>
        <w:rPr>
          <w:rFonts w:hint="eastAsia" w:ascii="宋体" w:hAnsi="宋体" w:cs="宋体"/>
          <w:szCs w:val="21"/>
        </w:rPr>
        <w:t>本合同总价款包括本合同约定的所有工作内容及相关文件、图纸、光盘等介质的印制、税金等相关费用。</w:t>
      </w:r>
    </w:p>
    <w:p>
      <w:pPr>
        <w:tabs>
          <w:tab w:val="left" w:pos="360"/>
        </w:tabs>
        <w:spacing w:line="360" w:lineRule="auto"/>
        <w:ind w:left="136" w:firstLine="274"/>
        <w:rPr>
          <w:rFonts w:ascii="宋体" w:hAnsi="宋体" w:cs="宋体"/>
          <w:szCs w:val="21"/>
        </w:rPr>
      </w:pPr>
      <w:r>
        <w:rPr>
          <w:rFonts w:hint="eastAsia" w:ascii="宋体" w:hAnsi="宋体" w:cs="宋体"/>
          <w:szCs w:val="21"/>
        </w:rPr>
        <w:t>2. 技术咨询合同费用由甲方</w:t>
      </w:r>
      <w:r>
        <w:rPr>
          <w:rFonts w:hint="eastAsia" w:ascii="宋体" w:hAnsi="宋体" w:cs="宋体"/>
          <w:szCs w:val="21"/>
          <w:u w:val="single"/>
        </w:rPr>
        <w:t>一次</w:t>
      </w:r>
      <w:r>
        <w:rPr>
          <w:rFonts w:hint="eastAsia" w:ascii="宋体" w:hAnsi="宋体" w:cs="宋体"/>
          <w:szCs w:val="21"/>
        </w:rPr>
        <w:t>（一次或分期）支付乙方。</w:t>
      </w:r>
    </w:p>
    <w:p>
      <w:pPr>
        <w:tabs>
          <w:tab w:val="left" w:pos="360"/>
        </w:tabs>
        <w:spacing w:line="360" w:lineRule="auto"/>
        <w:ind w:left="136" w:leftChars="65" w:firstLine="413" w:firstLineChars="197"/>
        <w:rPr>
          <w:rFonts w:ascii="宋体" w:hAnsi="宋体" w:cs="宋体"/>
          <w:szCs w:val="21"/>
        </w:rPr>
      </w:pPr>
      <w:r>
        <w:rPr>
          <w:rFonts w:hint="eastAsia" w:ascii="宋体" w:hAnsi="宋体" w:cs="宋体"/>
          <w:szCs w:val="21"/>
        </w:rPr>
        <w:t>乙方按合同约定完成相应年度后评估工作并提交全部成果资料后，支付相应年度的后评估费用，实际支付费用总额不得超过合同总价。</w:t>
      </w:r>
    </w:p>
    <w:p>
      <w:pPr>
        <w:tabs>
          <w:tab w:val="left" w:pos="360"/>
        </w:tabs>
        <w:spacing w:line="360" w:lineRule="auto"/>
        <w:ind w:left="136" w:leftChars="65" w:firstLine="413" w:firstLineChars="197"/>
        <w:rPr>
          <w:rFonts w:ascii="宋体" w:hAnsi="宋体" w:cs="宋体"/>
          <w:szCs w:val="21"/>
        </w:rPr>
      </w:pPr>
      <w:r>
        <w:rPr>
          <w:rFonts w:hint="eastAsia" w:ascii="宋体" w:hAnsi="宋体" w:cs="宋体"/>
          <w:szCs w:val="21"/>
        </w:rPr>
        <w:t>具体支付方式和时间如下：</w:t>
      </w:r>
    </w:p>
    <w:p>
      <w:pPr>
        <w:tabs>
          <w:tab w:val="left" w:pos="360"/>
        </w:tabs>
        <w:spacing w:line="360" w:lineRule="auto"/>
        <w:ind w:left="136" w:leftChars="65" w:firstLine="413" w:firstLineChars="197"/>
        <w:rPr>
          <w:rFonts w:ascii="宋体" w:hAnsi="宋体" w:cs="宋体"/>
          <w:szCs w:val="21"/>
          <w:u w:val="single"/>
        </w:rPr>
      </w:pPr>
      <w:r>
        <w:rPr>
          <w:rFonts w:hint="eastAsia" w:ascii="宋体" w:hAnsi="宋体" w:cs="宋体"/>
          <w:szCs w:val="21"/>
          <w:u w:val="single"/>
        </w:rPr>
        <w:t>乙方完成本合同规定的各项工作内容，并按照本合同规定提交最终成果和全部资料后，根据乙方提出的付款申请，甲方按合同约定支付乙方合同价款。</w:t>
      </w:r>
    </w:p>
    <w:p>
      <w:pPr>
        <w:tabs>
          <w:tab w:val="left" w:pos="360"/>
        </w:tabs>
        <w:spacing w:line="360" w:lineRule="auto"/>
        <w:ind w:left="136" w:leftChars="65" w:firstLine="413" w:firstLineChars="197"/>
        <w:rPr>
          <w:rFonts w:ascii="宋体" w:hAnsi="宋体"/>
          <w:szCs w:val="21"/>
        </w:rPr>
      </w:pPr>
      <w:r>
        <w:rPr>
          <w:rFonts w:hint="eastAsia" w:ascii="宋体" w:hAnsi="宋体" w:cs="宋体"/>
          <w:szCs w:val="21"/>
        </w:rPr>
        <w:t>合同款项支付的前提条件除本条前款约定的内容以外，乙方还必须先提供当期付款等额的合法发票，税费由乙方承担。支付方式以深圳市龙华区最新的财政支付政策为准。</w:t>
      </w:r>
    </w:p>
    <w:p>
      <w:pPr>
        <w:tabs>
          <w:tab w:val="left" w:pos="360"/>
        </w:tabs>
        <w:spacing w:line="360" w:lineRule="auto"/>
        <w:rPr>
          <w:rFonts w:ascii="宋体" w:hAnsi="宋体"/>
          <w:szCs w:val="21"/>
        </w:rPr>
      </w:pPr>
      <w:r>
        <w:rPr>
          <w:rFonts w:hint="eastAsia" w:ascii="宋体" w:hAnsi="宋体" w:cs="宋体"/>
          <w:szCs w:val="21"/>
        </w:rPr>
        <w:t xml:space="preserve">     乙方开户名、</w:t>
      </w:r>
      <w:r>
        <w:rPr>
          <w:rFonts w:hint="eastAsia" w:ascii="宋体" w:hAnsi="宋体" w:cs="宋体"/>
          <w:szCs w:val="21"/>
          <w:lang w:eastAsia="zh-CN"/>
        </w:rPr>
        <w:t>账号</w:t>
      </w:r>
      <w:r>
        <w:rPr>
          <w:rFonts w:hint="eastAsia" w:ascii="宋体" w:hAnsi="宋体" w:cs="宋体"/>
          <w:szCs w:val="21"/>
        </w:rPr>
        <w:t>和开户银行名称为：</w:t>
      </w:r>
    </w:p>
    <w:p>
      <w:pPr>
        <w:spacing w:line="360" w:lineRule="auto"/>
        <w:rPr>
          <w:rFonts w:ascii="宋体" w:hAnsi="宋体"/>
          <w:szCs w:val="21"/>
          <w:u w:val="single"/>
        </w:rPr>
      </w:pPr>
      <w:r>
        <w:rPr>
          <w:rFonts w:hint="eastAsia" w:ascii="宋体" w:hAnsi="宋体" w:cs="宋体"/>
          <w:szCs w:val="21"/>
        </w:rPr>
        <w:t xml:space="preserve">     开户名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szCs w:val="21"/>
          <w:u w:val="single"/>
        </w:rPr>
      </w:pPr>
      <w:r>
        <w:rPr>
          <w:rFonts w:hint="eastAsia" w:ascii="宋体" w:hAnsi="宋体" w:cs="宋体"/>
          <w:szCs w:val="21"/>
        </w:rPr>
        <w:t xml:space="preserve">     帐 </w:t>
      </w:r>
      <w:r>
        <w:rPr>
          <w:rFonts w:ascii="宋体" w:hAnsi="宋体" w:cs="宋体"/>
          <w:szCs w:val="21"/>
        </w:rPr>
        <w:t xml:space="preserve">  </w:t>
      </w:r>
      <w:r>
        <w:rPr>
          <w:rFonts w:hint="eastAsia" w:ascii="宋体" w:hAnsi="宋体" w:cs="宋体"/>
          <w:szCs w:val="21"/>
        </w:rPr>
        <w:t>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 xml:space="preserve">     开户银行：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spacing w:line="360" w:lineRule="auto"/>
        <w:rPr>
          <w:rFonts w:ascii="宋体" w:hAnsi="宋体"/>
          <w:szCs w:val="21"/>
        </w:rPr>
      </w:pPr>
      <w:r>
        <w:rPr>
          <w:rFonts w:hint="eastAsia" w:ascii="宋体" w:hAnsi="宋体" w:cs="宋体"/>
          <w:szCs w:val="21"/>
        </w:rPr>
        <w:t>第七条   双方确定因履行本合同应遵守的保密义务如下：</w:t>
      </w:r>
    </w:p>
    <w:p>
      <w:pPr>
        <w:spacing w:line="360" w:lineRule="auto"/>
        <w:rPr>
          <w:rFonts w:ascii="宋体" w:hAnsi="宋体" w:cs="宋体"/>
          <w:szCs w:val="21"/>
        </w:rPr>
      </w:pPr>
      <w:r>
        <w:rPr>
          <w:rFonts w:hint="eastAsia" w:ascii="宋体" w:hAnsi="宋体" w:cs="宋体"/>
          <w:szCs w:val="21"/>
        </w:rPr>
        <w:t xml:space="preserve"> （一）甲方:</w:t>
      </w:r>
    </w:p>
    <w:p>
      <w:pPr>
        <w:tabs>
          <w:tab w:val="left" w:pos="540"/>
        </w:tabs>
        <w:spacing w:line="360" w:lineRule="auto"/>
        <w:ind w:firstLine="315" w:firstLineChars="150"/>
        <w:rPr>
          <w:rFonts w:ascii="宋体" w:hAnsi="宋体" w:cs="宋体"/>
          <w:szCs w:val="21"/>
          <w:u w:val="single"/>
        </w:rPr>
      </w:pPr>
      <w:r>
        <w:rPr>
          <w:rFonts w:hint="eastAsia" w:ascii="宋体" w:hAnsi="宋体" w:cs="宋体"/>
          <w:szCs w:val="21"/>
        </w:rPr>
        <w:t>1. 保</w:t>
      </w:r>
      <w:r>
        <w:rPr>
          <w:rFonts w:hint="eastAsia" w:ascii="宋体" w:hAnsi="宋体" w:cs="宋体"/>
          <w:szCs w:val="21"/>
          <w:u w:val="single"/>
        </w:rPr>
        <w:t>密内容（包括技术信息和经营信息）： 在本合同的履行期间获得与本项目相关的乙方的商业秘密。</w:t>
      </w:r>
    </w:p>
    <w:p>
      <w:pPr>
        <w:tabs>
          <w:tab w:val="left" w:pos="360"/>
        </w:tabs>
        <w:spacing w:line="360" w:lineRule="auto"/>
        <w:ind w:firstLine="315" w:firstLineChars="150"/>
        <w:rPr>
          <w:rFonts w:ascii="宋体" w:hAnsi="宋体"/>
          <w:szCs w:val="21"/>
          <w:u w:val="single"/>
        </w:rPr>
      </w:pPr>
      <w:r>
        <w:rPr>
          <w:rFonts w:hint="eastAsia" w:ascii="宋体" w:hAnsi="宋体" w:cs="宋体"/>
          <w:szCs w:val="21"/>
        </w:rPr>
        <w:t>2. 涉密人员范围：</w:t>
      </w:r>
      <w:r>
        <w:rPr>
          <w:rFonts w:hint="eastAsia" w:ascii="宋体" w:hAnsi="宋体" w:cs="宋体"/>
          <w:szCs w:val="21"/>
          <w:u w:val="single"/>
        </w:rPr>
        <w:t xml:space="preserve">本项目直接或间接取得、处理或接触的人员。 </w:t>
      </w:r>
    </w:p>
    <w:p>
      <w:pPr>
        <w:tabs>
          <w:tab w:val="left" w:pos="360"/>
        </w:tabs>
        <w:spacing w:line="360" w:lineRule="auto"/>
        <w:ind w:firstLine="315" w:firstLineChars="150"/>
        <w:rPr>
          <w:rFonts w:ascii="宋体" w:hAnsi="宋体"/>
          <w:szCs w:val="21"/>
        </w:rPr>
      </w:pPr>
      <w:r>
        <w:rPr>
          <w:rFonts w:hint="eastAsia" w:ascii="宋体" w:hAnsi="宋体" w:cs="宋体"/>
          <w:szCs w:val="21"/>
        </w:rPr>
        <w:t xml:space="preserve">3. 保密期限： </w:t>
      </w:r>
      <w:r>
        <w:rPr>
          <w:rFonts w:hint="eastAsia" w:ascii="宋体" w:hAnsi="宋体" w:cs="宋体"/>
          <w:szCs w:val="21"/>
          <w:u w:val="single"/>
        </w:rPr>
        <w:t xml:space="preserve">          咨询工作完成后两年内          </w:t>
      </w:r>
      <w:r>
        <w:rPr>
          <w:rFonts w:hint="eastAsia" w:ascii="宋体" w:hAnsi="宋体" w:cs="宋体"/>
          <w:szCs w:val="21"/>
        </w:rPr>
        <w:t>。</w:t>
      </w:r>
    </w:p>
    <w:p>
      <w:pPr>
        <w:spacing w:line="360" w:lineRule="auto"/>
        <w:ind w:firstLine="315" w:firstLineChars="150"/>
        <w:rPr>
          <w:rFonts w:ascii="宋体" w:hAnsi="宋体"/>
          <w:szCs w:val="21"/>
          <w:u w:val="single"/>
        </w:rPr>
      </w:pPr>
      <w:r>
        <w:rPr>
          <w:rFonts w:hint="eastAsia" w:ascii="宋体" w:hAnsi="宋体" w:cs="宋体"/>
          <w:szCs w:val="21"/>
        </w:rPr>
        <w:t>4. 泄密责任：</w:t>
      </w:r>
      <w:r>
        <w:rPr>
          <w:rFonts w:hint="eastAsia" w:ascii="宋体" w:hAnsi="宋体" w:cs="宋体"/>
          <w:szCs w:val="21"/>
          <w:u w:val="single"/>
        </w:rPr>
        <w:t xml:space="preserve">    甲方承担由此引起的一切后果 </w:t>
      </w:r>
      <w:r>
        <w:rPr>
          <w:rFonts w:ascii="宋体" w:hAnsi="宋体" w:cs="宋体"/>
          <w:szCs w:val="21"/>
          <w:u w:val="single"/>
        </w:rPr>
        <w:t xml:space="preserve">          </w:t>
      </w:r>
      <w:r>
        <w:rPr>
          <w:rFonts w:hint="eastAsia" w:ascii="宋体" w:hAnsi="宋体" w:cs="宋体"/>
          <w:szCs w:val="21"/>
          <w:u w:val="single"/>
        </w:rPr>
        <w:t>。</w:t>
      </w:r>
    </w:p>
    <w:p>
      <w:pPr>
        <w:spacing w:line="360" w:lineRule="auto"/>
        <w:rPr>
          <w:rFonts w:ascii="宋体" w:hAnsi="宋体" w:cs="宋体"/>
          <w:szCs w:val="21"/>
        </w:rPr>
      </w:pPr>
      <w:r>
        <w:rPr>
          <w:rFonts w:hint="eastAsia" w:ascii="宋体" w:hAnsi="宋体" w:cs="宋体"/>
          <w:szCs w:val="21"/>
        </w:rPr>
        <w:t>（二）乙方:</w:t>
      </w:r>
    </w:p>
    <w:p>
      <w:pPr>
        <w:spacing w:line="360" w:lineRule="auto"/>
        <w:ind w:firstLine="315" w:firstLineChars="150"/>
        <w:rPr>
          <w:rFonts w:ascii="宋体" w:hAnsi="宋体"/>
          <w:szCs w:val="21"/>
          <w:u w:val="single"/>
        </w:rPr>
      </w:pPr>
      <w:r>
        <w:rPr>
          <w:rFonts w:hint="eastAsia" w:ascii="宋体" w:hAnsi="宋体" w:cs="宋体"/>
          <w:szCs w:val="21"/>
        </w:rPr>
        <w:t>1. 保密内容（包括技术信息和经营信息）：</w:t>
      </w:r>
      <w:r>
        <w:rPr>
          <w:rFonts w:hint="eastAsia" w:ascii="宋体" w:hAnsi="宋体" w:cs="宋体"/>
          <w:szCs w:val="21"/>
          <w:u w:val="single"/>
        </w:rPr>
        <w:t xml:space="preserve">乙方须以保密方式处理甲方直接或间接提供的任何资料，以及因本项目技术咨询服务工作所直接或间接取得、处理或接触的任何其他资料。未经甲方同意，不得向第三方透露任何有关本项目的内容，或公开任何本项目中间成果或最终成果。 </w:t>
      </w:r>
    </w:p>
    <w:p>
      <w:pPr>
        <w:spacing w:line="360" w:lineRule="auto"/>
        <w:ind w:firstLine="315" w:firstLineChars="150"/>
        <w:rPr>
          <w:rFonts w:ascii="宋体" w:hAnsi="宋体"/>
          <w:szCs w:val="21"/>
          <w:u w:val="single"/>
        </w:rPr>
      </w:pPr>
      <w:r>
        <w:rPr>
          <w:rFonts w:hint="eastAsia" w:ascii="宋体" w:hAnsi="宋体" w:cs="宋体"/>
          <w:szCs w:val="21"/>
        </w:rPr>
        <w:t>2. 涉密人员范围：</w:t>
      </w:r>
      <w:r>
        <w:rPr>
          <w:rFonts w:hint="eastAsia" w:ascii="宋体" w:hAnsi="宋体" w:cs="宋体"/>
          <w:szCs w:val="21"/>
          <w:u w:val="single"/>
        </w:rPr>
        <w:t xml:space="preserve">  本项目研究工作所直接或间接取得、处理或接触的人员。 </w:t>
      </w:r>
    </w:p>
    <w:p>
      <w:pPr>
        <w:spacing w:line="360" w:lineRule="auto"/>
        <w:rPr>
          <w:rFonts w:ascii="宋体" w:hAnsi="宋体"/>
          <w:szCs w:val="21"/>
        </w:rPr>
      </w:pPr>
      <w:r>
        <w:rPr>
          <w:rFonts w:hint="eastAsia" w:ascii="宋体" w:hAnsi="宋体" w:cs="宋体"/>
          <w:szCs w:val="21"/>
        </w:rPr>
        <w:t xml:space="preserve">   3. 保密期限：</w:t>
      </w:r>
      <w:r>
        <w:rPr>
          <w:rFonts w:hint="eastAsia" w:ascii="宋体" w:hAnsi="宋体" w:cs="宋体"/>
          <w:szCs w:val="21"/>
          <w:u w:val="single"/>
        </w:rPr>
        <w:t>咨询工作完成后两年内</w:t>
      </w:r>
      <w:r>
        <w:rPr>
          <w:rFonts w:hint="eastAsia" w:ascii="宋体" w:hAnsi="宋体" w:cs="宋体"/>
          <w:szCs w:val="21"/>
        </w:rPr>
        <w:t>。</w:t>
      </w:r>
    </w:p>
    <w:p>
      <w:pPr>
        <w:tabs>
          <w:tab w:val="left" w:pos="540"/>
        </w:tabs>
        <w:spacing w:line="360" w:lineRule="auto"/>
        <w:ind w:firstLine="315" w:firstLineChars="150"/>
        <w:rPr>
          <w:rFonts w:ascii="宋体" w:hAnsi="宋体"/>
          <w:szCs w:val="21"/>
          <w:u w:val="single"/>
        </w:rPr>
      </w:pPr>
      <w:r>
        <w:rPr>
          <w:rFonts w:hint="eastAsia" w:ascii="宋体" w:hAnsi="宋体" w:cs="宋体"/>
          <w:szCs w:val="21"/>
        </w:rPr>
        <w:t>4. 泄密责任：</w:t>
      </w:r>
      <w:r>
        <w:rPr>
          <w:rFonts w:hint="eastAsia" w:ascii="宋体" w:hAnsi="宋体" w:cs="宋体"/>
          <w:szCs w:val="21"/>
          <w:u w:val="single"/>
        </w:rPr>
        <w:t>乙方承担由此引起的一切后果，并向甲方支付合同总价款5 %的违约金。</w:t>
      </w:r>
    </w:p>
    <w:p>
      <w:pPr>
        <w:spacing w:line="360" w:lineRule="auto"/>
        <w:ind w:firstLine="420" w:firstLineChars="200"/>
        <w:rPr>
          <w:rFonts w:ascii="宋体" w:hAnsi="宋体"/>
          <w:szCs w:val="21"/>
        </w:rPr>
      </w:pPr>
      <w:r>
        <w:rPr>
          <w:rFonts w:hint="eastAsia" w:ascii="宋体" w:hAnsi="宋体" w:cs="宋体"/>
          <w:szCs w:val="21"/>
        </w:rPr>
        <w:t>第八条  本合同的变更必须由双方协商一致，并以书面形式确定。上述文件一经签署，即具有法律效力并成为本合同的有效组成部分，与本合同具有同等法律效力。</w:t>
      </w:r>
    </w:p>
    <w:p>
      <w:pPr>
        <w:spacing w:line="360" w:lineRule="auto"/>
        <w:ind w:firstLine="420" w:firstLineChars="200"/>
        <w:rPr>
          <w:rFonts w:ascii="宋体" w:hAnsi="宋体"/>
          <w:szCs w:val="21"/>
        </w:rPr>
      </w:pPr>
      <w:r>
        <w:rPr>
          <w:rFonts w:hint="eastAsia" w:ascii="宋体" w:hAnsi="宋体" w:cs="宋体"/>
          <w:szCs w:val="21"/>
        </w:rPr>
        <w:t>第九条  双方确定，按以下标准和方式对乙方提交的技术咨询工作成果进行验收：</w:t>
      </w:r>
    </w:p>
    <w:p>
      <w:pPr>
        <w:spacing w:line="360" w:lineRule="auto"/>
        <w:ind w:firstLine="420" w:firstLineChars="200"/>
        <w:rPr>
          <w:rFonts w:ascii="宋体" w:hAnsi="宋体"/>
          <w:szCs w:val="21"/>
        </w:rPr>
      </w:pPr>
      <w:r>
        <w:rPr>
          <w:rFonts w:hint="eastAsia" w:ascii="宋体" w:hAnsi="宋体" w:cs="宋体"/>
          <w:szCs w:val="21"/>
        </w:rPr>
        <w:t>1.乙方提交技术咨询服务工作成果的形式：</w:t>
      </w:r>
    </w:p>
    <w:p>
      <w:pPr>
        <w:spacing w:line="360" w:lineRule="auto"/>
        <w:ind w:left="215" w:firstLine="480"/>
        <w:rPr>
          <w:rFonts w:ascii="宋体" w:hAnsi="宋体"/>
          <w:szCs w:val="21"/>
        </w:rPr>
      </w:pPr>
      <w:r>
        <w:rPr>
          <w:rFonts w:hint="eastAsia" w:ascii="宋体" w:hAnsi="宋体" w:cs="宋体"/>
          <w:szCs w:val="21"/>
        </w:rPr>
        <w:t>（1）纸质文本</w:t>
      </w:r>
      <w:r>
        <w:rPr>
          <w:rFonts w:hint="eastAsia" w:ascii="宋体" w:hAnsi="宋体" w:cs="宋体"/>
          <w:szCs w:val="21"/>
          <w:u w:val="single"/>
        </w:rPr>
        <w:t xml:space="preserve"> </w:t>
      </w:r>
      <w:r>
        <w:rPr>
          <w:rFonts w:ascii="宋体" w:hAnsi="宋体" w:cs="宋体"/>
          <w:szCs w:val="21"/>
          <w:u w:val="single"/>
        </w:rPr>
        <w:t>4</w:t>
      </w:r>
      <w:r>
        <w:rPr>
          <w:rFonts w:hint="eastAsia" w:ascii="宋体" w:hAnsi="宋体" w:cs="宋体"/>
          <w:szCs w:val="21"/>
          <w:u w:val="single"/>
        </w:rPr>
        <w:t xml:space="preserve"> </w:t>
      </w:r>
      <w:r>
        <w:rPr>
          <w:rFonts w:hint="eastAsia" w:ascii="宋体" w:hAnsi="宋体" w:cs="宋体"/>
          <w:szCs w:val="21"/>
        </w:rPr>
        <w:t>本；</w:t>
      </w:r>
    </w:p>
    <w:p>
      <w:pPr>
        <w:spacing w:line="360" w:lineRule="auto"/>
        <w:ind w:left="215" w:firstLine="480"/>
        <w:rPr>
          <w:rFonts w:ascii="宋体" w:hAnsi="宋体"/>
          <w:szCs w:val="21"/>
        </w:rPr>
      </w:pPr>
      <w:r>
        <w:rPr>
          <w:rFonts w:hint="eastAsia" w:ascii="宋体" w:hAnsi="宋体" w:cs="宋体"/>
          <w:szCs w:val="21"/>
        </w:rPr>
        <w:t>（2）电子文本（word或pdf或ppt格式）</w:t>
      </w:r>
      <w:r>
        <w:rPr>
          <w:rFonts w:hint="eastAsia" w:ascii="宋体" w:hAnsi="宋体" w:cs="宋体"/>
          <w:szCs w:val="21"/>
          <w:u w:val="single"/>
        </w:rPr>
        <w:t xml:space="preserve"> 1 </w:t>
      </w:r>
      <w:r>
        <w:rPr>
          <w:rFonts w:hint="eastAsia" w:ascii="宋体" w:hAnsi="宋体" w:cs="宋体"/>
          <w:szCs w:val="21"/>
        </w:rPr>
        <w:t>份；</w:t>
      </w:r>
    </w:p>
    <w:p>
      <w:pPr>
        <w:spacing w:line="360" w:lineRule="auto"/>
        <w:ind w:left="215" w:firstLine="480"/>
        <w:rPr>
          <w:rFonts w:ascii="宋体" w:hAnsi="宋体"/>
          <w:szCs w:val="21"/>
          <w:u w:val="single"/>
        </w:rPr>
      </w:pPr>
      <w:r>
        <w:rPr>
          <w:rFonts w:hint="eastAsia" w:ascii="宋体" w:hAnsi="宋体" w:cs="宋体"/>
          <w:szCs w:val="21"/>
        </w:rPr>
        <w:t>（</w:t>
      </w:r>
      <w:r>
        <w:rPr>
          <w:rFonts w:ascii="宋体" w:hAnsi="宋体" w:cs="宋体"/>
          <w:szCs w:val="21"/>
        </w:rPr>
        <w:t>3</w:t>
      </w:r>
      <w:r>
        <w:rPr>
          <w:rFonts w:hint="eastAsia" w:ascii="宋体" w:hAnsi="宋体" w:cs="宋体"/>
          <w:szCs w:val="21"/>
        </w:rPr>
        <w:t>）其他</w:t>
      </w:r>
      <w:r>
        <w:rPr>
          <w:rFonts w:hint="eastAsia" w:ascii="宋体" w:hAnsi="宋体" w:cs="宋体"/>
          <w:szCs w:val="21"/>
          <w:u w:val="single"/>
        </w:rPr>
        <w:t xml:space="preserve">    无       </w:t>
      </w:r>
    </w:p>
    <w:p>
      <w:pPr>
        <w:spacing w:line="360" w:lineRule="auto"/>
        <w:ind w:firstLine="420" w:firstLineChars="200"/>
        <w:rPr>
          <w:rFonts w:ascii="宋体" w:hAnsi="宋体" w:cs="宋体"/>
          <w:szCs w:val="21"/>
          <w:u w:val="single"/>
        </w:rPr>
      </w:pPr>
      <w:r>
        <w:rPr>
          <w:rFonts w:hint="eastAsia" w:ascii="宋体" w:hAnsi="宋体" w:cs="宋体"/>
          <w:szCs w:val="21"/>
        </w:rPr>
        <w:t>2．技术咨询工作成果的验收标准：符合</w:t>
      </w:r>
      <w:r>
        <w:rPr>
          <w:rFonts w:hint="eastAsia" w:ascii="宋体" w:hAnsi="宋体" w:cs="宋体"/>
          <w:szCs w:val="21"/>
          <w:u w:val="single"/>
        </w:rPr>
        <w:t>本合同、相关法律法规以及甲方的要求。</w:t>
      </w:r>
    </w:p>
    <w:p>
      <w:pPr>
        <w:spacing w:line="360" w:lineRule="auto"/>
        <w:ind w:firstLine="420" w:firstLineChars="200"/>
        <w:rPr>
          <w:rFonts w:ascii="宋体" w:hAnsi="宋体"/>
          <w:szCs w:val="21"/>
        </w:rPr>
      </w:pPr>
      <w:r>
        <w:rPr>
          <w:rFonts w:hint="eastAsia" w:ascii="宋体" w:hAnsi="宋体" w:cs="宋体"/>
          <w:szCs w:val="21"/>
        </w:rPr>
        <w:t>第十条  法律责任</w:t>
      </w:r>
    </w:p>
    <w:p>
      <w:pPr>
        <w:spacing w:line="360" w:lineRule="auto"/>
        <w:ind w:firstLine="420" w:firstLineChars="200"/>
        <w:rPr>
          <w:rFonts w:ascii="宋体" w:hAnsi="宋体" w:cs="宋体"/>
          <w:szCs w:val="21"/>
        </w:rPr>
      </w:pPr>
      <w:r>
        <w:rPr>
          <w:rFonts w:hint="eastAsia" w:ascii="宋体" w:hAnsi="宋体" w:cs="宋体"/>
          <w:szCs w:val="21"/>
        </w:rPr>
        <w:t>1． 甲方在收到乙方付款申请后</w:t>
      </w:r>
      <w:r>
        <w:rPr>
          <w:rFonts w:hint="eastAsia" w:ascii="宋体" w:hAnsi="宋体" w:cs="宋体"/>
          <w:szCs w:val="21"/>
          <w:u w:val="single"/>
        </w:rPr>
        <w:t xml:space="preserve"> 7 </w:t>
      </w:r>
      <w:r>
        <w:rPr>
          <w:rFonts w:hint="eastAsia" w:ascii="宋体" w:hAnsi="宋体" w:cs="宋体"/>
          <w:szCs w:val="21"/>
        </w:rPr>
        <w:t>个工作日内，未按规定要求向财政局办理付款申请手续，每延误一天，应承担当期应付报酬总额</w:t>
      </w:r>
      <w:r>
        <w:rPr>
          <w:rFonts w:hint="eastAsia" w:ascii="宋体" w:hAnsi="宋体" w:cs="宋体"/>
          <w:szCs w:val="21"/>
          <w:u w:val="single"/>
        </w:rPr>
        <w:t xml:space="preserve">  1 </w:t>
      </w:r>
      <w:r>
        <w:rPr>
          <w:rFonts w:hint="eastAsia" w:ascii="宋体" w:hAnsi="宋体" w:cs="宋体"/>
          <w:szCs w:val="21"/>
        </w:rPr>
        <w:t>%的滞纳金。因财政拨付问题造成支付迟延，甲方不承担责任，乙方不得因此拒绝履行义务。</w:t>
      </w:r>
    </w:p>
    <w:p>
      <w:pPr>
        <w:spacing w:line="360" w:lineRule="auto"/>
        <w:ind w:firstLine="420" w:firstLineChars="200"/>
        <w:rPr>
          <w:rFonts w:ascii="宋体" w:hAnsi="宋体" w:cs="宋体"/>
          <w:szCs w:val="21"/>
        </w:rPr>
      </w:pPr>
      <w:r>
        <w:rPr>
          <w:rFonts w:hint="eastAsia" w:ascii="宋体" w:hAnsi="宋体" w:cs="宋体"/>
          <w:szCs w:val="21"/>
        </w:rPr>
        <w:t>2. 乙方逾期提交本合同要求的成果，每逾期一天，支付报酬总额</w:t>
      </w:r>
      <w:r>
        <w:rPr>
          <w:rFonts w:hint="eastAsia" w:ascii="宋体" w:hAnsi="宋体" w:cs="宋体"/>
          <w:szCs w:val="21"/>
          <w:u w:val="single"/>
        </w:rPr>
        <w:t xml:space="preserve"> 1 </w:t>
      </w:r>
      <w:r>
        <w:rPr>
          <w:rFonts w:hint="eastAsia" w:ascii="宋体" w:hAnsi="宋体" w:cs="宋体"/>
          <w:szCs w:val="21"/>
        </w:rPr>
        <w:t>%的违约金。超过原计划工期半个月，甲方有权解除本合同，并要求乙方退回全部已支付的款项。同时，要求乙方承担合同报酬总额</w:t>
      </w:r>
      <w:r>
        <w:rPr>
          <w:rFonts w:hint="eastAsia" w:ascii="宋体" w:hAnsi="宋体" w:cs="宋体"/>
          <w:szCs w:val="21"/>
          <w:u w:val="single"/>
        </w:rPr>
        <w:t xml:space="preserve"> 10 %</w:t>
      </w:r>
      <w:r>
        <w:rPr>
          <w:rFonts w:hint="eastAsia" w:ascii="宋体" w:hAnsi="宋体" w:cs="宋体"/>
          <w:szCs w:val="21"/>
        </w:rPr>
        <w:t>的违约金。</w:t>
      </w:r>
    </w:p>
    <w:p>
      <w:pPr>
        <w:spacing w:line="360" w:lineRule="auto"/>
        <w:rPr>
          <w:rFonts w:ascii="宋体" w:hAnsi="宋体"/>
          <w:szCs w:val="21"/>
        </w:rPr>
      </w:pPr>
      <w:r>
        <w:rPr>
          <w:rFonts w:hint="eastAsia" w:ascii="宋体" w:hAnsi="宋体" w:cs="宋体"/>
          <w:szCs w:val="21"/>
        </w:rPr>
        <w:t xml:space="preserve">    3．乙方提供的成果不能达到甲方的要求，乙方应无条件交出本项目的一切基础资料及研究成果给甲方，甲方有权解除合同，并有权另行委托其它单位继续开展此项工作。同时，乙方退回甲方已支付的款项，并向甲方支付相当于报酬总额</w:t>
      </w:r>
      <w:r>
        <w:rPr>
          <w:rFonts w:hint="eastAsia" w:ascii="宋体" w:hAnsi="宋体" w:cs="宋体"/>
          <w:szCs w:val="21"/>
          <w:u w:val="single"/>
        </w:rPr>
        <w:t xml:space="preserve"> 10 %</w:t>
      </w:r>
      <w:r>
        <w:rPr>
          <w:rFonts w:hint="eastAsia" w:ascii="宋体" w:hAnsi="宋体" w:cs="宋体"/>
          <w:szCs w:val="21"/>
        </w:rPr>
        <w:t>的违约金。</w:t>
      </w:r>
    </w:p>
    <w:p>
      <w:pPr>
        <w:spacing w:line="360" w:lineRule="auto"/>
        <w:ind w:firstLine="420" w:firstLineChars="200"/>
        <w:rPr>
          <w:rFonts w:ascii="宋体" w:hAnsi="宋体"/>
          <w:szCs w:val="21"/>
        </w:rPr>
      </w:pPr>
      <w:r>
        <w:rPr>
          <w:rFonts w:hint="eastAsia" w:ascii="宋体" w:hAnsi="宋体" w:cs="宋体"/>
          <w:szCs w:val="21"/>
        </w:rPr>
        <w:t>4.乙方未经甲方书面同意，将甲方所委托完成的任何工作转包或分包给任何第三人，甲方有权解除合同，收回已支付乙方的所有款项，并要求乙方支付相当于报酬总额</w:t>
      </w:r>
      <w:r>
        <w:rPr>
          <w:rFonts w:hint="eastAsia" w:ascii="宋体" w:hAnsi="宋体" w:cs="宋体"/>
          <w:szCs w:val="21"/>
          <w:u w:val="single"/>
        </w:rPr>
        <w:t xml:space="preserve">  10 %</w:t>
      </w:r>
      <w:r>
        <w:rPr>
          <w:rFonts w:hint="eastAsia" w:ascii="宋体" w:hAnsi="宋体" w:cs="宋体"/>
          <w:szCs w:val="21"/>
        </w:rPr>
        <w:t>的违约金 。</w:t>
      </w:r>
    </w:p>
    <w:p>
      <w:pPr>
        <w:spacing w:line="360" w:lineRule="auto"/>
        <w:ind w:firstLine="420" w:firstLineChars="200"/>
        <w:rPr>
          <w:rFonts w:ascii="宋体" w:hAnsi="宋体" w:cs="宋体"/>
          <w:szCs w:val="21"/>
        </w:rPr>
      </w:pPr>
      <w:r>
        <w:rPr>
          <w:rFonts w:hint="eastAsia" w:ascii="宋体" w:hAnsi="宋体" w:cs="宋体"/>
          <w:szCs w:val="21"/>
        </w:rPr>
        <w:t>5.乙方无故解除合同的，除返还甲方全部已支付费用外，还</w:t>
      </w:r>
    </w:p>
    <w:p>
      <w:pPr>
        <w:spacing w:line="360" w:lineRule="auto"/>
        <w:rPr>
          <w:rFonts w:ascii="宋体" w:hAnsi="宋体"/>
          <w:szCs w:val="21"/>
        </w:rPr>
      </w:pPr>
      <w:r>
        <w:rPr>
          <w:rFonts w:hint="eastAsia" w:ascii="宋体" w:hAnsi="宋体" w:cs="宋体"/>
          <w:szCs w:val="21"/>
        </w:rPr>
        <w:t>应支付甲方合同总报酬的</w:t>
      </w:r>
      <w:r>
        <w:rPr>
          <w:rFonts w:hint="eastAsia" w:ascii="宋体" w:hAnsi="宋体" w:cs="宋体"/>
          <w:szCs w:val="21"/>
          <w:u w:val="single"/>
        </w:rPr>
        <w:t xml:space="preserve">   10 %</w:t>
      </w:r>
      <w:r>
        <w:rPr>
          <w:rFonts w:hint="eastAsia" w:ascii="宋体" w:hAnsi="宋体" w:cs="宋体"/>
          <w:szCs w:val="21"/>
        </w:rPr>
        <w:t>的赔偿金。</w:t>
      </w:r>
    </w:p>
    <w:p>
      <w:pPr>
        <w:spacing w:line="360" w:lineRule="auto"/>
        <w:ind w:firstLine="420" w:firstLineChars="200"/>
        <w:rPr>
          <w:rFonts w:ascii="宋体" w:hAnsi="宋体"/>
          <w:szCs w:val="21"/>
        </w:rPr>
      </w:pPr>
      <w:r>
        <w:rPr>
          <w:rFonts w:hint="eastAsia" w:ascii="宋体" w:hAnsi="宋体" w:cs="宋体"/>
          <w:szCs w:val="21"/>
        </w:rPr>
        <w:t>6.任何一方违反本合同，给对方造成损失的，超过本合同违约金的，还应赔偿损失。一方违约后，对方应当采取适当措施防止损失的扩大；没有采取适当措施致使损失扩大的，不得就扩大的损失要求赔偿。一方因防止损失扩大而支出的合理费用，由违约方承担。</w:t>
      </w:r>
    </w:p>
    <w:p>
      <w:pPr>
        <w:spacing w:line="360" w:lineRule="auto"/>
        <w:ind w:firstLine="420" w:firstLineChars="200"/>
        <w:rPr>
          <w:rFonts w:ascii="宋体" w:hAnsi="宋体"/>
          <w:szCs w:val="21"/>
        </w:rPr>
      </w:pPr>
      <w:r>
        <w:rPr>
          <w:rFonts w:hint="eastAsia" w:ascii="宋体" w:hAnsi="宋体" w:cs="宋体"/>
          <w:szCs w:val="21"/>
        </w:rPr>
        <w:t>7.在本合同其他条款对违约有具体约定时，从其约定。本合同未约定违约责任的，违约方应按照《中华人民共和国合同法》有关条款的规定承担违约责任。</w:t>
      </w:r>
    </w:p>
    <w:p>
      <w:pPr>
        <w:tabs>
          <w:tab w:val="left" w:pos="360"/>
        </w:tabs>
        <w:spacing w:line="360" w:lineRule="auto"/>
        <w:rPr>
          <w:rFonts w:ascii="宋体" w:hAnsi="宋体"/>
          <w:szCs w:val="21"/>
        </w:rPr>
      </w:pPr>
      <w:r>
        <w:rPr>
          <w:rFonts w:hint="eastAsia" w:ascii="宋体" w:hAnsi="宋体" w:cs="宋体"/>
          <w:szCs w:val="21"/>
        </w:rPr>
        <w:t>第十一条  知识产权</w:t>
      </w:r>
    </w:p>
    <w:p>
      <w:pPr>
        <w:spacing w:line="360" w:lineRule="auto"/>
        <w:ind w:firstLine="420" w:firstLineChars="200"/>
        <w:rPr>
          <w:rFonts w:ascii="宋体" w:hAnsi="宋体" w:cs="宋体"/>
          <w:szCs w:val="21"/>
        </w:rPr>
      </w:pPr>
      <w:r>
        <w:rPr>
          <w:rFonts w:hint="eastAsia" w:ascii="宋体" w:hAnsi="宋体" w:cs="宋体"/>
          <w:szCs w:val="21"/>
        </w:rPr>
        <w:t>1.乙方履行本合同形成的所有技术成果，包括但不限于著作权、专利权、商标权等知识产权和其他合法权利归</w:t>
      </w:r>
      <w:r>
        <w:rPr>
          <w:rFonts w:hint="eastAsia" w:ascii="宋体" w:hAnsi="宋体" w:cs="宋体"/>
          <w:szCs w:val="21"/>
          <w:u w:val="single"/>
        </w:rPr>
        <w:t xml:space="preserve">  甲  </w:t>
      </w:r>
      <w:r>
        <w:rPr>
          <w:rFonts w:hint="eastAsia" w:ascii="宋体" w:hAnsi="宋体" w:cs="宋体"/>
          <w:szCs w:val="21"/>
        </w:rPr>
        <w:t>方所有。</w:t>
      </w:r>
    </w:p>
    <w:p>
      <w:pPr>
        <w:spacing w:line="360" w:lineRule="auto"/>
        <w:ind w:firstLine="420" w:firstLineChars="200"/>
        <w:rPr>
          <w:rFonts w:ascii="宋体" w:hAnsi="宋体" w:cs="宋体"/>
          <w:szCs w:val="21"/>
        </w:rPr>
      </w:pPr>
      <w:r>
        <w:rPr>
          <w:rFonts w:hint="eastAsia" w:ascii="宋体" w:hAnsi="宋体" w:cs="宋体"/>
          <w:szCs w:val="21"/>
        </w:rPr>
        <w:t>2．甲方利用乙方提交的技术工作成果所完成的新的技术成果，包括但不限于著作权、专利权、商标权等知识产权和其他合法权利归</w:t>
      </w:r>
      <w:r>
        <w:rPr>
          <w:rFonts w:hint="eastAsia" w:ascii="宋体" w:hAnsi="宋体" w:cs="宋体"/>
          <w:szCs w:val="21"/>
          <w:u w:val="single"/>
        </w:rPr>
        <w:t xml:space="preserve">  甲  </w:t>
      </w:r>
      <w:r>
        <w:rPr>
          <w:rFonts w:hint="eastAsia" w:ascii="宋体" w:hAnsi="宋体" w:cs="宋体"/>
          <w:szCs w:val="21"/>
        </w:rPr>
        <w:t>方所有。</w:t>
      </w:r>
    </w:p>
    <w:p>
      <w:pPr>
        <w:tabs>
          <w:tab w:val="left" w:pos="360"/>
        </w:tabs>
        <w:spacing w:line="360" w:lineRule="auto"/>
        <w:rPr>
          <w:rFonts w:ascii="宋体" w:hAnsi="宋体"/>
          <w:szCs w:val="21"/>
        </w:rPr>
      </w:pPr>
      <w:r>
        <w:rPr>
          <w:rFonts w:hint="eastAsia" w:ascii="宋体" w:hAnsi="宋体" w:cs="宋体"/>
          <w:szCs w:val="21"/>
        </w:rPr>
        <w:t xml:space="preserve">   3．乙方利用甲方提供的技术资料和工作条件所完成的新的技术成果，包括但不限于著作权、专利权、商标权等知识产权和其他合法权利归</w:t>
      </w:r>
      <w:r>
        <w:rPr>
          <w:rFonts w:hint="eastAsia" w:ascii="宋体" w:hAnsi="宋体" w:cs="宋体"/>
          <w:szCs w:val="21"/>
          <w:u w:val="single"/>
        </w:rPr>
        <w:t xml:space="preserve">  甲  </w:t>
      </w:r>
      <w:r>
        <w:rPr>
          <w:rFonts w:hint="eastAsia" w:ascii="宋体" w:hAnsi="宋体" w:cs="宋体"/>
          <w:szCs w:val="21"/>
        </w:rPr>
        <w:t>方所有。</w:t>
      </w:r>
    </w:p>
    <w:p>
      <w:pPr>
        <w:tabs>
          <w:tab w:val="left" w:pos="360"/>
        </w:tabs>
        <w:spacing w:line="360" w:lineRule="auto"/>
        <w:rPr>
          <w:rFonts w:ascii="宋体" w:hAnsi="宋体"/>
          <w:szCs w:val="21"/>
        </w:rPr>
      </w:pPr>
      <w:r>
        <w:rPr>
          <w:rFonts w:hint="eastAsia" w:ascii="宋体" w:hAnsi="宋体" w:cs="宋体"/>
          <w:szCs w:val="21"/>
        </w:rPr>
        <w:t xml:space="preserve">   4.甲方有权以任何方式行使上述权利，乙方不得干涉。</w:t>
      </w:r>
    </w:p>
    <w:p>
      <w:pPr>
        <w:numPr>
          <w:ilvl w:val="0"/>
          <w:numId w:val="14"/>
        </w:numPr>
        <w:tabs>
          <w:tab w:val="left" w:pos="360"/>
          <w:tab w:val="left" w:pos="540"/>
        </w:tabs>
        <w:spacing w:line="360" w:lineRule="auto"/>
        <w:rPr>
          <w:rFonts w:ascii="宋体" w:hAnsi="宋体" w:cs="宋体"/>
          <w:szCs w:val="21"/>
        </w:rPr>
      </w:pPr>
      <w:r>
        <w:rPr>
          <w:rFonts w:hint="eastAsia" w:ascii="宋体" w:hAnsi="宋体" w:cs="宋体"/>
          <w:szCs w:val="21"/>
        </w:rPr>
        <w:t xml:space="preserve">  双方确定，出现下列情形，致使本合同的履行成为不必要或不可能，可以解除本合同：</w:t>
      </w:r>
    </w:p>
    <w:p>
      <w:pPr>
        <w:spacing w:line="360" w:lineRule="auto"/>
        <w:ind w:left="1" w:firstLine="560"/>
        <w:rPr>
          <w:rFonts w:ascii="宋体" w:hAnsi="宋体" w:cs="宋体"/>
          <w:szCs w:val="21"/>
        </w:rPr>
      </w:pPr>
      <w:r>
        <w:rPr>
          <w:rFonts w:hint="eastAsia" w:ascii="宋体" w:hAnsi="宋体" w:cs="宋体"/>
          <w:szCs w:val="21"/>
        </w:rPr>
        <w:t>乙方未按时完成合同义务。</w:t>
      </w:r>
    </w:p>
    <w:p>
      <w:pPr>
        <w:spacing w:line="360" w:lineRule="auto"/>
        <w:ind w:left="1" w:firstLine="560"/>
        <w:rPr>
          <w:rFonts w:ascii="宋体" w:hAnsi="宋体"/>
          <w:szCs w:val="21"/>
        </w:rPr>
      </w:pPr>
      <w:r>
        <w:rPr>
          <w:rFonts w:hint="eastAsia" w:ascii="宋体" w:hAnsi="宋体" w:cs="宋体"/>
          <w:szCs w:val="21"/>
        </w:rPr>
        <w:t>因不可抗力或者意外事件，使得本合同的履行不可能、不必要的，任一方均可以解除本合同。</w:t>
      </w:r>
    </w:p>
    <w:p>
      <w:pPr>
        <w:spacing w:line="360" w:lineRule="auto"/>
        <w:ind w:firstLine="420" w:firstLineChars="200"/>
        <w:rPr>
          <w:rFonts w:ascii="宋体" w:hAnsi="宋体"/>
          <w:szCs w:val="21"/>
        </w:rPr>
      </w:pPr>
      <w:r>
        <w:rPr>
          <w:rFonts w:hint="eastAsia" w:ascii="宋体" w:hAnsi="宋体" w:cs="宋体"/>
          <w:szCs w:val="21"/>
        </w:rPr>
        <w:t>遭受不可抗力、意外事件的一方全部或部分不能履行本合同、解除或迟延履行本合同的，应将事件情况以书面形式通知另一方并向另一方提交相应的证明。</w:t>
      </w:r>
    </w:p>
    <w:p>
      <w:pPr>
        <w:spacing w:line="360" w:lineRule="auto"/>
        <w:rPr>
          <w:rFonts w:ascii="宋体" w:hAnsi="宋体"/>
          <w:szCs w:val="21"/>
        </w:rPr>
      </w:pPr>
      <w:r>
        <w:rPr>
          <w:rFonts w:hint="eastAsia" w:ascii="宋体" w:hAnsi="宋体" w:cs="宋体"/>
          <w:szCs w:val="21"/>
        </w:rPr>
        <w:t xml:space="preserve">     本合同所称不可抗力、意外事件是指不能预见、不能克服并不能避免且对一方当事人造成重大影响的客观事件，包括但不限于自然灾害如洪水、地震、火灾和风暴等以及社会事件如战争、动乱、政府事件等。因不可抗力或意外事件导致合同解除，双方互不承担责任。</w:t>
      </w:r>
    </w:p>
    <w:p>
      <w:pPr>
        <w:spacing w:before="240" w:beforeLines="100" w:line="360" w:lineRule="auto"/>
        <w:rPr>
          <w:rFonts w:ascii="宋体" w:hAnsi="宋体"/>
          <w:szCs w:val="21"/>
        </w:rPr>
      </w:pPr>
      <w:r>
        <w:rPr>
          <w:rFonts w:hint="eastAsia" w:ascii="宋体" w:hAnsi="宋体" w:cs="宋体"/>
          <w:szCs w:val="21"/>
        </w:rPr>
        <w:t>第十三条  合同履行与撤销与不安抗辩</w:t>
      </w:r>
    </w:p>
    <w:p>
      <w:pPr>
        <w:spacing w:line="360" w:lineRule="auto"/>
        <w:ind w:firstLine="420" w:firstLineChars="200"/>
        <w:rPr>
          <w:rFonts w:ascii="宋体" w:hAnsi="宋体"/>
          <w:szCs w:val="21"/>
        </w:rPr>
      </w:pPr>
      <w:r>
        <w:rPr>
          <w:rFonts w:hint="eastAsia" w:ascii="宋体" w:hAnsi="宋体" w:cs="宋体"/>
          <w:szCs w:val="21"/>
        </w:rPr>
        <w:t xml:space="preserve">双方应本着诚实信用的原则履行本合同。任何一方在履行中采用欺诈、胁迫或者暴力的手段，另一方可以撤销本合同并有权要求对方赔偿损失。 </w:t>
      </w:r>
    </w:p>
    <w:p>
      <w:pPr>
        <w:spacing w:line="360" w:lineRule="auto"/>
        <w:ind w:firstLine="420" w:firstLineChars="200"/>
        <w:rPr>
          <w:rFonts w:ascii="宋体" w:hAnsi="宋体"/>
          <w:szCs w:val="21"/>
        </w:rPr>
      </w:pPr>
      <w:r>
        <w:rPr>
          <w:rFonts w:hint="eastAsia" w:ascii="宋体" w:hAnsi="宋体" w:cs="宋体"/>
          <w:szCs w:val="21"/>
        </w:rPr>
        <w:t>任何一方在履行中发现或者有证据表明对方已经、正在或将要违约，可以中止履行本合同，但应及时通知对方。若对方继续不履行、履行不当或者违反本合同，该方可以解除本合同并要求对方赔偿损失。任何一方在履行中有确切证据证明对方已经、正在或将要违约，可以中止履行本合同，但应及时通知对方。如对方提供适当担保时，经守约方同意后可以恢复履行。若对方继续不履行、履行不当或者违反本合同，该方可以解除本合同、没收对方的履约担保金，并要求对方赔偿损失。合同中止履行后，如对方在合理期限内未恢复履行能力并且未提供适当担保的，中止履行的一方可以解除合同并要求对方赔偿损失。</w:t>
      </w:r>
    </w:p>
    <w:p>
      <w:pPr>
        <w:spacing w:before="240" w:beforeLines="100" w:line="360" w:lineRule="auto"/>
        <w:rPr>
          <w:rFonts w:ascii="宋体" w:hAnsi="宋体"/>
          <w:szCs w:val="21"/>
        </w:rPr>
      </w:pPr>
      <w:r>
        <w:rPr>
          <w:rFonts w:hint="eastAsia" w:ascii="宋体" w:hAnsi="宋体" w:cs="宋体"/>
          <w:szCs w:val="21"/>
        </w:rPr>
        <w:t>第十四条  过失追究</w:t>
      </w:r>
    </w:p>
    <w:p>
      <w:pPr>
        <w:spacing w:line="360" w:lineRule="auto"/>
        <w:ind w:firstLine="420" w:firstLineChars="200"/>
        <w:rPr>
          <w:rFonts w:ascii="宋体" w:hAnsi="宋体"/>
          <w:szCs w:val="21"/>
        </w:rPr>
      </w:pPr>
      <w:r>
        <w:rPr>
          <w:rFonts w:hint="eastAsia" w:ascii="宋体" w:hAnsi="宋体" w:cs="宋体"/>
          <w:szCs w:val="21"/>
        </w:rPr>
        <w:t>任何一方没有行使其权利或没有就对方的违约行为采取任何行动，不应被视为是对权利的放弃或对追究违约责任或义务的放弃。</w:t>
      </w:r>
    </w:p>
    <w:p>
      <w:pPr>
        <w:spacing w:line="360" w:lineRule="auto"/>
        <w:ind w:firstLine="420" w:firstLineChars="200"/>
        <w:rPr>
          <w:rFonts w:ascii="宋体" w:hAnsi="宋体"/>
          <w:szCs w:val="21"/>
        </w:rPr>
      </w:pPr>
      <w:r>
        <w:rPr>
          <w:rFonts w:hint="eastAsia" w:ascii="宋体" w:hAnsi="宋体" w:cs="宋体"/>
          <w:szCs w:val="21"/>
        </w:rPr>
        <w:t>任何一方放弃针对对方的任何权利，或放弃追究对方的任何过失，不应视为对任何其他权利或追究任何其他过失的放弃。</w:t>
      </w:r>
    </w:p>
    <w:p>
      <w:pPr>
        <w:spacing w:line="360" w:lineRule="auto"/>
        <w:ind w:firstLine="420" w:firstLineChars="200"/>
        <w:rPr>
          <w:rFonts w:ascii="宋体" w:hAnsi="宋体"/>
          <w:szCs w:val="21"/>
        </w:rPr>
      </w:pPr>
      <w:r>
        <w:rPr>
          <w:rFonts w:hint="eastAsia" w:ascii="宋体" w:hAnsi="宋体" w:cs="宋体"/>
          <w:szCs w:val="21"/>
        </w:rPr>
        <w:t>前款权利不因本合同的终止、撤销、无效而消失。</w:t>
      </w:r>
    </w:p>
    <w:p>
      <w:pPr>
        <w:spacing w:before="240" w:beforeLines="100" w:line="360" w:lineRule="auto"/>
        <w:rPr>
          <w:rFonts w:ascii="宋体" w:hAnsi="宋体"/>
          <w:szCs w:val="21"/>
        </w:rPr>
      </w:pPr>
      <w:r>
        <w:rPr>
          <w:rFonts w:hint="eastAsia" w:ascii="宋体" w:hAnsi="宋体" w:cs="宋体"/>
          <w:szCs w:val="21"/>
        </w:rPr>
        <w:t>第十五条 法律适用</w:t>
      </w:r>
    </w:p>
    <w:p>
      <w:pPr>
        <w:tabs>
          <w:tab w:val="left" w:pos="1075"/>
        </w:tabs>
        <w:spacing w:line="360" w:lineRule="auto"/>
        <w:ind w:firstLine="420" w:firstLineChars="200"/>
        <w:rPr>
          <w:rFonts w:ascii="宋体" w:hAnsi="宋体"/>
          <w:szCs w:val="21"/>
        </w:rPr>
      </w:pPr>
      <w:r>
        <w:rPr>
          <w:rFonts w:hint="eastAsia" w:ascii="宋体" w:hAnsi="宋体" w:cs="宋体"/>
          <w:szCs w:val="21"/>
        </w:rPr>
        <w:t>本合同的订立、解释、履行、效力和争议的解决等均适用中华人民共和国法律。对本合同的理解与解释应根据原意并结合本合同目的进行。</w:t>
      </w:r>
    </w:p>
    <w:p>
      <w:pPr>
        <w:spacing w:before="240" w:beforeLines="100" w:line="360" w:lineRule="auto"/>
        <w:rPr>
          <w:rFonts w:ascii="宋体" w:hAnsi="宋体"/>
          <w:szCs w:val="21"/>
        </w:rPr>
      </w:pPr>
      <w:r>
        <w:rPr>
          <w:rFonts w:hint="eastAsia" w:ascii="宋体" w:hAnsi="宋体" w:cs="宋体"/>
          <w:szCs w:val="21"/>
        </w:rPr>
        <w:t>第十七条　双方对因合同的订立、解释、履行、效力等发生争议的，应友好协商、调解解决。协商、调解不成的，按以下第</w:t>
      </w:r>
      <w:r>
        <w:rPr>
          <w:rFonts w:hint="eastAsia" w:ascii="宋体" w:hAnsi="宋体" w:cs="宋体"/>
          <w:szCs w:val="21"/>
          <w:u w:val="single"/>
        </w:rPr>
        <w:t xml:space="preserve"> 2 </w:t>
      </w:r>
      <w:r>
        <w:rPr>
          <w:rFonts w:hint="eastAsia" w:ascii="宋体" w:hAnsi="宋体" w:cs="宋体"/>
          <w:szCs w:val="21"/>
        </w:rPr>
        <w:t>种方式处理：</w:t>
      </w:r>
    </w:p>
    <w:p>
      <w:pPr>
        <w:tabs>
          <w:tab w:val="left" w:pos="720"/>
        </w:tabs>
        <w:spacing w:line="360" w:lineRule="auto"/>
        <w:ind w:firstLine="420" w:firstLineChars="200"/>
        <w:rPr>
          <w:rFonts w:ascii="宋体" w:hAnsi="宋体"/>
          <w:szCs w:val="21"/>
        </w:rPr>
      </w:pPr>
      <w:r>
        <w:rPr>
          <w:rFonts w:hint="eastAsia" w:ascii="宋体" w:hAnsi="宋体" w:cs="宋体"/>
          <w:szCs w:val="21"/>
        </w:rPr>
        <w:t>1. 提交</w:t>
      </w:r>
      <w:r>
        <w:rPr>
          <w:rFonts w:hint="eastAsia" w:ascii="宋体" w:hAnsi="宋体" w:cs="宋体"/>
          <w:szCs w:val="21"/>
          <w:u w:val="single"/>
        </w:rPr>
        <w:t xml:space="preserve"> 深圳 </w:t>
      </w:r>
      <w:r>
        <w:rPr>
          <w:rFonts w:hint="eastAsia" w:ascii="宋体" w:hAnsi="宋体" w:cs="宋体"/>
          <w:szCs w:val="21"/>
        </w:rPr>
        <w:t>仲裁委员会仲裁；</w:t>
      </w:r>
    </w:p>
    <w:p>
      <w:pPr>
        <w:spacing w:line="360" w:lineRule="auto"/>
        <w:ind w:firstLine="420" w:firstLineChars="200"/>
        <w:rPr>
          <w:rFonts w:ascii="宋体" w:hAnsi="宋体" w:cs="宋体"/>
          <w:szCs w:val="21"/>
        </w:rPr>
      </w:pPr>
      <w:r>
        <w:rPr>
          <w:rFonts w:hint="eastAsia" w:ascii="宋体" w:hAnsi="宋体" w:cs="宋体"/>
          <w:szCs w:val="21"/>
        </w:rPr>
        <w:t>2. 依法向甲方所在地人民法院起诉。</w:t>
      </w:r>
    </w:p>
    <w:p>
      <w:pPr>
        <w:spacing w:line="360" w:lineRule="auto"/>
        <w:ind w:firstLine="420" w:firstLineChars="200"/>
        <w:rPr>
          <w:rFonts w:ascii="宋体" w:hAnsi="宋体"/>
          <w:szCs w:val="21"/>
        </w:rPr>
      </w:pPr>
      <w:r>
        <w:rPr>
          <w:rFonts w:hint="eastAsia" w:ascii="宋体" w:hAnsi="宋体" w:cs="宋体"/>
          <w:szCs w:val="21"/>
        </w:rPr>
        <w:t xml:space="preserve">本合同的终止、撤销、无效不应影响前款约定的效力。 </w:t>
      </w:r>
    </w:p>
    <w:p>
      <w:pPr>
        <w:spacing w:before="240" w:beforeLines="100" w:line="360" w:lineRule="auto"/>
        <w:rPr>
          <w:rFonts w:ascii="宋体" w:hAnsi="宋体"/>
          <w:szCs w:val="21"/>
        </w:rPr>
      </w:pPr>
      <w:r>
        <w:rPr>
          <w:rFonts w:hint="eastAsia" w:ascii="宋体" w:hAnsi="宋体" w:cs="宋体"/>
          <w:szCs w:val="21"/>
        </w:rPr>
        <w:t>第十八条　双方约定本合同其他相关事项为：</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rPr>
        <w:t>。</w:t>
      </w:r>
    </w:p>
    <w:p>
      <w:pPr>
        <w:spacing w:before="240" w:beforeLines="100" w:line="360" w:lineRule="auto"/>
        <w:rPr>
          <w:rFonts w:ascii="宋体" w:hAnsi="宋体"/>
          <w:szCs w:val="21"/>
        </w:rPr>
      </w:pPr>
      <w:r>
        <w:rPr>
          <w:rFonts w:hint="eastAsia" w:ascii="宋体" w:hAnsi="宋体" w:cs="宋体"/>
          <w:szCs w:val="21"/>
        </w:rPr>
        <w:t>第十九条　本合同一式</w:t>
      </w:r>
      <w:r>
        <w:rPr>
          <w:rFonts w:hint="eastAsia" w:ascii="宋体" w:hAnsi="宋体" w:cs="宋体"/>
          <w:szCs w:val="21"/>
          <w:u w:val="single"/>
        </w:rPr>
        <w:t>捌</w:t>
      </w:r>
      <w:r>
        <w:rPr>
          <w:rFonts w:hint="eastAsia" w:ascii="宋体" w:hAnsi="宋体" w:cs="宋体"/>
          <w:szCs w:val="21"/>
        </w:rPr>
        <w:t>份，甲、乙双方各执</w:t>
      </w:r>
      <w:r>
        <w:rPr>
          <w:rFonts w:hint="eastAsia" w:ascii="宋体" w:hAnsi="宋体" w:cs="宋体"/>
          <w:szCs w:val="21"/>
          <w:u w:val="single"/>
        </w:rPr>
        <w:t>肆</w:t>
      </w:r>
      <w:r>
        <w:rPr>
          <w:rFonts w:hint="eastAsia" w:ascii="宋体" w:hAnsi="宋体" w:cs="宋体"/>
          <w:szCs w:val="21"/>
        </w:rPr>
        <w:t>份，具有同等法律效力。</w:t>
      </w:r>
    </w:p>
    <w:p>
      <w:pPr>
        <w:spacing w:before="240" w:beforeLines="100" w:line="360" w:lineRule="auto"/>
        <w:rPr>
          <w:rFonts w:ascii="宋体" w:hAnsi="宋体"/>
          <w:szCs w:val="21"/>
        </w:rPr>
      </w:pPr>
      <w:r>
        <w:rPr>
          <w:rFonts w:hint="eastAsia" w:ascii="宋体" w:hAnsi="宋体" w:cs="宋体"/>
          <w:szCs w:val="21"/>
        </w:rPr>
        <w:t>第二十条　本合同经双方签字盖章后生效至双方所有权利义务终结止。</w:t>
      </w:r>
    </w:p>
    <w:p>
      <w:pPr>
        <w:tabs>
          <w:tab w:val="left" w:pos="1075"/>
        </w:tabs>
        <w:spacing w:line="360" w:lineRule="auto"/>
        <w:ind w:firstLine="420" w:firstLineChars="200"/>
        <w:rPr>
          <w:rFonts w:ascii="宋体" w:hAnsi="宋体"/>
          <w:szCs w:val="21"/>
        </w:rPr>
      </w:pPr>
    </w:p>
    <w:p>
      <w:pPr>
        <w:spacing w:line="360" w:lineRule="auto"/>
        <w:ind w:left="570"/>
        <w:rPr>
          <w:rFonts w:ascii="宋体" w:hAnsi="宋体"/>
          <w:szCs w:val="21"/>
        </w:rPr>
      </w:pPr>
      <w:r>
        <w:rPr>
          <w:rFonts w:hint="eastAsia" w:ascii="宋体" w:hAnsi="宋体" w:cs="宋体"/>
          <w:szCs w:val="21"/>
        </w:rPr>
        <w:t>甲方：</w:t>
      </w:r>
      <w:r>
        <w:rPr>
          <w:rFonts w:hint="eastAsia" w:ascii="宋体" w:hAnsi="宋体" w:cs="宋体"/>
          <w:szCs w:val="21"/>
          <w:u w:val="single"/>
        </w:rPr>
        <w:t>深圳市龙华区住房和建设局</w:t>
      </w:r>
      <w:r>
        <w:rPr>
          <w:rFonts w:hint="eastAsia" w:ascii="宋体" w:hAnsi="宋体" w:cs="宋体"/>
          <w:szCs w:val="21"/>
        </w:rPr>
        <w:t>（盖章）</w:t>
      </w:r>
    </w:p>
    <w:p>
      <w:pPr>
        <w:spacing w:line="360" w:lineRule="auto"/>
        <w:ind w:left="570"/>
        <w:rPr>
          <w:rFonts w:ascii="宋体" w:hAnsi="宋体" w:cs="宋体"/>
          <w:szCs w:val="21"/>
        </w:rPr>
      </w:pPr>
    </w:p>
    <w:p>
      <w:pPr>
        <w:spacing w:line="360" w:lineRule="auto"/>
        <w:ind w:left="570"/>
        <w:rPr>
          <w:rFonts w:ascii="宋体" w:hAnsi="宋体"/>
          <w:szCs w:val="21"/>
        </w:rPr>
      </w:pPr>
      <w:r>
        <w:rPr>
          <w:rFonts w:hint="eastAsia" w:ascii="宋体" w:hAnsi="宋体" w:cs="宋体"/>
          <w:szCs w:val="21"/>
        </w:rPr>
        <w:t>法定代表人/授权代表：</w:t>
      </w:r>
      <w:r>
        <w:rPr>
          <w:rFonts w:hint="eastAsia" w:ascii="宋体" w:hAnsi="宋体" w:cs="宋体"/>
          <w:szCs w:val="21"/>
          <w:u w:val="single"/>
        </w:rPr>
        <w:t xml:space="preserve">                          </w:t>
      </w:r>
      <w:r>
        <w:rPr>
          <w:rFonts w:hint="eastAsia" w:ascii="宋体" w:hAnsi="宋体" w:cs="宋体"/>
          <w:szCs w:val="21"/>
        </w:rPr>
        <w:t>（签名）</w:t>
      </w:r>
    </w:p>
    <w:p>
      <w:pPr>
        <w:spacing w:line="360" w:lineRule="auto"/>
        <w:ind w:left="570"/>
        <w:rPr>
          <w:rFonts w:ascii="宋体" w:hAnsi="宋体"/>
          <w:szCs w:val="21"/>
        </w:rPr>
      </w:pPr>
      <w:r>
        <w:rPr>
          <w:rFonts w:hint="eastAsia" w:ascii="宋体" w:hAnsi="宋体" w:cs="宋体"/>
          <w:szCs w:val="21"/>
        </w:rPr>
        <w:t xml:space="preserve">                                     年    月    日</w:t>
      </w:r>
    </w:p>
    <w:p>
      <w:pPr>
        <w:spacing w:line="360" w:lineRule="auto"/>
        <w:ind w:left="570"/>
        <w:rPr>
          <w:rFonts w:ascii="宋体" w:hAnsi="宋体"/>
          <w:szCs w:val="21"/>
        </w:rPr>
      </w:pPr>
    </w:p>
    <w:p>
      <w:pPr>
        <w:spacing w:line="360" w:lineRule="auto"/>
        <w:ind w:left="570"/>
        <w:rPr>
          <w:rFonts w:ascii="宋体" w:hAnsi="宋体"/>
          <w:szCs w:val="21"/>
        </w:rPr>
      </w:pPr>
    </w:p>
    <w:p>
      <w:pPr>
        <w:spacing w:line="360" w:lineRule="auto"/>
        <w:ind w:left="570"/>
        <w:rPr>
          <w:rFonts w:ascii="宋体" w:hAnsi="宋体"/>
          <w:szCs w:val="21"/>
        </w:rPr>
      </w:pPr>
      <w:r>
        <w:rPr>
          <w:rFonts w:hint="eastAsia" w:ascii="宋体" w:hAnsi="宋体" w:cs="宋体"/>
          <w:szCs w:val="21"/>
        </w:rPr>
        <w:t>乙方：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（盖章）</w:t>
      </w:r>
    </w:p>
    <w:p>
      <w:pPr>
        <w:spacing w:line="360" w:lineRule="auto"/>
        <w:ind w:left="570"/>
        <w:rPr>
          <w:rFonts w:ascii="宋体" w:hAnsi="宋体" w:cs="宋体"/>
          <w:szCs w:val="21"/>
        </w:rPr>
      </w:pPr>
    </w:p>
    <w:p>
      <w:pPr>
        <w:spacing w:line="360" w:lineRule="auto"/>
        <w:ind w:left="570"/>
        <w:rPr>
          <w:rFonts w:ascii="宋体" w:hAnsi="宋体"/>
          <w:szCs w:val="21"/>
        </w:rPr>
      </w:pPr>
      <w:r>
        <w:rPr>
          <w:rFonts w:hint="eastAsia" w:ascii="宋体" w:hAnsi="宋体" w:cs="宋体"/>
          <w:szCs w:val="21"/>
        </w:rPr>
        <w:t>法定代表人/授权代表：</w:t>
      </w:r>
      <w:r>
        <w:rPr>
          <w:rFonts w:hint="eastAsia" w:ascii="宋体" w:hAnsi="宋体" w:cs="宋体"/>
          <w:szCs w:val="21"/>
          <w:u w:val="single"/>
        </w:rPr>
        <w:t xml:space="preserve">                          </w:t>
      </w:r>
      <w:r>
        <w:rPr>
          <w:rFonts w:hint="eastAsia" w:ascii="宋体" w:hAnsi="宋体" w:cs="宋体"/>
          <w:szCs w:val="21"/>
        </w:rPr>
        <w:t>（签名）</w:t>
      </w:r>
    </w:p>
    <w:p>
      <w:pPr>
        <w:spacing w:line="360" w:lineRule="auto"/>
        <w:ind w:left="570"/>
        <w:rPr>
          <w:rFonts w:ascii="宋体" w:hAnsi="宋体"/>
          <w:szCs w:val="21"/>
        </w:rPr>
      </w:pPr>
      <w:r>
        <w:rPr>
          <w:rFonts w:hint="eastAsia" w:ascii="宋体" w:hAnsi="宋体" w:cs="宋体"/>
          <w:szCs w:val="21"/>
        </w:rPr>
        <w:t xml:space="preserve">                                     年    月    日</w:t>
      </w:r>
    </w:p>
    <w:p>
      <w:pPr>
        <w:ind w:firstLine="420" w:firstLineChars="200"/>
        <w:rPr>
          <w:rFonts w:ascii="宋体" w:hAnsi="宋体"/>
          <w:szCs w:val="21"/>
        </w:rPr>
      </w:pPr>
    </w:p>
    <w:p>
      <w:pPr>
        <w:spacing w:line="360" w:lineRule="auto"/>
        <w:jc w:val="center"/>
        <w:outlineLvl w:val="2"/>
        <w:rPr>
          <w:rFonts w:ascii="宋体" w:hAnsi="宋体"/>
          <w:b/>
          <w:sz w:val="36"/>
          <w:szCs w:val="36"/>
        </w:rPr>
        <w:sectPr>
          <w:pgSz w:w="11906" w:h="16838"/>
          <w:pgMar w:top="1701" w:right="1588" w:bottom="1304" w:left="1588" w:header="1247" w:footer="737" w:gutter="0"/>
          <w:cols w:space="720" w:num="1"/>
          <w:docGrid w:linePitch="380" w:charSpace="-4301"/>
        </w:sectPr>
      </w:pPr>
    </w:p>
    <w:p>
      <w:pPr>
        <w:snapToGrid w:val="0"/>
        <w:spacing w:line="360" w:lineRule="auto"/>
        <w:ind w:firstLine="1758" w:firstLineChars="398"/>
        <w:outlineLvl w:val="0"/>
        <w:rPr>
          <w:rFonts w:ascii="黑体" w:eastAsia="黑体"/>
          <w:b/>
          <w:sz w:val="44"/>
          <w:szCs w:val="44"/>
        </w:rPr>
      </w:pPr>
      <w:bookmarkStart w:id="539" w:name="_Toc51235200"/>
      <w:r>
        <w:rPr>
          <w:rFonts w:hint="eastAsia" w:ascii="黑体" w:eastAsia="黑体"/>
          <w:b/>
          <w:sz w:val="44"/>
          <w:szCs w:val="44"/>
        </w:rPr>
        <w:t>第五章  采购需求文件</w:t>
      </w:r>
      <w:bookmarkEnd w:id="539"/>
    </w:p>
    <w:p>
      <w:pPr>
        <w:spacing w:line="360" w:lineRule="auto"/>
        <w:rPr>
          <w:rFonts w:hint="eastAsia"/>
          <w:sz w:val="24"/>
          <w:szCs w:val="24"/>
        </w:rPr>
      </w:pPr>
      <w:r>
        <w:rPr>
          <w:rFonts w:hint="eastAsia"/>
          <w:b/>
          <w:bCs/>
          <w:sz w:val="24"/>
          <w:szCs w:val="24"/>
        </w:rPr>
        <w:t>一、项目名称：</w:t>
      </w:r>
      <w:r>
        <w:rPr>
          <w:rFonts w:hint="eastAsia"/>
          <w:sz w:val="24"/>
          <w:szCs w:val="24"/>
          <w:lang w:eastAsia="zh-CN"/>
        </w:rPr>
        <w:t>龙华区2019年度-2020年度建设工程招投标情况后评估工作</w:t>
      </w:r>
    </w:p>
    <w:p>
      <w:pPr>
        <w:spacing w:line="360" w:lineRule="auto"/>
        <w:rPr>
          <w:sz w:val="24"/>
          <w:szCs w:val="24"/>
        </w:rPr>
      </w:pPr>
      <w:r>
        <w:rPr>
          <w:rFonts w:hint="eastAsia"/>
          <w:b/>
          <w:bCs/>
          <w:sz w:val="24"/>
          <w:szCs w:val="24"/>
        </w:rPr>
        <w:t>二、项目类型：</w:t>
      </w:r>
      <w:r>
        <w:rPr>
          <w:rFonts w:hint="eastAsia"/>
          <w:sz w:val="24"/>
          <w:szCs w:val="24"/>
        </w:rPr>
        <w:t>服务类</w:t>
      </w:r>
    </w:p>
    <w:p>
      <w:pPr>
        <w:spacing w:line="360" w:lineRule="auto"/>
        <w:rPr>
          <w:sz w:val="24"/>
          <w:szCs w:val="24"/>
        </w:rPr>
      </w:pPr>
      <w:r>
        <w:rPr>
          <w:rFonts w:hint="eastAsia"/>
          <w:b/>
          <w:bCs/>
          <w:sz w:val="24"/>
          <w:szCs w:val="24"/>
        </w:rPr>
        <w:t>三、 预算金额（人民币）：</w:t>
      </w:r>
      <w:r>
        <w:rPr>
          <w:rFonts w:hint="eastAsia"/>
          <w:sz w:val="24"/>
          <w:szCs w:val="24"/>
        </w:rPr>
        <w:t>捌拾玖万伍仟捌佰元整（¥89.58万元），下浮率上限为10%，投标人参与投标时须按此费用进行下浮率报价。（不承诺最低价者中标）。</w:t>
      </w:r>
    </w:p>
    <w:p>
      <w:pPr>
        <w:spacing w:line="360" w:lineRule="auto"/>
        <w:rPr>
          <w:b/>
          <w:bCs/>
          <w:sz w:val="24"/>
          <w:szCs w:val="24"/>
        </w:rPr>
      </w:pPr>
      <w:r>
        <w:rPr>
          <w:rFonts w:hint="eastAsia"/>
          <w:b/>
          <w:bCs/>
          <w:sz w:val="24"/>
          <w:szCs w:val="24"/>
        </w:rPr>
        <w:t>四、 投标人资格要求</w:t>
      </w:r>
    </w:p>
    <w:p>
      <w:pPr>
        <w:spacing w:line="360" w:lineRule="auto"/>
        <w:ind w:firstLine="480" w:firstLineChars="200"/>
        <w:rPr>
          <w:sz w:val="24"/>
          <w:szCs w:val="24"/>
        </w:rPr>
      </w:pPr>
      <w:r>
        <w:rPr>
          <w:rFonts w:hint="eastAsia"/>
          <w:sz w:val="24"/>
          <w:szCs w:val="24"/>
        </w:rPr>
        <w:t>（一）具有独立法人资格。</w:t>
      </w:r>
    </w:p>
    <w:p>
      <w:pPr>
        <w:spacing w:line="360" w:lineRule="auto"/>
        <w:ind w:firstLine="480" w:firstLineChars="200"/>
        <w:rPr>
          <w:sz w:val="24"/>
          <w:szCs w:val="24"/>
        </w:rPr>
      </w:pPr>
      <w:r>
        <w:rPr>
          <w:rFonts w:hint="eastAsia"/>
          <w:sz w:val="24"/>
          <w:szCs w:val="24"/>
        </w:rPr>
        <w:t>（二）项目负责人要求：具有高级以上工程师职称。</w:t>
      </w:r>
    </w:p>
    <w:p>
      <w:pPr>
        <w:spacing w:line="360" w:lineRule="auto"/>
        <w:ind w:firstLine="480" w:firstLineChars="200"/>
        <w:rPr>
          <w:sz w:val="24"/>
          <w:szCs w:val="24"/>
        </w:rPr>
      </w:pPr>
      <w:r>
        <w:rPr>
          <w:rFonts w:hint="eastAsia"/>
          <w:sz w:val="24"/>
          <w:szCs w:val="24"/>
        </w:rPr>
        <w:t>（三）本项目不接受联合体投标。</w:t>
      </w:r>
    </w:p>
    <w:p>
      <w:pPr>
        <w:spacing w:line="360" w:lineRule="auto"/>
        <w:ind w:firstLine="480" w:firstLineChars="200"/>
        <w:rPr>
          <w:sz w:val="24"/>
          <w:szCs w:val="24"/>
        </w:rPr>
      </w:pPr>
      <w:r>
        <w:rPr>
          <w:rFonts w:hint="eastAsia"/>
          <w:sz w:val="24"/>
          <w:szCs w:val="24"/>
        </w:rPr>
        <w:t>（四）参与本项目政府采购活动时不存在被有关部门列入失信被执行人、重大税收违法案件当事人名单的情况,投标人须按要求提供通过“信用中国”网（www.creditchina.gov.cn）信用信息查询记录网络截图。</w:t>
      </w:r>
    </w:p>
    <w:p>
      <w:pPr>
        <w:spacing w:line="360" w:lineRule="auto"/>
        <w:ind w:firstLine="480" w:firstLineChars="200"/>
        <w:rPr>
          <w:sz w:val="24"/>
          <w:szCs w:val="24"/>
        </w:rPr>
      </w:pPr>
      <w:r>
        <w:rPr>
          <w:sz w:val="24"/>
          <w:szCs w:val="24"/>
        </w:rPr>
        <w:t>（</w:t>
      </w:r>
      <w:r>
        <w:rPr>
          <w:rFonts w:hint="eastAsia"/>
          <w:sz w:val="24"/>
          <w:szCs w:val="24"/>
        </w:rPr>
        <w:t>五</w:t>
      </w:r>
      <w:r>
        <w:rPr>
          <w:sz w:val="24"/>
          <w:szCs w:val="24"/>
        </w:rPr>
        <w:t>）参与本项目投标前三年内，在经营活动中没有重大违法记录（由投标人在《政府采购投标及履约承诺函》中作出声明）。</w:t>
      </w:r>
    </w:p>
    <w:p>
      <w:pPr>
        <w:spacing w:line="360" w:lineRule="auto"/>
        <w:ind w:firstLine="480" w:firstLineChars="200"/>
        <w:rPr>
          <w:sz w:val="24"/>
          <w:szCs w:val="24"/>
        </w:rPr>
      </w:pPr>
      <w:r>
        <w:rPr>
          <w:sz w:val="24"/>
          <w:szCs w:val="24"/>
        </w:rPr>
        <w:t>（</w:t>
      </w:r>
      <w:r>
        <w:rPr>
          <w:rFonts w:hint="eastAsia"/>
          <w:sz w:val="24"/>
          <w:szCs w:val="24"/>
        </w:rPr>
        <w:t>六</w:t>
      </w:r>
      <w:r>
        <w:rPr>
          <w:sz w:val="24"/>
          <w:szCs w:val="24"/>
        </w:rPr>
        <w:t>）参与本项目政府采购活动时不存在被有关部门禁止参与政府采购活动且在有效期内的情况（由投标人在《政府采购投标及履约承诺函》中作出声明）。</w:t>
      </w:r>
    </w:p>
    <w:p>
      <w:pPr>
        <w:spacing w:line="360" w:lineRule="auto"/>
        <w:ind w:firstLine="480" w:firstLineChars="200"/>
        <w:rPr>
          <w:sz w:val="24"/>
          <w:szCs w:val="24"/>
        </w:rPr>
      </w:pPr>
      <w:r>
        <w:rPr>
          <w:sz w:val="24"/>
          <w:szCs w:val="24"/>
        </w:rPr>
        <w:t>（</w:t>
      </w:r>
      <w:r>
        <w:rPr>
          <w:rFonts w:hint="eastAsia"/>
          <w:sz w:val="24"/>
          <w:szCs w:val="24"/>
        </w:rPr>
        <w:t>七</w:t>
      </w:r>
      <w:r>
        <w:rPr>
          <w:sz w:val="24"/>
          <w:szCs w:val="24"/>
        </w:rPr>
        <w:t>）具备《中华人民共和国政府采购法》第二十二条第一款的条件（由投标人在《政府采购投标及履约承诺函》中作出声明）。</w:t>
      </w:r>
    </w:p>
    <w:p>
      <w:pPr>
        <w:spacing w:line="360" w:lineRule="auto"/>
        <w:ind w:firstLine="480" w:firstLineChars="200"/>
        <w:rPr>
          <w:sz w:val="24"/>
          <w:szCs w:val="24"/>
        </w:rPr>
      </w:pPr>
      <w:r>
        <w:rPr>
          <w:sz w:val="24"/>
          <w:szCs w:val="24"/>
        </w:rPr>
        <w:t>（</w:t>
      </w:r>
      <w:r>
        <w:rPr>
          <w:rFonts w:hint="eastAsia"/>
          <w:sz w:val="24"/>
          <w:szCs w:val="24"/>
        </w:rPr>
        <w:t>八</w:t>
      </w:r>
      <w:r>
        <w:rPr>
          <w:sz w:val="24"/>
          <w:szCs w:val="24"/>
        </w:rPr>
        <w:t>）未被列入失信被执行人、重大税收违法案件当事人名单、政府采购严重违法失信行为记录名单（由投标人在《政府采购投标及履约承诺函》中作出声明）。</w:t>
      </w:r>
    </w:p>
    <w:p>
      <w:pPr>
        <w:spacing w:line="360" w:lineRule="auto"/>
        <w:rPr>
          <w:b/>
          <w:bCs/>
          <w:sz w:val="24"/>
          <w:szCs w:val="24"/>
        </w:rPr>
      </w:pPr>
      <w:r>
        <w:rPr>
          <w:rFonts w:hint="eastAsia"/>
          <w:b/>
          <w:bCs/>
          <w:sz w:val="24"/>
          <w:szCs w:val="24"/>
        </w:rPr>
        <w:t>五、工作范围及内容要求</w:t>
      </w:r>
    </w:p>
    <w:p>
      <w:pPr>
        <w:spacing w:line="360" w:lineRule="auto"/>
        <w:ind w:firstLine="481" w:firstLineChars="200"/>
        <w:rPr>
          <w:b/>
          <w:bCs/>
          <w:sz w:val="24"/>
          <w:szCs w:val="24"/>
        </w:rPr>
      </w:pPr>
      <w:r>
        <w:rPr>
          <w:rFonts w:hint="eastAsia"/>
          <w:b/>
          <w:bCs/>
          <w:sz w:val="24"/>
          <w:szCs w:val="24"/>
        </w:rPr>
        <w:t>（一）工作来源</w:t>
      </w:r>
    </w:p>
    <w:p>
      <w:pPr>
        <w:spacing w:line="360" w:lineRule="auto"/>
        <w:ind w:firstLine="480" w:firstLineChars="200"/>
        <w:rPr>
          <w:sz w:val="24"/>
          <w:szCs w:val="24"/>
        </w:rPr>
      </w:pPr>
      <w:r>
        <w:rPr>
          <w:rFonts w:hint="eastAsia"/>
          <w:sz w:val="24"/>
          <w:szCs w:val="24"/>
        </w:rPr>
        <w:t>根据《关于建设工程招标投标改革的若干规定》（深府[</w:t>
      </w:r>
      <w:r>
        <w:rPr>
          <w:sz w:val="24"/>
          <w:szCs w:val="24"/>
        </w:rPr>
        <w:t>2015</w:t>
      </w:r>
      <w:r>
        <w:rPr>
          <w:rFonts w:hint="eastAsia"/>
          <w:sz w:val="24"/>
          <w:szCs w:val="24"/>
        </w:rPr>
        <w:t>]7</w:t>
      </w:r>
      <w:r>
        <w:rPr>
          <w:sz w:val="24"/>
          <w:szCs w:val="24"/>
        </w:rPr>
        <w:t>3</w:t>
      </w:r>
      <w:r>
        <w:rPr>
          <w:rFonts w:hint="eastAsia"/>
          <w:sz w:val="24"/>
          <w:szCs w:val="24"/>
        </w:rPr>
        <w:t>号）及《深圳市建设工程招标投标情况后评估工作规则（试行）》（深建市场[2</w:t>
      </w:r>
      <w:r>
        <w:rPr>
          <w:sz w:val="24"/>
          <w:szCs w:val="24"/>
        </w:rPr>
        <w:t>017]16</w:t>
      </w:r>
      <w:r>
        <w:rPr>
          <w:rFonts w:hint="eastAsia"/>
          <w:sz w:val="24"/>
          <w:szCs w:val="24"/>
        </w:rPr>
        <w:t>号）的相关规定，对龙华区2019～2020年度建设工程招标投标情况进行后评估，后评估工作以招标结果的合理性为导向，重点对招标投标各环节进行核查，对异常情况和招标结果进行调查分析，科学、客观、公正地评估工程招标投标情况的合法合规性，为工程建设主管部门掌握招标投标市场情况，查漏补缺，提高建设工程招标投标行业管理水平奠定基础。</w:t>
      </w:r>
    </w:p>
    <w:p>
      <w:pPr>
        <w:spacing w:line="360" w:lineRule="auto"/>
        <w:ind w:firstLine="481" w:firstLineChars="200"/>
        <w:rPr>
          <w:b/>
          <w:bCs/>
          <w:sz w:val="24"/>
          <w:szCs w:val="24"/>
        </w:rPr>
      </w:pPr>
      <w:r>
        <w:rPr>
          <w:rFonts w:hint="eastAsia"/>
          <w:b/>
          <w:bCs/>
          <w:sz w:val="24"/>
          <w:szCs w:val="24"/>
        </w:rPr>
        <w:t>（二）项目目标</w:t>
      </w:r>
    </w:p>
    <w:p>
      <w:pPr>
        <w:spacing w:line="360" w:lineRule="auto"/>
        <w:ind w:firstLine="480" w:firstLineChars="200"/>
        <w:rPr>
          <w:sz w:val="24"/>
          <w:szCs w:val="24"/>
        </w:rPr>
      </w:pPr>
      <w:r>
        <w:rPr>
          <w:rFonts w:hint="eastAsia"/>
          <w:sz w:val="24"/>
          <w:szCs w:val="24"/>
        </w:rPr>
        <w:t>通过聘请专业能力强、招标投标领域经验丰富的技术咨询单位，协助我局开展建设工程招标投标情况后评估，在对当前阶段建设工程招标投标情况进行评估的基础上，建立科学、稳定的招标投标后评估工作标准和程序，并根据政策法规和市场环境变化定期修订和完善，使后评估工作逐步体系化、制度化，逐步建立招标投标后评估工作的长效机制，形成对招标投标活动事前核备、过程监督、事后评估的闭环监管体系。</w:t>
      </w:r>
    </w:p>
    <w:p>
      <w:pPr>
        <w:spacing w:line="360" w:lineRule="auto"/>
        <w:rPr>
          <w:b/>
          <w:bCs/>
          <w:sz w:val="24"/>
          <w:szCs w:val="24"/>
        </w:rPr>
      </w:pPr>
      <w:r>
        <w:rPr>
          <w:rFonts w:hint="eastAsia"/>
          <w:b/>
          <w:bCs/>
          <w:sz w:val="24"/>
          <w:szCs w:val="24"/>
        </w:rPr>
        <w:t xml:space="preserve">   </w:t>
      </w:r>
      <w:bookmarkStart w:id="540" w:name="_Toc34142774"/>
      <w:r>
        <w:rPr>
          <w:rFonts w:hint="eastAsia"/>
          <w:b/>
          <w:bCs/>
          <w:sz w:val="24"/>
          <w:szCs w:val="24"/>
        </w:rPr>
        <w:t>（三）评估范围</w:t>
      </w:r>
      <w:bookmarkEnd w:id="540"/>
    </w:p>
    <w:p>
      <w:pPr>
        <w:spacing w:line="360" w:lineRule="auto"/>
        <w:ind w:firstLine="480" w:firstLineChars="200"/>
        <w:rPr>
          <w:sz w:val="24"/>
          <w:szCs w:val="24"/>
        </w:rPr>
      </w:pPr>
      <w:r>
        <w:rPr>
          <w:rFonts w:hint="eastAsia"/>
          <w:sz w:val="24"/>
          <w:szCs w:val="24"/>
        </w:rPr>
        <w:t>招标投标情况评估分初步评估和详细评估，初步评估重点在合法合规性和工作质量评估，具有明确的依据和标准；详细评估以“问题”和“招标结果是否合理”作为导向，重点在于分析判断、科学甄别。</w:t>
      </w:r>
    </w:p>
    <w:p>
      <w:pPr>
        <w:spacing w:line="360" w:lineRule="auto"/>
        <w:ind w:firstLine="481" w:firstLineChars="200"/>
        <w:rPr>
          <w:b/>
          <w:bCs/>
          <w:sz w:val="24"/>
          <w:szCs w:val="24"/>
        </w:rPr>
      </w:pPr>
      <w:bookmarkStart w:id="541" w:name="_Toc34142775"/>
      <w:r>
        <w:rPr>
          <w:rFonts w:hint="eastAsia"/>
          <w:b/>
          <w:bCs/>
          <w:sz w:val="24"/>
          <w:szCs w:val="24"/>
        </w:rPr>
        <w:t>1．初步评估范围</w:t>
      </w:r>
      <w:bookmarkEnd w:id="541"/>
    </w:p>
    <w:p>
      <w:pPr>
        <w:spacing w:line="360" w:lineRule="auto"/>
        <w:ind w:firstLine="480" w:firstLineChars="200"/>
        <w:rPr>
          <w:sz w:val="24"/>
          <w:szCs w:val="24"/>
        </w:rPr>
      </w:pPr>
      <w:r>
        <w:rPr>
          <w:rFonts w:hint="eastAsia"/>
          <w:sz w:val="24"/>
          <w:szCs w:val="24"/>
        </w:rPr>
        <w:t>初步评估的范围为龙华区住房和建设局监管范围的全部工程建设项目（工程施工、服务、货物采购及其他类项目），初步评估的方法程序详见本方案第五项。</w:t>
      </w:r>
    </w:p>
    <w:p>
      <w:pPr>
        <w:spacing w:line="360" w:lineRule="auto"/>
        <w:ind w:firstLine="481" w:firstLineChars="200"/>
        <w:rPr>
          <w:b/>
          <w:bCs/>
          <w:sz w:val="24"/>
          <w:szCs w:val="24"/>
        </w:rPr>
      </w:pPr>
      <w:bookmarkStart w:id="542" w:name="_Toc34142776"/>
      <w:r>
        <w:rPr>
          <w:rFonts w:hint="eastAsia"/>
          <w:b/>
          <w:bCs/>
          <w:sz w:val="24"/>
          <w:szCs w:val="24"/>
        </w:rPr>
        <w:t>2．详细评估范围</w:t>
      </w:r>
      <w:bookmarkEnd w:id="542"/>
    </w:p>
    <w:p>
      <w:pPr>
        <w:spacing w:line="360" w:lineRule="auto"/>
        <w:ind w:firstLine="480" w:firstLineChars="200"/>
        <w:rPr>
          <w:sz w:val="24"/>
          <w:szCs w:val="24"/>
        </w:rPr>
      </w:pPr>
      <w:r>
        <w:rPr>
          <w:rFonts w:hint="eastAsia"/>
          <w:sz w:val="24"/>
          <w:szCs w:val="24"/>
        </w:rPr>
        <w:t>在初步评估的基础上，对以下类型项目进行详细评估：</w:t>
      </w:r>
    </w:p>
    <w:p>
      <w:pPr>
        <w:spacing w:line="360" w:lineRule="auto"/>
        <w:ind w:firstLine="480" w:firstLineChars="200"/>
        <w:rPr>
          <w:sz w:val="24"/>
          <w:szCs w:val="24"/>
        </w:rPr>
      </w:pPr>
      <w:r>
        <w:rPr>
          <w:rFonts w:hint="eastAsia"/>
          <w:sz w:val="24"/>
          <w:szCs w:val="24"/>
        </w:rPr>
        <w:t>（1）初步评估发现问题，但问题需要进一步分析、论证的；</w:t>
      </w:r>
    </w:p>
    <w:p>
      <w:pPr>
        <w:spacing w:line="360" w:lineRule="auto"/>
        <w:ind w:firstLine="480" w:firstLineChars="200"/>
        <w:rPr>
          <w:sz w:val="24"/>
          <w:szCs w:val="24"/>
        </w:rPr>
      </w:pPr>
      <w:r>
        <w:rPr>
          <w:rFonts w:hint="eastAsia"/>
          <w:sz w:val="24"/>
          <w:szCs w:val="24"/>
        </w:rPr>
        <w:t>（2）招标投标过程中有异议或投诉的；</w:t>
      </w:r>
    </w:p>
    <w:p>
      <w:pPr>
        <w:spacing w:line="360" w:lineRule="auto"/>
        <w:ind w:firstLine="480" w:firstLineChars="200"/>
        <w:rPr>
          <w:sz w:val="24"/>
          <w:szCs w:val="24"/>
        </w:rPr>
      </w:pPr>
      <w:r>
        <w:rPr>
          <w:rFonts w:hint="eastAsia"/>
          <w:sz w:val="24"/>
          <w:szCs w:val="24"/>
        </w:rPr>
        <w:t>（3）信访件质疑招投标公开、公平、公正的；</w:t>
      </w:r>
    </w:p>
    <w:p>
      <w:pPr>
        <w:spacing w:line="360" w:lineRule="auto"/>
        <w:ind w:firstLine="480" w:firstLineChars="200"/>
        <w:rPr>
          <w:sz w:val="24"/>
          <w:szCs w:val="24"/>
        </w:rPr>
      </w:pPr>
      <w:r>
        <w:rPr>
          <w:rFonts w:hint="eastAsia"/>
          <w:sz w:val="24"/>
          <w:szCs w:val="24"/>
        </w:rPr>
        <w:t>（4）舆论、媒体关注的；</w:t>
      </w:r>
    </w:p>
    <w:p>
      <w:pPr>
        <w:spacing w:line="360" w:lineRule="auto"/>
        <w:ind w:firstLine="480" w:firstLineChars="200"/>
        <w:rPr>
          <w:sz w:val="24"/>
          <w:szCs w:val="24"/>
        </w:rPr>
      </w:pPr>
      <w:r>
        <w:rPr>
          <w:rFonts w:hint="eastAsia"/>
          <w:sz w:val="24"/>
          <w:szCs w:val="24"/>
        </w:rPr>
        <w:t>（5）群众反映强烈的；</w:t>
      </w:r>
    </w:p>
    <w:p>
      <w:pPr>
        <w:spacing w:line="360" w:lineRule="auto"/>
        <w:ind w:firstLine="480" w:firstLineChars="200"/>
        <w:rPr>
          <w:sz w:val="24"/>
          <w:szCs w:val="24"/>
        </w:rPr>
      </w:pPr>
      <w:r>
        <w:rPr>
          <w:rFonts w:hint="eastAsia"/>
          <w:sz w:val="24"/>
          <w:szCs w:val="24"/>
        </w:rPr>
        <w:t>（6）在建工程出现质量、安全事故的；</w:t>
      </w:r>
    </w:p>
    <w:p>
      <w:pPr>
        <w:spacing w:line="360" w:lineRule="auto"/>
        <w:ind w:firstLine="480" w:firstLineChars="200"/>
        <w:rPr>
          <w:sz w:val="24"/>
          <w:szCs w:val="24"/>
        </w:rPr>
      </w:pPr>
      <w:r>
        <w:rPr>
          <w:rFonts w:hint="eastAsia"/>
          <w:sz w:val="24"/>
          <w:szCs w:val="24"/>
        </w:rPr>
        <w:t>（7）涉及上级部门交办事项或纪检监察、审计等有关部门移交线索的；</w:t>
      </w:r>
    </w:p>
    <w:p>
      <w:pPr>
        <w:spacing w:line="360" w:lineRule="auto"/>
        <w:ind w:firstLine="480" w:firstLineChars="200"/>
        <w:rPr>
          <w:sz w:val="24"/>
          <w:szCs w:val="24"/>
        </w:rPr>
      </w:pPr>
      <w:r>
        <w:rPr>
          <w:rFonts w:hint="eastAsia"/>
          <w:sz w:val="24"/>
          <w:szCs w:val="24"/>
        </w:rPr>
        <w:t>（8）其他经过初步评估后需要进步一详细评估的招标投标项目。</w:t>
      </w:r>
    </w:p>
    <w:p>
      <w:pPr>
        <w:spacing w:line="360" w:lineRule="auto"/>
        <w:ind w:firstLine="480" w:firstLineChars="200"/>
        <w:rPr>
          <w:sz w:val="24"/>
          <w:szCs w:val="24"/>
        </w:rPr>
      </w:pPr>
      <w:r>
        <w:rPr>
          <w:rFonts w:hint="eastAsia"/>
          <w:sz w:val="24"/>
          <w:szCs w:val="24"/>
        </w:rPr>
        <w:t>详细评估的方法程序详见本方案第五项。</w:t>
      </w:r>
    </w:p>
    <w:p>
      <w:pPr>
        <w:spacing w:line="360" w:lineRule="auto"/>
        <w:ind w:firstLine="481" w:firstLineChars="200"/>
        <w:rPr>
          <w:b/>
          <w:bCs/>
          <w:sz w:val="24"/>
          <w:szCs w:val="24"/>
        </w:rPr>
      </w:pPr>
      <w:bookmarkStart w:id="543" w:name="_Toc34142777"/>
      <w:r>
        <w:rPr>
          <w:rFonts w:hint="eastAsia"/>
          <w:b/>
          <w:bCs/>
          <w:sz w:val="24"/>
          <w:szCs w:val="24"/>
        </w:rPr>
        <w:t>（四）评估内容</w:t>
      </w:r>
      <w:bookmarkEnd w:id="543"/>
    </w:p>
    <w:p>
      <w:pPr>
        <w:spacing w:line="360" w:lineRule="auto"/>
        <w:ind w:firstLine="481" w:firstLineChars="200"/>
        <w:rPr>
          <w:b/>
          <w:bCs/>
          <w:sz w:val="24"/>
          <w:szCs w:val="24"/>
        </w:rPr>
      </w:pPr>
      <w:bookmarkStart w:id="544" w:name="_Toc34142778"/>
      <w:r>
        <w:rPr>
          <w:rFonts w:hint="eastAsia"/>
          <w:b/>
          <w:bCs/>
          <w:sz w:val="24"/>
          <w:szCs w:val="24"/>
        </w:rPr>
        <w:t>1．初步评估</w:t>
      </w:r>
      <w:bookmarkEnd w:id="544"/>
    </w:p>
    <w:p>
      <w:pPr>
        <w:spacing w:line="360" w:lineRule="auto"/>
        <w:ind w:firstLine="480" w:firstLineChars="200"/>
        <w:rPr>
          <w:sz w:val="24"/>
          <w:szCs w:val="24"/>
        </w:rPr>
      </w:pPr>
      <w:r>
        <w:rPr>
          <w:rFonts w:hint="eastAsia"/>
          <w:sz w:val="24"/>
          <w:szCs w:val="24"/>
        </w:rPr>
        <w:t>初步评估内容分为：基础数据统计、工作质量评估、合法合规性评估、三方面。</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）记录统计</w:t>
      </w:r>
    </w:p>
    <w:p>
      <w:pPr>
        <w:spacing w:line="360" w:lineRule="auto"/>
        <w:ind w:firstLine="480" w:firstLineChars="200"/>
        <w:rPr>
          <w:sz w:val="24"/>
          <w:szCs w:val="24"/>
        </w:rPr>
      </w:pPr>
      <w:r>
        <w:rPr>
          <w:rFonts w:hint="eastAsia"/>
          <w:sz w:val="24"/>
          <w:szCs w:val="24"/>
        </w:rPr>
        <w:t>记录统计每个项目招标投标关键要素，用以积累相关数据，以便于主管部门掌握招标投标活动的现状，并通过数据分析发现和总结相关问题。</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）工作质量评估</w:t>
      </w:r>
    </w:p>
    <w:p>
      <w:pPr>
        <w:spacing w:line="360" w:lineRule="auto"/>
        <w:ind w:firstLine="480" w:firstLineChars="200"/>
        <w:rPr>
          <w:sz w:val="24"/>
          <w:szCs w:val="24"/>
        </w:rPr>
      </w:pPr>
      <w:r>
        <w:rPr>
          <w:rFonts w:hint="eastAsia"/>
          <w:sz w:val="24"/>
          <w:szCs w:val="24"/>
        </w:rPr>
        <w:t>1）文件质量</w:t>
      </w:r>
    </w:p>
    <w:p>
      <w:pPr>
        <w:spacing w:line="360" w:lineRule="auto"/>
        <w:ind w:firstLine="480" w:firstLineChars="200"/>
        <w:rPr>
          <w:sz w:val="24"/>
          <w:szCs w:val="24"/>
        </w:rPr>
      </w:pPr>
      <w:r>
        <w:rPr>
          <w:rFonts w:hint="eastAsia"/>
          <w:sz w:val="24"/>
          <w:szCs w:val="24"/>
        </w:rPr>
        <w:t>包括招标文件编制质量、补遗（答疑）文件质量、相关报告及函件质量、招标过程相关用表质量及招标投标成果资料的完备性等。</w:t>
      </w:r>
    </w:p>
    <w:p>
      <w:pPr>
        <w:spacing w:line="360" w:lineRule="auto"/>
        <w:ind w:firstLine="480" w:firstLineChars="200"/>
        <w:rPr>
          <w:sz w:val="24"/>
          <w:szCs w:val="24"/>
        </w:rPr>
      </w:pPr>
      <w:r>
        <w:rPr>
          <w:rFonts w:hint="eastAsia"/>
          <w:sz w:val="24"/>
          <w:szCs w:val="24"/>
        </w:rPr>
        <w:t>2）工作程序、评定标组织工作质量</w:t>
      </w:r>
    </w:p>
    <w:p>
      <w:pPr>
        <w:spacing w:line="360" w:lineRule="auto"/>
        <w:ind w:firstLine="480" w:firstLineChars="200"/>
        <w:rPr>
          <w:sz w:val="24"/>
          <w:szCs w:val="24"/>
        </w:rPr>
      </w:pPr>
      <w:r>
        <w:rPr>
          <w:rFonts w:hint="eastAsia"/>
          <w:sz w:val="24"/>
          <w:szCs w:val="24"/>
        </w:rPr>
        <w:t>招标公告发布、招标控制价公示（如有）、专家抽取、清标、评定标组织及配合、投诉处理、开标、资格审查、业绩及中标公示、颁发中标通知书等工作环节的质量。</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）合法、合规性评估</w:t>
      </w:r>
    </w:p>
    <w:p>
      <w:pPr>
        <w:spacing w:line="360" w:lineRule="auto"/>
        <w:ind w:firstLine="480" w:firstLineChars="200"/>
        <w:rPr>
          <w:sz w:val="24"/>
          <w:szCs w:val="24"/>
        </w:rPr>
      </w:pPr>
      <w:r>
        <w:rPr>
          <w:rFonts w:hint="eastAsia"/>
          <w:sz w:val="24"/>
          <w:szCs w:val="24"/>
        </w:rPr>
        <w:t>1）招标条件设置的合法合规性；</w:t>
      </w:r>
    </w:p>
    <w:p>
      <w:pPr>
        <w:spacing w:line="360" w:lineRule="auto"/>
        <w:ind w:firstLine="480" w:firstLineChars="200"/>
        <w:rPr>
          <w:sz w:val="24"/>
          <w:szCs w:val="24"/>
        </w:rPr>
      </w:pPr>
      <w:r>
        <w:rPr>
          <w:rFonts w:hint="eastAsia"/>
          <w:sz w:val="24"/>
          <w:szCs w:val="24"/>
        </w:rPr>
        <w:t>2）招标公告发布时间的合法合规性；</w:t>
      </w:r>
    </w:p>
    <w:p>
      <w:pPr>
        <w:spacing w:line="360" w:lineRule="auto"/>
        <w:ind w:firstLine="480" w:firstLineChars="200"/>
        <w:rPr>
          <w:sz w:val="24"/>
          <w:szCs w:val="24"/>
        </w:rPr>
      </w:pPr>
      <w:r>
        <w:rPr>
          <w:rFonts w:hint="eastAsia"/>
          <w:sz w:val="24"/>
          <w:szCs w:val="24"/>
        </w:rPr>
        <w:t>3）评标办法的合法合规性；</w:t>
      </w:r>
    </w:p>
    <w:p>
      <w:pPr>
        <w:spacing w:line="360" w:lineRule="auto"/>
        <w:ind w:firstLine="480" w:firstLineChars="200"/>
        <w:rPr>
          <w:sz w:val="24"/>
          <w:szCs w:val="24"/>
        </w:rPr>
      </w:pPr>
      <w:r>
        <w:rPr>
          <w:rFonts w:hint="eastAsia"/>
          <w:sz w:val="24"/>
          <w:szCs w:val="24"/>
        </w:rPr>
        <w:t>4）定标规则的合法合规性；</w:t>
      </w:r>
    </w:p>
    <w:p>
      <w:pPr>
        <w:spacing w:line="360" w:lineRule="auto"/>
        <w:ind w:firstLine="480" w:firstLineChars="200"/>
        <w:rPr>
          <w:sz w:val="24"/>
          <w:szCs w:val="24"/>
        </w:rPr>
      </w:pPr>
      <w:r>
        <w:rPr>
          <w:rFonts w:hint="eastAsia"/>
          <w:sz w:val="24"/>
          <w:szCs w:val="24"/>
        </w:rPr>
        <w:t>5）其他有倾向性或限制性的条款内容。</w:t>
      </w:r>
    </w:p>
    <w:p>
      <w:pPr>
        <w:spacing w:line="360" w:lineRule="auto"/>
        <w:ind w:firstLine="481" w:firstLineChars="200"/>
        <w:rPr>
          <w:b/>
          <w:bCs/>
          <w:sz w:val="24"/>
          <w:szCs w:val="24"/>
        </w:rPr>
      </w:pPr>
      <w:bookmarkStart w:id="545" w:name="_Toc34142779"/>
      <w:r>
        <w:rPr>
          <w:rFonts w:hint="eastAsia"/>
          <w:b/>
          <w:bCs/>
          <w:sz w:val="24"/>
          <w:szCs w:val="24"/>
        </w:rPr>
        <w:t>2.详细评估</w:t>
      </w:r>
      <w:bookmarkEnd w:id="545"/>
    </w:p>
    <w:p>
      <w:pPr>
        <w:spacing w:line="360" w:lineRule="auto"/>
        <w:ind w:firstLine="480" w:firstLineChars="200"/>
        <w:rPr>
          <w:sz w:val="24"/>
          <w:szCs w:val="24"/>
        </w:rPr>
      </w:pPr>
      <w:r>
        <w:rPr>
          <w:rFonts w:hint="eastAsia"/>
          <w:sz w:val="24"/>
          <w:szCs w:val="24"/>
        </w:rPr>
        <w:t>详细评估从异常情况分析、重点环节分析、招标结果分析三方面进行：</w:t>
      </w:r>
    </w:p>
    <w:p>
      <w:pPr>
        <w:spacing w:line="360" w:lineRule="auto"/>
        <w:ind w:firstLine="480" w:firstLineChars="200"/>
        <w:rPr>
          <w:sz w:val="24"/>
          <w:szCs w:val="24"/>
        </w:rPr>
      </w:pPr>
      <w:r>
        <w:rPr>
          <w:rFonts w:hint="eastAsia"/>
          <w:sz w:val="24"/>
          <w:szCs w:val="24"/>
        </w:rPr>
        <w:t>（1）异常情况分析</w:t>
      </w:r>
    </w:p>
    <w:p>
      <w:pPr>
        <w:spacing w:line="360" w:lineRule="auto"/>
        <w:ind w:firstLine="480" w:firstLineChars="200"/>
        <w:rPr>
          <w:sz w:val="24"/>
          <w:szCs w:val="24"/>
        </w:rPr>
      </w:pPr>
      <w:r>
        <w:rPr>
          <w:rFonts w:hint="eastAsia"/>
          <w:sz w:val="24"/>
          <w:szCs w:val="24"/>
        </w:rPr>
        <w:t>1）流标项目中流标原因、直接委托等情况分析；</w:t>
      </w:r>
    </w:p>
    <w:p>
      <w:pPr>
        <w:spacing w:line="360" w:lineRule="auto"/>
        <w:ind w:firstLine="480" w:firstLineChars="200"/>
        <w:rPr>
          <w:sz w:val="24"/>
          <w:szCs w:val="24"/>
        </w:rPr>
      </w:pPr>
      <w:r>
        <w:rPr>
          <w:sz w:val="24"/>
          <w:szCs w:val="24"/>
        </w:rPr>
        <w:t>2</w:t>
      </w:r>
      <w:r>
        <w:rPr>
          <w:rFonts w:hint="eastAsia"/>
          <w:sz w:val="24"/>
          <w:szCs w:val="24"/>
        </w:rPr>
        <w:t>）质疑、异议、投诉反映的问题；</w:t>
      </w:r>
    </w:p>
    <w:p>
      <w:pPr>
        <w:spacing w:line="360" w:lineRule="auto"/>
        <w:ind w:firstLine="480" w:firstLineChars="200"/>
        <w:rPr>
          <w:sz w:val="24"/>
          <w:szCs w:val="24"/>
        </w:rPr>
      </w:pPr>
      <w:r>
        <w:rPr>
          <w:rFonts w:hint="eastAsia"/>
          <w:sz w:val="24"/>
          <w:szCs w:val="24"/>
        </w:rPr>
        <w:t>（2）重点环节分析</w:t>
      </w:r>
    </w:p>
    <w:p>
      <w:pPr>
        <w:spacing w:line="360" w:lineRule="auto"/>
        <w:ind w:firstLine="480" w:firstLineChars="200"/>
        <w:rPr>
          <w:sz w:val="24"/>
          <w:szCs w:val="24"/>
        </w:rPr>
      </w:pPr>
      <w:r>
        <w:rPr>
          <w:rFonts w:hint="eastAsia"/>
          <w:sz w:val="24"/>
          <w:szCs w:val="24"/>
        </w:rPr>
        <w:t>1）评定标规则的公平、公正、择优性分析；</w:t>
      </w:r>
    </w:p>
    <w:p>
      <w:pPr>
        <w:spacing w:line="360" w:lineRule="auto"/>
        <w:ind w:firstLine="480" w:firstLineChars="200"/>
        <w:rPr>
          <w:sz w:val="24"/>
          <w:szCs w:val="24"/>
        </w:rPr>
      </w:pPr>
      <w:r>
        <w:rPr>
          <w:rFonts w:hint="eastAsia"/>
          <w:sz w:val="24"/>
          <w:szCs w:val="24"/>
        </w:rPr>
        <w:t>2）评标的合理性分析；</w:t>
      </w:r>
    </w:p>
    <w:p>
      <w:pPr>
        <w:spacing w:line="360" w:lineRule="auto"/>
        <w:ind w:firstLine="480" w:firstLineChars="200"/>
        <w:rPr>
          <w:sz w:val="24"/>
          <w:szCs w:val="24"/>
        </w:rPr>
      </w:pPr>
      <w:r>
        <w:rPr>
          <w:rFonts w:hint="eastAsia"/>
          <w:sz w:val="24"/>
          <w:szCs w:val="24"/>
        </w:rPr>
        <w:t>3）定标的合理性分析；</w:t>
      </w:r>
    </w:p>
    <w:p>
      <w:pPr>
        <w:spacing w:line="360" w:lineRule="auto"/>
        <w:ind w:firstLine="480" w:firstLineChars="200"/>
        <w:rPr>
          <w:sz w:val="24"/>
          <w:szCs w:val="24"/>
        </w:rPr>
      </w:pPr>
      <w:r>
        <w:rPr>
          <w:rFonts w:hint="eastAsia"/>
          <w:sz w:val="24"/>
          <w:szCs w:val="24"/>
        </w:rPr>
        <w:t>4）合法不合理情形分析。</w:t>
      </w:r>
    </w:p>
    <w:p>
      <w:pPr>
        <w:spacing w:line="360" w:lineRule="auto"/>
        <w:ind w:firstLine="480" w:firstLineChars="200"/>
        <w:rPr>
          <w:sz w:val="24"/>
          <w:szCs w:val="24"/>
        </w:rPr>
      </w:pPr>
      <w:r>
        <w:rPr>
          <w:rFonts w:hint="eastAsia"/>
          <w:sz w:val="24"/>
          <w:szCs w:val="24"/>
        </w:rPr>
        <w:t>（3）招标结果分析</w:t>
      </w:r>
    </w:p>
    <w:p>
      <w:pPr>
        <w:spacing w:line="360" w:lineRule="auto"/>
        <w:ind w:firstLine="480" w:firstLineChars="200"/>
        <w:rPr>
          <w:sz w:val="24"/>
          <w:szCs w:val="24"/>
        </w:rPr>
      </w:pPr>
      <w:r>
        <w:rPr>
          <w:rFonts w:hint="eastAsia"/>
          <w:sz w:val="24"/>
          <w:szCs w:val="24"/>
        </w:rPr>
        <w:t>从择优和竞价两个维度对招标结果进行分析。</w:t>
      </w:r>
    </w:p>
    <w:p>
      <w:pPr>
        <w:spacing w:line="360" w:lineRule="auto"/>
        <w:ind w:firstLine="481" w:firstLineChars="200"/>
        <w:rPr>
          <w:b/>
          <w:bCs/>
          <w:sz w:val="24"/>
          <w:szCs w:val="24"/>
        </w:rPr>
      </w:pPr>
      <w:r>
        <w:rPr>
          <w:rFonts w:hint="eastAsia"/>
          <w:b/>
          <w:bCs/>
          <w:sz w:val="24"/>
          <w:szCs w:val="24"/>
        </w:rPr>
        <w:t xml:space="preserve">（五）项目服务要求 </w:t>
      </w:r>
    </w:p>
    <w:p>
      <w:pPr>
        <w:spacing w:line="360" w:lineRule="auto"/>
        <w:ind w:firstLine="481" w:firstLineChars="200"/>
        <w:rPr>
          <w:b/>
          <w:bCs/>
          <w:sz w:val="24"/>
          <w:szCs w:val="24"/>
        </w:rPr>
      </w:pPr>
      <w:r>
        <w:rPr>
          <w:rFonts w:hint="eastAsia"/>
          <w:b/>
          <w:bCs/>
          <w:sz w:val="24"/>
          <w:szCs w:val="24"/>
        </w:rPr>
        <w:t>1.售后服务内容</w:t>
      </w:r>
    </w:p>
    <w:p>
      <w:pPr>
        <w:spacing w:line="360" w:lineRule="auto"/>
        <w:ind w:firstLine="480" w:firstLineChars="200"/>
        <w:rPr>
          <w:sz w:val="24"/>
          <w:szCs w:val="24"/>
        </w:rPr>
      </w:pPr>
      <w:r>
        <w:rPr>
          <w:rFonts w:hint="eastAsia"/>
          <w:sz w:val="24"/>
          <w:szCs w:val="24"/>
        </w:rPr>
        <w:t>在售后服务期限内提供相关咨询和项技术支持等服务。</w:t>
      </w:r>
    </w:p>
    <w:p>
      <w:pPr>
        <w:spacing w:line="360" w:lineRule="auto"/>
        <w:ind w:firstLine="481" w:firstLineChars="200"/>
        <w:rPr>
          <w:b/>
          <w:bCs/>
          <w:sz w:val="24"/>
          <w:szCs w:val="24"/>
        </w:rPr>
      </w:pPr>
      <w:r>
        <w:rPr>
          <w:rFonts w:hint="eastAsia"/>
          <w:b/>
          <w:bCs/>
          <w:sz w:val="24"/>
          <w:szCs w:val="24"/>
        </w:rPr>
        <w:t>2.售后服务要求</w:t>
      </w:r>
    </w:p>
    <w:p>
      <w:pPr>
        <w:spacing w:line="360" w:lineRule="auto"/>
        <w:ind w:firstLine="480" w:firstLineChars="200"/>
        <w:rPr>
          <w:sz w:val="24"/>
          <w:szCs w:val="24"/>
        </w:rPr>
      </w:pPr>
      <w:r>
        <w:rPr>
          <w:rFonts w:hint="eastAsia"/>
          <w:sz w:val="24"/>
          <w:szCs w:val="24"/>
        </w:rPr>
        <w:t>1）投标人在投标文件中应提供售后服务承诺书；</w:t>
      </w:r>
    </w:p>
    <w:p>
      <w:pPr>
        <w:spacing w:line="360" w:lineRule="auto"/>
        <w:ind w:firstLine="480" w:firstLineChars="200"/>
        <w:rPr>
          <w:sz w:val="24"/>
          <w:szCs w:val="24"/>
        </w:rPr>
      </w:pPr>
      <w:r>
        <w:rPr>
          <w:rFonts w:hint="eastAsia"/>
          <w:sz w:val="24"/>
          <w:szCs w:val="24"/>
        </w:rPr>
        <w:t>2）安排专人负责售后技术支持，并提供其联系手机、电话、传真、Email；如人员需要调整应及时通知招标人；</w:t>
      </w:r>
    </w:p>
    <w:p>
      <w:pPr>
        <w:spacing w:line="360" w:lineRule="auto"/>
        <w:ind w:firstLine="480" w:firstLineChars="200"/>
        <w:rPr>
          <w:sz w:val="24"/>
          <w:szCs w:val="24"/>
        </w:rPr>
      </w:pPr>
      <w:r>
        <w:rPr>
          <w:rFonts w:hint="eastAsia"/>
          <w:sz w:val="24"/>
          <w:szCs w:val="24"/>
        </w:rPr>
        <w:t>3）按招标人要求完成售后服务。</w:t>
      </w:r>
    </w:p>
    <w:p>
      <w:pPr>
        <w:spacing w:line="360" w:lineRule="auto"/>
        <w:ind w:firstLine="481" w:firstLineChars="200"/>
        <w:rPr>
          <w:b/>
          <w:bCs/>
          <w:sz w:val="24"/>
          <w:szCs w:val="24"/>
        </w:rPr>
      </w:pPr>
      <w:r>
        <w:rPr>
          <w:rFonts w:hint="eastAsia"/>
          <w:b/>
          <w:bCs/>
          <w:sz w:val="24"/>
          <w:szCs w:val="24"/>
        </w:rPr>
        <w:t>3.售后服务期限</w:t>
      </w:r>
    </w:p>
    <w:p>
      <w:pPr>
        <w:spacing w:line="360" w:lineRule="auto"/>
        <w:ind w:firstLine="480" w:firstLineChars="200"/>
        <w:rPr>
          <w:sz w:val="24"/>
          <w:szCs w:val="24"/>
        </w:rPr>
      </w:pPr>
      <w:r>
        <w:rPr>
          <w:rFonts w:hint="eastAsia"/>
          <w:sz w:val="24"/>
          <w:szCs w:val="24"/>
        </w:rPr>
        <w:t xml:space="preserve">本项目最后成果提交招标人后即进入售后服务期，要求由中标单位提供 </w:t>
      </w:r>
      <w:r>
        <w:rPr>
          <w:sz w:val="24"/>
          <w:szCs w:val="24"/>
        </w:rPr>
        <w:t>12</w:t>
      </w:r>
      <w:r>
        <w:rPr>
          <w:rFonts w:hint="eastAsia"/>
          <w:sz w:val="24"/>
          <w:szCs w:val="24"/>
        </w:rPr>
        <w:t xml:space="preserve"> 个月的技术支持。</w:t>
      </w:r>
    </w:p>
    <w:p>
      <w:pPr>
        <w:spacing w:line="360" w:lineRule="auto"/>
        <w:ind w:firstLine="481" w:firstLineChars="200"/>
        <w:rPr>
          <w:b/>
          <w:bCs/>
          <w:sz w:val="24"/>
          <w:szCs w:val="24"/>
        </w:rPr>
      </w:pPr>
      <w:r>
        <w:rPr>
          <w:rFonts w:hint="eastAsia"/>
          <w:b/>
          <w:bCs/>
          <w:sz w:val="24"/>
          <w:szCs w:val="24"/>
        </w:rPr>
        <w:t>（六）投标报价要求</w:t>
      </w:r>
    </w:p>
    <w:p>
      <w:pPr>
        <w:spacing w:line="360" w:lineRule="auto"/>
        <w:ind w:firstLine="481" w:firstLineChars="200"/>
        <w:rPr>
          <w:b/>
          <w:bCs/>
          <w:sz w:val="24"/>
          <w:szCs w:val="24"/>
        </w:rPr>
      </w:pPr>
      <w:r>
        <w:rPr>
          <w:rFonts w:hint="eastAsia"/>
          <w:b/>
          <w:bCs/>
          <w:sz w:val="24"/>
          <w:szCs w:val="24"/>
        </w:rPr>
        <w:t>1</w:t>
      </w:r>
      <w:r>
        <w:rPr>
          <w:b/>
          <w:bCs/>
          <w:sz w:val="24"/>
          <w:szCs w:val="24"/>
        </w:rPr>
        <w:t>.</w:t>
      </w:r>
      <w:r>
        <w:rPr>
          <w:rFonts w:hint="eastAsia"/>
          <w:b/>
          <w:bCs/>
          <w:sz w:val="24"/>
          <w:szCs w:val="24"/>
        </w:rPr>
        <w:t>计费依据</w:t>
      </w:r>
    </w:p>
    <w:p>
      <w:pPr>
        <w:spacing w:line="360" w:lineRule="auto"/>
        <w:ind w:firstLine="480" w:firstLineChars="200"/>
        <w:rPr>
          <w:sz w:val="24"/>
          <w:szCs w:val="24"/>
        </w:rPr>
      </w:pPr>
      <w:r>
        <w:rPr>
          <w:rFonts w:hint="eastAsia"/>
          <w:sz w:val="24"/>
          <w:szCs w:val="24"/>
        </w:rPr>
        <w:t>（1）中标单位负责组织</w:t>
      </w:r>
      <w:r>
        <w:rPr>
          <w:rFonts w:hint="eastAsia"/>
          <w:sz w:val="24"/>
          <w:szCs w:val="24"/>
          <w:lang w:eastAsia="zh-CN"/>
        </w:rPr>
        <w:t>龙华区2019年度-2020年度建设工程招投标情况后评估工作</w:t>
      </w:r>
      <w:r>
        <w:rPr>
          <w:rFonts w:hint="eastAsia"/>
          <w:sz w:val="24"/>
          <w:szCs w:val="24"/>
        </w:rPr>
        <w:t>。相关工作须有1名高级专家、3名具备高级专业技术职称的咨询人员及2名工程师参与，高级专家及具备高级专业技术职称的咨询人员累计参与不少于120个工作日，工程师累计参与不少于140个工作日，高级专家1200元/人/天，高级专业技术职称的咨询人员1000元/人/天，工程师800元/人/天。年度累计费用需（1200*2+1000*3）*120+800*2*140=72.8万元。</w:t>
      </w:r>
    </w:p>
    <w:p>
      <w:pPr>
        <w:spacing w:line="360" w:lineRule="auto"/>
        <w:ind w:firstLine="480" w:firstLineChars="200"/>
        <w:rPr>
          <w:sz w:val="24"/>
          <w:szCs w:val="24"/>
        </w:rPr>
      </w:pPr>
      <w:r>
        <w:rPr>
          <w:rFonts w:hint="eastAsia"/>
          <w:sz w:val="24"/>
          <w:szCs w:val="24"/>
        </w:rPr>
        <w:t>（2）中标单位在本项目研究中按规定计提管理费，管理费按人员费用的15%计，共10.92万元。</w:t>
      </w:r>
    </w:p>
    <w:p>
      <w:pPr>
        <w:spacing w:line="360" w:lineRule="auto"/>
        <w:ind w:firstLine="480" w:firstLineChars="200"/>
        <w:rPr>
          <w:sz w:val="24"/>
          <w:szCs w:val="24"/>
        </w:rPr>
      </w:pPr>
      <w:r>
        <w:rPr>
          <w:rFonts w:hint="eastAsia"/>
          <w:sz w:val="24"/>
          <w:szCs w:val="24"/>
        </w:rPr>
        <w:t>（3）税费按项目费用的7%计，税费为5.8604万。</w:t>
      </w:r>
    </w:p>
    <w:p>
      <w:pPr>
        <w:spacing w:line="360" w:lineRule="auto"/>
        <w:ind w:firstLine="481" w:firstLineChars="200"/>
        <w:rPr>
          <w:b/>
          <w:bCs/>
          <w:sz w:val="24"/>
          <w:szCs w:val="24"/>
        </w:rPr>
      </w:pPr>
      <w:r>
        <w:rPr>
          <w:rFonts w:hint="eastAsia"/>
          <w:b/>
          <w:bCs/>
          <w:sz w:val="24"/>
          <w:szCs w:val="24"/>
        </w:rPr>
        <w:t>2</w:t>
      </w:r>
      <w:r>
        <w:rPr>
          <w:b/>
          <w:bCs/>
          <w:sz w:val="24"/>
          <w:szCs w:val="24"/>
        </w:rPr>
        <w:t>.</w:t>
      </w:r>
      <w:r>
        <w:rPr>
          <w:rFonts w:hint="eastAsia"/>
          <w:b/>
          <w:bCs/>
          <w:sz w:val="24"/>
          <w:szCs w:val="24"/>
        </w:rPr>
        <w:t>报价要求</w:t>
      </w:r>
    </w:p>
    <w:p>
      <w:pPr>
        <w:spacing w:line="360" w:lineRule="auto"/>
        <w:ind w:firstLine="480" w:firstLineChars="200"/>
        <w:rPr>
          <w:rFonts w:hint="eastAsia"/>
          <w:b/>
          <w:bCs/>
          <w:sz w:val="24"/>
          <w:szCs w:val="24"/>
        </w:rPr>
      </w:pPr>
      <w:r>
        <w:rPr>
          <w:rFonts w:hint="eastAsia"/>
          <w:sz w:val="24"/>
          <w:szCs w:val="24"/>
        </w:rPr>
        <w:t>人民币捌拾玖万伍仟捌佰元整（¥89.58万元），下浮率上限为10%，投标人参与投标时须按此费用进行下浮率报价。</w:t>
      </w:r>
    </w:p>
    <w:p>
      <w:pPr>
        <w:spacing w:line="360" w:lineRule="auto"/>
        <w:ind w:firstLine="481" w:firstLineChars="200"/>
        <w:rPr>
          <w:b/>
          <w:bCs/>
          <w:sz w:val="24"/>
          <w:szCs w:val="24"/>
        </w:rPr>
      </w:pPr>
      <w:r>
        <w:rPr>
          <w:b/>
          <w:bCs/>
          <w:sz w:val="24"/>
          <w:szCs w:val="24"/>
        </w:rPr>
        <w:t>3.</w:t>
      </w:r>
      <w:r>
        <w:rPr>
          <w:rFonts w:hint="eastAsia"/>
          <w:b/>
          <w:bCs/>
          <w:sz w:val="24"/>
          <w:szCs w:val="24"/>
        </w:rPr>
        <w:t>其他</w:t>
      </w:r>
    </w:p>
    <w:p>
      <w:pPr>
        <w:spacing w:line="360" w:lineRule="auto"/>
        <w:ind w:firstLine="480" w:firstLineChars="200"/>
        <w:rPr>
          <w:sz w:val="24"/>
          <w:szCs w:val="24"/>
        </w:rPr>
      </w:pPr>
      <w:r>
        <w:rPr>
          <w:rFonts w:hint="eastAsia"/>
          <w:sz w:val="24"/>
          <w:szCs w:val="24"/>
        </w:rPr>
        <w:t>（1）本项目服务费采用包干制，应包括服务成本、法定税费和企业的利润。由企业根据招标文件所提供的资料自行测算投标报价；一经中标，投标报价总价作为中标单位与招标人签定的合同金额，合同期限内不做调整；</w:t>
      </w:r>
    </w:p>
    <w:p>
      <w:pPr>
        <w:spacing w:line="360" w:lineRule="auto"/>
        <w:ind w:firstLine="480" w:firstLineChars="200"/>
        <w:rPr>
          <w:sz w:val="24"/>
          <w:szCs w:val="24"/>
        </w:rPr>
      </w:pPr>
      <w:r>
        <w:rPr>
          <w:rFonts w:hint="eastAsia"/>
          <w:sz w:val="24"/>
          <w:szCs w:val="24"/>
        </w:rPr>
        <w:t>（2）投标人应根据本企业的成本自行决定报价，但不得以低于其企业成本的报价投标；投标方报价包括本次研究课题的考察调研费、研究人员费用、成果制作和材料损耗费、专家评审费、差旅费等。</w:t>
      </w:r>
    </w:p>
    <w:p>
      <w:pPr>
        <w:spacing w:line="360" w:lineRule="auto"/>
        <w:ind w:firstLine="480" w:firstLineChars="200"/>
        <w:rPr>
          <w:sz w:val="24"/>
          <w:szCs w:val="24"/>
        </w:rPr>
      </w:pPr>
      <w:r>
        <w:rPr>
          <w:rFonts w:hint="eastAsia"/>
          <w:sz w:val="24"/>
          <w:szCs w:val="24"/>
        </w:rPr>
        <w:t>（3）投标人的投标报价金额应精确到个位数，不得超过本项目预算限额。</w:t>
      </w:r>
    </w:p>
    <w:p>
      <w:pPr>
        <w:spacing w:line="360" w:lineRule="auto"/>
        <w:ind w:firstLine="480" w:firstLineChars="200"/>
        <w:rPr>
          <w:sz w:val="24"/>
          <w:szCs w:val="24"/>
        </w:rPr>
      </w:pPr>
      <w:r>
        <w:rPr>
          <w:rFonts w:hint="eastAsia"/>
          <w:sz w:val="24"/>
          <w:szCs w:val="24"/>
        </w:rPr>
        <w:t>（4）投标人的投标报价，应是本项目招标范围和招标文件及合同条款上所列的各项内容中所述的全部，不得以任何理由予以重复。</w:t>
      </w:r>
    </w:p>
    <w:p>
      <w:pPr>
        <w:spacing w:line="360" w:lineRule="auto"/>
        <w:ind w:firstLine="480" w:firstLineChars="200"/>
        <w:rPr>
          <w:sz w:val="24"/>
          <w:szCs w:val="24"/>
        </w:rPr>
      </w:pPr>
      <w:r>
        <w:rPr>
          <w:rFonts w:hint="eastAsia"/>
          <w:sz w:val="24"/>
          <w:szCs w:val="24"/>
        </w:rPr>
        <w:t>（5）除非招标人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spacing w:line="360" w:lineRule="auto"/>
        <w:ind w:firstLine="480" w:firstLineChars="200"/>
        <w:rPr>
          <w:sz w:val="24"/>
          <w:szCs w:val="24"/>
        </w:rPr>
      </w:pPr>
      <w:r>
        <w:rPr>
          <w:rFonts w:hint="eastAsia"/>
          <w:sz w:val="24"/>
          <w:szCs w:val="24"/>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1" w:firstLineChars="200"/>
        <w:rPr>
          <w:b/>
          <w:bCs/>
          <w:sz w:val="24"/>
          <w:szCs w:val="24"/>
        </w:rPr>
      </w:pPr>
      <w:r>
        <w:rPr>
          <w:rFonts w:hint="eastAsia"/>
          <w:b/>
          <w:bCs/>
          <w:sz w:val="24"/>
          <w:szCs w:val="24"/>
        </w:rPr>
        <w:t>（七）项目管理要求</w:t>
      </w:r>
    </w:p>
    <w:p>
      <w:pPr>
        <w:spacing w:line="360" w:lineRule="auto"/>
        <w:ind w:firstLine="481" w:firstLineChars="200"/>
        <w:rPr>
          <w:b/>
          <w:bCs/>
          <w:sz w:val="24"/>
          <w:szCs w:val="24"/>
        </w:rPr>
      </w:pPr>
      <w:r>
        <w:rPr>
          <w:rFonts w:hint="eastAsia"/>
          <w:b/>
          <w:bCs/>
          <w:sz w:val="24"/>
          <w:szCs w:val="24"/>
        </w:rPr>
        <w:t>1.组织实施要求</w:t>
      </w:r>
    </w:p>
    <w:p>
      <w:pPr>
        <w:spacing w:line="360" w:lineRule="auto"/>
        <w:ind w:firstLine="480" w:firstLineChars="200"/>
        <w:rPr>
          <w:sz w:val="24"/>
          <w:szCs w:val="24"/>
        </w:rPr>
      </w:pPr>
      <w:bookmarkStart w:id="546" w:name="_Toc34142785"/>
      <w:r>
        <w:rPr>
          <w:rFonts w:hint="eastAsia"/>
          <w:sz w:val="24"/>
          <w:szCs w:val="24"/>
        </w:rPr>
        <w:t>（1）评估准备</w:t>
      </w:r>
      <w:bookmarkEnd w:id="546"/>
    </w:p>
    <w:p>
      <w:pPr>
        <w:spacing w:line="360" w:lineRule="auto"/>
        <w:ind w:firstLine="480" w:firstLineChars="200"/>
        <w:rPr>
          <w:sz w:val="24"/>
          <w:szCs w:val="24"/>
        </w:rPr>
      </w:pPr>
      <w:r>
        <w:rPr>
          <w:rFonts w:hint="eastAsia"/>
          <w:sz w:val="24"/>
          <w:szCs w:val="24"/>
        </w:rPr>
        <w:t>1）制定后评估工作方案，明确工作标准，以确保后评估工作的科学、客观、公正性；</w:t>
      </w:r>
    </w:p>
    <w:p>
      <w:pPr>
        <w:spacing w:line="360" w:lineRule="auto"/>
        <w:ind w:firstLine="480" w:firstLineChars="200"/>
        <w:rPr>
          <w:sz w:val="24"/>
          <w:szCs w:val="24"/>
        </w:rPr>
      </w:pPr>
      <w:r>
        <w:rPr>
          <w:rFonts w:hint="eastAsia"/>
          <w:sz w:val="24"/>
          <w:szCs w:val="24"/>
        </w:rPr>
        <w:t>2）基础资料准备：招标投标过程资料收集整理、相关法律法规和规范性文件准备；</w:t>
      </w:r>
    </w:p>
    <w:p>
      <w:pPr>
        <w:spacing w:line="360" w:lineRule="auto"/>
        <w:ind w:firstLine="480" w:firstLineChars="200"/>
        <w:rPr>
          <w:sz w:val="24"/>
          <w:szCs w:val="24"/>
        </w:rPr>
      </w:pPr>
      <w:r>
        <w:rPr>
          <w:rFonts w:hint="eastAsia"/>
          <w:sz w:val="24"/>
          <w:szCs w:val="24"/>
        </w:rPr>
        <w:t>3）后评估工作人员（人员就位、任命工作组</w:t>
      </w:r>
      <w:r>
        <w:rPr>
          <w:rFonts w:hint="eastAsia"/>
          <w:sz w:val="24"/>
          <w:szCs w:val="24"/>
          <w:lang w:eastAsia="zh-CN"/>
        </w:rPr>
        <w:t>组</w:t>
      </w:r>
      <w:r>
        <w:rPr>
          <w:rFonts w:hint="eastAsia"/>
          <w:sz w:val="24"/>
          <w:szCs w:val="24"/>
        </w:rPr>
        <w:t>长、工作分工）及所需办公条件准备。</w:t>
      </w:r>
    </w:p>
    <w:p>
      <w:pPr>
        <w:spacing w:line="360" w:lineRule="auto"/>
        <w:ind w:firstLine="480" w:firstLineChars="200"/>
        <w:rPr>
          <w:sz w:val="24"/>
          <w:szCs w:val="24"/>
        </w:rPr>
      </w:pPr>
      <w:bookmarkStart w:id="547" w:name="_Toc34142786"/>
      <w:r>
        <w:rPr>
          <w:rFonts w:hint="eastAsia"/>
          <w:sz w:val="24"/>
          <w:szCs w:val="24"/>
        </w:rPr>
        <w:t>（2）初步评估</w:t>
      </w:r>
      <w:bookmarkEnd w:id="547"/>
    </w:p>
    <w:p>
      <w:pPr>
        <w:spacing w:line="360" w:lineRule="auto"/>
        <w:ind w:firstLine="480" w:firstLineChars="200"/>
        <w:rPr>
          <w:sz w:val="24"/>
          <w:szCs w:val="24"/>
        </w:rPr>
      </w:pPr>
      <w:r>
        <w:rPr>
          <w:rFonts w:hint="eastAsia"/>
          <w:sz w:val="24"/>
          <w:szCs w:val="24"/>
        </w:rPr>
        <w:t>按标准进行初步评估，初步评估采用一次性评估方案，即评估工作人员按标准完成项目的后评估后，不再另外安排工作人员进行复核，所有项目初步评估结束后，按照1</w:t>
      </w:r>
      <w:r>
        <w:rPr>
          <w:sz w:val="24"/>
          <w:szCs w:val="24"/>
        </w:rPr>
        <w:t>0</w:t>
      </w:r>
      <w:r>
        <w:rPr>
          <w:rFonts w:hint="eastAsia"/>
          <w:sz w:val="24"/>
          <w:szCs w:val="24"/>
        </w:rPr>
        <w:t>%的比例抽查初步评估结果。</w:t>
      </w:r>
    </w:p>
    <w:p>
      <w:pPr>
        <w:spacing w:line="360" w:lineRule="auto"/>
        <w:ind w:firstLine="480" w:firstLineChars="200"/>
        <w:rPr>
          <w:sz w:val="24"/>
          <w:szCs w:val="24"/>
        </w:rPr>
      </w:pPr>
      <w:r>
        <w:rPr>
          <w:rFonts w:hint="eastAsia"/>
          <w:sz w:val="24"/>
          <w:szCs w:val="24"/>
        </w:rPr>
        <w:t>初步评估结束后按照1</w:t>
      </w:r>
      <w:r>
        <w:rPr>
          <w:sz w:val="24"/>
          <w:szCs w:val="24"/>
        </w:rPr>
        <w:t>0</w:t>
      </w:r>
      <w:r>
        <w:rPr>
          <w:rFonts w:hint="eastAsia"/>
          <w:sz w:val="24"/>
          <w:szCs w:val="24"/>
        </w:rPr>
        <w:t>%的比例对初步评估进行复核时，由评估工作组</w:t>
      </w:r>
      <w:r>
        <w:rPr>
          <w:rFonts w:hint="eastAsia"/>
          <w:sz w:val="24"/>
          <w:szCs w:val="24"/>
          <w:lang w:eastAsia="zh-CN"/>
        </w:rPr>
        <w:t>组</w:t>
      </w:r>
      <w:r>
        <w:rPr>
          <w:rFonts w:hint="eastAsia"/>
          <w:sz w:val="24"/>
          <w:szCs w:val="24"/>
        </w:rPr>
        <w:t>长组织进行交叉复核（即，本项目评估人员不参与本项目复核工作）。</w:t>
      </w:r>
    </w:p>
    <w:p>
      <w:pPr>
        <w:spacing w:line="360" w:lineRule="auto"/>
        <w:ind w:firstLine="480" w:firstLineChars="200"/>
        <w:rPr>
          <w:sz w:val="24"/>
          <w:szCs w:val="24"/>
        </w:rPr>
      </w:pPr>
      <w:bookmarkStart w:id="548" w:name="_Toc34142787"/>
      <w:r>
        <w:rPr>
          <w:rFonts w:hint="eastAsia"/>
          <w:sz w:val="24"/>
          <w:szCs w:val="24"/>
        </w:rPr>
        <w:t>（3）详细评估</w:t>
      </w:r>
      <w:bookmarkEnd w:id="548"/>
    </w:p>
    <w:p>
      <w:pPr>
        <w:spacing w:line="360" w:lineRule="auto"/>
        <w:ind w:firstLine="480" w:firstLineChars="200"/>
        <w:rPr>
          <w:sz w:val="24"/>
          <w:szCs w:val="24"/>
        </w:rPr>
      </w:pPr>
      <w:r>
        <w:rPr>
          <w:rFonts w:hint="eastAsia"/>
          <w:sz w:val="24"/>
          <w:szCs w:val="24"/>
        </w:rPr>
        <w:t>1）初步评估工作结束后，确定需要进行详细评估的项目清单；</w:t>
      </w:r>
    </w:p>
    <w:p>
      <w:pPr>
        <w:spacing w:line="360" w:lineRule="auto"/>
        <w:ind w:firstLine="480" w:firstLineChars="200"/>
        <w:rPr>
          <w:sz w:val="24"/>
          <w:szCs w:val="24"/>
        </w:rPr>
      </w:pPr>
      <w:r>
        <w:rPr>
          <w:rFonts w:hint="eastAsia"/>
          <w:sz w:val="24"/>
          <w:szCs w:val="24"/>
        </w:rPr>
        <w:t>2）组建初步评估工作小组，确定成员、任命工作组</w:t>
      </w:r>
      <w:r>
        <w:rPr>
          <w:rFonts w:hint="eastAsia"/>
          <w:sz w:val="24"/>
          <w:szCs w:val="24"/>
          <w:lang w:eastAsia="zh-CN"/>
        </w:rPr>
        <w:t>组</w:t>
      </w:r>
      <w:r>
        <w:rPr>
          <w:rFonts w:hint="eastAsia"/>
          <w:sz w:val="24"/>
          <w:szCs w:val="24"/>
        </w:rPr>
        <w:t>长及明确责任分工，参与详细评估的工作人员应当具有工程建设项目招标投标工作或管理经验，熟悉相关法律法规和工程招标投标专业知识，详细评估过程中的问题采取“集体议事法”，即由评估工作组</w:t>
      </w:r>
      <w:r>
        <w:rPr>
          <w:rFonts w:hint="eastAsia"/>
          <w:sz w:val="24"/>
          <w:szCs w:val="24"/>
          <w:lang w:eastAsia="zh-CN"/>
        </w:rPr>
        <w:t>组</w:t>
      </w:r>
      <w:r>
        <w:rPr>
          <w:rFonts w:hint="eastAsia"/>
          <w:sz w:val="24"/>
          <w:szCs w:val="24"/>
        </w:rPr>
        <w:t>长组织成员对问题进行分析、判断，必要时可聘请外部专家进行咨询；</w:t>
      </w:r>
    </w:p>
    <w:p>
      <w:pPr>
        <w:spacing w:line="360" w:lineRule="auto"/>
        <w:ind w:firstLine="480" w:firstLineChars="200"/>
        <w:rPr>
          <w:sz w:val="24"/>
          <w:szCs w:val="24"/>
        </w:rPr>
      </w:pPr>
      <w:r>
        <w:rPr>
          <w:rFonts w:hint="eastAsia"/>
          <w:sz w:val="24"/>
          <w:szCs w:val="24"/>
        </w:rPr>
        <w:t>3）详细评估结论采用定性描述的方式，结论描述应科学、公正，除非有明确法规依据或充分证据能够得出确定性结论，否则，宜采用：“疑似（涉嫌）</w:t>
      </w:r>
      <w:r>
        <w:rPr>
          <w:sz w:val="24"/>
          <w:szCs w:val="24"/>
        </w:rPr>
        <w:t>……</w:t>
      </w:r>
      <w:r>
        <w:rPr>
          <w:rFonts w:hint="eastAsia"/>
          <w:sz w:val="24"/>
          <w:szCs w:val="24"/>
        </w:rPr>
        <w:t>；具有</w:t>
      </w:r>
      <w:r>
        <w:rPr>
          <w:sz w:val="24"/>
          <w:szCs w:val="24"/>
        </w:rPr>
        <w:t>……</w:t>
      </w:r>
      <w:r>
        <w:rPr>
          <w:rFonts w:hint="eastAsia"/>
          <w:sz w:val="24"/>
          <w:szCs w:val="24"/>
        </w:rPr>
        <w:t>风险”等判定方式。</w:t>
      </w:r>
    </w:p>
    <w:p>
      <w:pPr>
        <w:spacing w:line="360" w:lineRule="auto"/>
        <w:ind w:firstLine="480" w:firstLineChars="200"/>
        <w:rPr>
          <w:sz w:val="24"/>
          <w:szCs w:val="24"/>
        </w:rPr>
      </w:pPr>
      <w:bookmarkStart w:id="549" w:name="_Toc34142788"/>
      <w:r>
        <w:rPr>
          <w:rFonts w:hint="eastAsia"/>
          <w:sz w:val="24"/>
          <w:szCs w:val="24"/>
        </w:rPr>
        <w:t>（4）总结及报告编制</w:t>
      </w:r>
      <w:bookmarkEnd w:id="549"/>
    </w:p>
    <w:p>
      <w:pPr>
        <w:spacing w:line="360" w:lineRule="auto"/>
        <w:ind w:firstLine="480" w:firstLineChars="200"/>
        <w:rPr>
          <w:sz w:val="24"/>
          <w:szCs w:val="24"/>
        </w:rPr>
      </w:pPr>
      <w:r>
        <w:rPr>
          <w:rFonts w:hint="eastAsia"/>
          <w:sz w:val="24"/>
          <w:szCs w:val="24"/>
        </w:rPr>
        <w:t>全部（初步评估、详细评估）工作完成后，编制工作总结和评估报告。</w:t>
      </w:r>
    </w:p>
    <w:p>
      <w:pPr>
        <w:spacing w:line="360" w:lineRule="auto"/>
        <w:ind w:firstLine="481" w:firstLineChars="200"/>
        <w:rPr>
          <w:b/>
          <w:bCs/>
          <w:sz w:val="24"/>
          <w:szCs w:val="24"/>
        </w:rPr>
      </w:pPr>
      <w:r>
        <w:rPr>
          <w:rFonts w:hint="eastAsia"/>
          <w:b/>
          <w:bCs/>
          <w:sz w:val="24"/>
          <w:szCs w:val="24"/>
        </w:rPr>
        <w:t>2.项目服务期限要求</w:t>
      </w:r>
    </w:p>
    <w:p>
      <w:pPr>
        <w:spacing w:line="360" w:lineRule="auto"/>
        <w:ind w:firstLine="480" w:firstLineChars="200"/>
        <w:rPr>
          <w:sz w:val="24"/>
          <w:szCs w:val="24"/>
        </w:rPr>
      </w:pPr>
      <w:r>
        <w:rPr>
          <w:rFonts w:hint="eastAsia"/>
          <w:sz w:val="24"/>
          <w:szCs w:val="24"/>
        </w:rPr>
        <w:t>（1）后评估技术服务工期要求：</w:t>
      </w:r>
      <w:r>
        <w:rPr>
          <w:rFonts w:hint="eastAsia" w:ascii="宋体"/>
          <w:b/>
        </w:rPr>
        <w:t>2020年10月底完成2019年度标后评估工作，2021年3月底完成2020年度标后评估工作</w:t>
      </w:r>
      <w:r>
        <w:rPr>
          <w:rFonts w:hint="eastAsia" w:ascii="宋体"/>
          <w:bCs/>
        </w:rPr>
        <w:t>。</w:t>
      </w:r>
    </w:p>
    <w:p>
      <w:pPr>
        <w:spacing w:line="360" w:lineRule="auto"/>
        <w:ind w:firstLine="480" w:firstLineChars="200"/>
        <w:rPr>
          <w:sz w:val="24"/>
          <w:szCs w:val="24"/>
        </w:rPr>
      </w:pPr>
      <w:r>
        <w:rPr>
          <w:rFonts w:hint="eastAsia"/>
          <w:sz w:val="24"/>
          <w:szCs w:val="24"/>
        </w:rPr>
        <w:t>（2）后续服务要求：后续服务时间为后评估技术服务工作完成后1年。</w:t>
      </w:r>
    </w:p>
    <w:p>
      <w:pPr>
        <w:spacing w:line="360" w:lineRule="auto"/>
        <w:ind w:firstLine="481" w:firstLineChars="200"/>
        <w:rPr>
          <w:b/>
          <w:bCs/>
          <w:sz w:val="24"/>
          <w:szCs w:val="24"/>
        </w:rPr>
      </w:pPr>
      <w:r>
        <w:rPr>
          <w:rFonts w:hint="eastAsia"/>
          <w:b/>
          <w:bCs/>
          <w:sz w:val="24"/>
          <w:szCs w:val="24"/>
        </w:rPr>
        <w:t>3</w:t>
      </w:r>
      <w:r>
        <w:rPr>
          <w:b/>
          <w:bCs/>
          <w:sz w:val="24"/>
          <w:szCs w:val="24"/>
        </w:rPr>
        <w:t>.</w:t>
      </w:r>
      <w:r>
        <w:rPr>
          <w:rFonts w:hint="eastAsia"/>
          <w:b/>
          <w:bCs/>
          <w:sz w:val="24"/>
          <w:szCs w:val="24"/>
        </w:rPr>
        <w:t>提交成果要求</w:t>
      </w:r>
    </w:p>
    <w:p>
      <w:pPr>
        <w:spacing w:line="360" w:lineRule="auto"/>
        <w:ind w:firstLine="480" w:firstLineChars="200"/>
        <w:rPr>
          <w:sz w:val="24"/>
          <w:szCs w:val="24"/>
        </w:rPr>
      </w:pPr>
      <w:r>
        <w:rPr>
          <w:rFonts w:hint="eastAsia"/>
          <w:sz w:val="24"/>
          <w:szCs w:val="24"/>
        </w:rPr>
        <w:t>（1）《评估工作标准》（原件4套，电子版1套）。</w:t>
      </w:r>
    </w:p>
    <w:p>
      <w:pPr>
        <w:spacing w:line="360" w:lineRule="auto"/>
        <w:ind w:firstLine="480" w:firstLineChars="200"/>
        <w:rPr>
          <w:sz w:val="24"/>
          <w:szCs w:val="24"/>
        </w:rPr>
      </w:pPr>
      <w:r>
        <w:rPr>
          <w:rFonts w:hint="eastAsia"/>
          <w:sz w:val="24"/>
          <w:szCs w:val="24"/>
        </w:rPr>
        <w:t>（2）《评估报告》（包含总报告、单个项目评估情况表、清标复核情况表，原件4套，电子版1套）。</w:t>
      </w:r>
    </w:p>
    <w:p>
      <w:pPr>
        <w:spacing w:line="360" w:lineRule="auto"/>
        <w:ind w:firstLine="481" w:firstLineChars="200"/>
        <w:rPr>
          <w:b/>
          <w:bCs/>
          <w:sz w:val="24"/>
          <w:szCs w:val="24"/>
        </w:rPr>
      </w:pPr>
      <w:r>
        <w:rPr>
          <w:rFonts w:hint="eastAsia"/>
          <w:b/>
          <w:bCs/>
          <w:sz w:val="24"/>
          <w:szCs w:val="24"/>
        </w:rPr>
        <w:t>4.项目付款要求</w:t>
      </w:r>
    </w:p>
    <w:p>
      <w:pPr>
        <w:spacing w:line="360" w:lineRule="auto"/>
        <w:ind w:firstLine="480" w:firstLineChars="200"/>
        <w:rPr>
          <w:sz w:val="24"/>
          <w:szCs w:val="24"/>
        </w:rPr>
      </w:pPr>
      <w:r>
        <w:rPr>
          <w:rFonts w:hint="eastAsia"/>
          <w:sz w:val="24"/>
          <w:szCs w:val="24"/>
        </w:rPr>
        <w:t>项目按合同相关规定进行分工作年度进行付款。</w:t>
      </w:r>
    </w:p>
    <w:p>
      <w:pPr>
        <w:spacing w:line="360" w:lineRule="auto"/>
        <w:ind w:firstLine="480" w:firstLineChars="200"/>
        <w:rPr>
          <w:sz w:val="24"/>
          <w:szCs w:val="24"/>
        </w:rPr>
      </w:pPr>
      <w:r>
        <w:rPr>
          <w:rFonts w:hint="eastAsia"/>
          <w:sz w:val="24"/>
          <w:szCs w:val="24"/>
        </w:rPr>
        <w:t>在中标人完成当年度合同约定的全部技术服务工作且提交最终研究成果后，向中标人支付合同总费用的100%。</w:t>
      </w:r>
    </w:p>
    <w:p>
      <w:pPr>
        <w:spacing w:line="360" w:lineRule="auto"/>
        <w:ind w:firstLine="481" w:firstLineChars="200"/>
        <w:rPr>
          <w:b/>
          <w:bCs/>
          <w:sz w:val="24"/>
          <w:szCs w:val="24"/>
        </w:rPr>
      </w:pPr>
      <w:r>
        <w:rPr>
          <w:rFonts w:hint="eastAsia"/>
          <w:b/>
          <w:bCs/>
          <w:sz w:val="24"/>
          <w:szCs w:val="24"/>
        </w:rPr>
        <w:t>5. 合同方式</w:t>
      </w:r>
    </w:p>
    <w:p>
      <w:pPr>
        <w:spacing w:line="360" w:lineRule="auto"/>
        <w:ind w:firstLine="480" w:firstLineChars="200"/>
        <w:rPr>
          <w:sz w:val="24"/>
          <w:szCs w:val="24"/>
        </w:rPr>
      </w:pPr>
      <w:r>
        <w:rPr>
          <w:rFonts w:hint="eastAsia"/>
          <w:sz w:val="24"/>
          <w:szCs w:val="24"/>
        </w:rPr>
        <w:t>固定总价合同，投标报价金额作为中标单位与招标人签订的合同金额，合同金额包含本项目上述所列工作内容所需的全部费用。</w:t>
      </w:r>
    </w:p>
    <w:p>
      <w:pPr>
        <w:spacing w:line="360" w:lineRule="auto"/>
        <w:ind w:firstLine="480" w:firstLineChars="200"/>
        <w:rPr>
          <w:sz w:val="24"/>
          <w:szCs w:val="24"/>
        </w:rPr>
      </w:pPr>
      <w:r>
        <w:rPr>
          <w:rFonts w:hint="eastAsia"/>
          <w:sz w:val="24"/>
          <w:szCs w:val="24"/>
        </w:rPr>
        <w:t>（注意：如因政府预算调整、资金计划未能及时下达等原因导致未能及时付款，招标方不需承担任何责任，中标方不得以此为由向招标方索赔）</w:t>
      </w:r>
    </w:p>
    <w:sectPr>
      <w:pgSz w:w="11906" w:h="16838"/>
      <w:pgMar w:top="1701" w:right="1588" w:bottom="1304" w:left="1588"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DejaVu Sans"/>
    <w:panose1 w:val="020B0604020202020204"/>
    <w:charset w:val="86"/>
    <w:family w:val="swiss"/>
    <w:pitch w:val="default"/>
    <w:sig w:usb0="00000000" w:usb1="00000000" w:usb2="0000003F" w:usb3="00000000" w:csb0="003F01FF"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130"/>
      </w:rPr>
    </w:pPr>
  </w:p>
  <w:p>
    <w:pPr>
      <w:pStyle w:val="52"/>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130"/>
      </w:rPr>
    </w:pPr>
    <w:r>
      <w:fldChar w:fldCharType="begin"/>
    </w:r>
    <w:r>
      <w:rPr>
        <w:rStyle w:val="130"/>
      </w:rPr>
      <w:instrText xml:space="preserve">PAGE  </w:instrText>
    </w:r>
    <w:r>
      <w:fldChar w:fldCharType="separate"/>
    </w:r>
    <w:r>
      <w:rPr>
        <w:rStyle w:val="130"/>
      </w:rPr>
      <w:t>69</w:t>
    </w:r>
    <w:r>
      <w:fldChar w:fldCharType="end"/>
    </w:r>
  </w:p>
  <w:p>
    <w:pPr>
      <w:pStyle w:val="52"/>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2"/>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5"/>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4"/>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10">
    <w:nsid w:val="59C35809"/>
    <w:multiLevelType w:val="singleLevel"/>
    <w:tmpl w:val="59C35809"/>
    <w:lvl w:ilvl="0" w:tentative="0">
      <w:start w:val="12"/>
      <w:numFmt w:val="chineseCounting"/>
      <w:suff w:val="space"/>
      <w:lvlText w:val="第%1条"/>
      <w:lvlJc w:val="left"/>
    </w:lvl>
  </w:abstractNum>
  <w:abstractNum w:abstractNumId="11">
    <w:nsid w:val="61BD4EAF"/>
    <w:multiLevelType w:val="multilevel"/>
    <w:tmpl w:val="61BD4EAF"/>
    <w:lvl w:ilvl="0" w:tentative="0">
      <w:start w:val="1"/>
      <w:numFmt w:val="decimal"/>
      <w:pStyle w:val="24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661E6395"/>
    <w:multiLevelType w:val="multilevel"/>
    <w:tmpl w:val="661E6395"/>
    <w:lvl w:ilvl="0" w:tentative="0">
      <w:start w:val="1"/>
      <w:numFmt w:val="decimal"/>
      <w:pStyle w:val="158"/>
      <w:lvlText w:val="3.1.%1."/>
      <w:lvlJc w:val="left"/>
      <w:pPr>
        <w:tabs>
          <w:tab w:val="left" w:pos="907"/>
        </w:tabs>
        <w:ind w:left="907" w:hanging="907"/>
      </w:pPr>
      <w:rPr>
        <w:rFonts w:hint="eastAsia"/>
        <w:b w:val="0"/>
      </w:rPr>
    </w:lvl>
    <w:lvl w:ilvl="1" w:tentative="0">
      <w:start w:val="1"/>
      <w:numFmt w:val="decimal"/>
      <w:lvlText w:val="%1.%2."/>
      <w:lvlJc w:val="left"/>
      <w:pPr>
        <w:tabs>
          <w:tab w:val="left" w:pos="907"/>
        </w:tabs>
        <w:ind w:left="907" w:hanging="907"/>
      </w:pPr>
      <w:rPr>
        <w:rFonts w:hint="default" w:ascii="Times New Roman" w:hAnsi="Times New Roman" w:cs="Times New Roman"/>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07"/>
        </w:tabs>
        <w:ind w:left="907" w:hanging="907"/>
      </w:pPr>
      <w:rPr>
        <w:rFonts w:hint="eastAsia"/>
      </w:rPr>
    </w:lvl>
    <w:lvl w:ilvl="5" w:tentative="0">
      <w:start w:val="1"/>
      <w:numFmt w:val="decimal"/>
      <w:lvlText w:val="%1.%2.%3.%4.%5.%6."/>
      <w:lvlJc w:val="left"/>
      <w:pPr>
        <w:tabs>
          <w:tab w:val="left" w:pos="907"/>
        </w:tabs>
        <w:ind w:left="907" w:hanging="907"/>
      </w:pPr>
      <w:rPr>
        <w:rFonts w:hint="eastAsia"/>
        <w:color w:val="auto"/>
      </w:rPr>
    </w:lvl>
    <w:lvl w:ilvl="6" w:tentative="0">
      <w:start w:val="1"/>
      <w:numFmt w:val="decimal"/>
      <w:lvlText w:val="%1.%2.%3.%4.%5.%6.%7."/>
      <w:lvlJc w:val="left"/>
      <w:pPr>
        <w:tabs>
          <w:tab w:val="left" w:pos="907"/>
        </w:tabs>
        <w:ind w:left="907" w:hanging="907"/>
      </w:pPr>
      <w:rPr>
        <w:rFonts w:hint="eastAsia"/>
      </w:rPr>
    </w:lvl>
    <w:lvl w:ilvl="7" w:tentative="0">
      <w:start w:val="1"/>
      <w:numFmt w:val="decimal"/>
      <w:lvlText w:val="%1.%2.%3.%4.%5.%6.%7.%8."/>
      <w:lvlJc w:val="left"/>
      <w:pPr>
        <w:tabs>
          <w:tab w:val="left" w:pos="907"/>
        </w:tabs>
        <w:ind w:left="907" w:hanging="907"/>
      </w:pPr>
      <w:rPr>
        <w:rFonts w:hint="eastAsia"/>
      </w:rPr>
    </w:lvl>
    <w:lvl w:ilvl="8" w:tentative="0">
      <w:start w:val="1"/>
      <w:numFmt w:val="decimal"/>
      <w:lvlText w:val="%1.%2.%3.%4.%5.%6.%7.%8.%9."/>
      <w:lvlJc w:val="left"/>
      <w:pPr>
        <w:tabs>
          <w:tab w:val="left" w:pos="907"/>
        </w:tabs>
        <w:ind w:left="907" w:hanging="907"/>
      </w:pPr>
      <w:rPr>
        <w:rFonts w:hint="eastAsia"/>
      </w:rPr>
    </w:lvl>
  </w:abstractNum>
  <w:abstractNum w:abstractNumId="13">
    <w:nsid w:val="73887025"/>
    <w:multiLevelType w:val="multilevel"/>
    <w:tmpl w:val="73887025"/>
    <w:lvl w:ilvl="0" w:tentative="0">
      <w:start w:val="1"/>
      <w:numFmt w:val="decimal"/>
      <w:pStyle w:val="194"/>
      <w:suff w:val="nothing"/>
      <w:lvlText w:val="%1."/>
      <w:lvlJc w:val="left"/>
      <w:pPr>
        <w:ind w:left="180" w:firstLine="0"/>
      </w:pPr>
      <w:rPr>
        <w:rFonts w:hint="eastAsia" w:ascii="宋体" w:hAnsi="宋体" w:eastAsia="宋体"/>
        <w:b w:val="0"/>
        <w:i w:val="0"/>
        <w:caps w:val="0"/>
        <w:strike w:val="0"/>
        <w:dstrike w:val="0"/>
        <w:outline w:val="0"/>
        <w:shadow w:val="0"/>
        <w:emboss w:val="0"/>
        <w:imprint w:val="0"/>
        <w:vanish w:val="0"/>
        <w:spacing w:val="0"/>
        <w:position w:val="0"/>
        <w:sz w:val="24"/>
        <w:szCs w:val="24"/>
        <w:vertAlign w:val="baseline"/>
      </w:rPr>
    </w:lvl>
    <w:lvl w:ilvl="1" w:tentative="0">
      <w:start w:val="1"/>
      <w:numFmt w:val="decimal"/>
      <w:pStyle w:val="251"/>
      <w:suff w:val="nothing"/>
      <w:lvlText w:val="%1.%2"/>
      <w:lvlJc w:val="left"/>
      <w:pPr>
        <w:ind w:left="4736" w:hanging="3836"/>
      </w:pPr>
      <w:rPr>
        <w:rFonts w:hint="eastAsia" w:cs="Times New Roman"/>
        <w:b w:val="0"/>
        <w:bCs w:val="0"/>
        <w:i w:val="0"/>
        <w:iCs w:val="0"/>
        <w:caps w:val="0"/>
        <w:smallCaps w:val="0"/>
        <w:strike w:val="0"/>
        <w:dstrike w:val="0"/>
        <w:outline w:val="0"/>
        <w:shadow w:val="0"/>
        <w:emboss w:val="0"/>
        <w:imprint w:val="0"/>
        <w:vanish w:val="0"/>
        <w:spacing w:val="0"/>
        <w:position w:val="0"/>
        <w:sz w:val="24"/>
        <w:szCs w:val="24"/>
        <w:u w:val="none"/>
        <w:vertAlign w:val="baseline"/>
      </w:rPr>
    </w:lvl>
    <w:lvl w:ilvl="2" w:tentative="0">
      <w:start w:val="1"/>
      <w:numFmt w:val="decimal"/>
      <w:pStyle w:val="220"/>
      <w:suff w:val="nothing"/>
      <w:lvlText w:val="%3）"/>
      <w:lvlJc w:val="left"/>
      <w:pPr>
        <w:ind w:left="890" w:hanging="170"/>
      </w:pPr>
      <w:rPr>
        <w:b w:val="0"/>
        <w:i w:val="0"/>
        <w:strike w:val="0"/>
        <w:outline w:val="0"/>
        <w:color w:val="000000"/>
      </w:rPr>
    </w:lvl>
    <w:lvl w:ilvl="3" w:tentative="0">
      <w:start w:val="1"/>
      <w:numFmt w:val="decimal"/>
      <w:pStyle w:val="254"/>
      <w:suff w:val="nothing"/>
      <w:lvlText w:val="%1.%2.%3.%4"/>
      <w:lvlJc w:val="left"/>
      <w:pPr>
        <w:ind w:left="284" w:hanging="227"/>
      </w:pPr>
      <w:rPr>
        <w:rFonts w:hint="eastAsia"/>
        <w:b w:val="0"/>
        <w:i w:val="0"/>
      </w:rPr>
    </w:lvl>
    <w:lvl w:ilvl="4" w:tentative="0">
      <w:start w:val="1"/>
      <w:numFmt w:val="decimal"/>
      <w:pStyle w:val="219"/>
      <w:suff w:val="nothing"/>
      <w:lvlText w:val="%1.%2.%3.%4.%5"/>
      <w:lvlJc w:val="left"/>
      <w:pPr>
        <w:ind w:left="397" w:hanging="340"/>
      </w:pPr>
      <w:rPr>
        <w:rFonts w:hint="eastAsia" w:ascii="宋体" w:eastAsia="宋体"/>
        <w:b w:val="0"/>
        <w:i w:val="0"/>
        <w:caps w:val="0"/>
        <w:strike w:val="0"/>
        <w:dstrike w:val="0"/>
        <w:outline w:val="0"/>
        <w:shadow w:val="0"/>
        <w:emboss w:val="0"/>
        <w:imprint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11"/>
    <w:rsid w:val="0002209F"/>
    <w:rsid w:val="000258A5"/>
    <w:rsid w:val="000277F4"/>
    <w:rsid w:val="000454DE"/>
    <w:rsid w:val="000729DC"/>
    <w:rsid w:val="000752F0"/>
    <w:rsid w:val="00080D68"/>
    <w:rsid w:val="0009379F"/>
    <w:rsid w:val="0009421C"/>
    <w:rsid w:val="00096E9E"/>
    <w:rsid w:val="000A12B4"/>
    <w:rsid w:val="000A7EA7"/>
    <w:rsid w:val="000A7FBA"/>
    <w:rsid w:val="000C18FD"/>
    <w:rsid w:val="000C23C5"/>
    <w:rsid w:val="000D3B51"/>
    <w:rsid w:val="000D50D5"/>
    <w:rsid w:val="000D73E1"/>
    <w:rsid w:val="000E36DE"/>
    <w:rsid w:val="000F1938"/>
    <w:rsid w:val="000F3D55"/>
    <w:rsid w:val="0011780B"/>
    <w:rsid w:val="0012673D"/>
    <w:rsid w:val="00130CD9"/>
    <w:rsid w:val="00132655"/>
    <w:rsid w:val="00137830"/>
    <w:rsid w:val="00137D0F"/>
    <w:rsid w:val="001514BF"/>
    <w:rsid w:val="001541F9"/>
    <w:rsid w:val="00164C4B"/>
    <w:rsid w:val="00175F3F"/>
    <w:rsid w:val="0018315F"/>
    <w:rsid w:val="00192972"/>
    <w:rsid w:val="001A4BC8"/>
    <w:rsid w:val="001C0ADF"/>
    <w:rsid w:val="001F435D"/>
    <w:rsid w:val="00207115"/>
    <w:rsid w:val="0023323C"/>
    <w:rsid w:val="002352CE"/>
    <w:rsid w:val="0023585A"/>
    <w:rsid w:val="0027367E"/>
    <w:rsid w:val="002744DE"/>
    <w:rsid w:val="00291D63"/>
    <w:rsid w:val="002C0542"/>
    <w:rsid w:val="002C3DD1"/>
    <w:rsid w:val="002D4E93"/>
    <w:rsid w:val="002E1CE0"/>
    <w:rsid w:val="002F226C"/>
    <w:rsid w:val="002F2C4E"/>
    <w:rsid w:val="003039F6"/>
    <w:rsid w:val="00312BCA"/>
    <w:rsid w:val="00315FE0"/>
    <w:rsid w:val="003225F0"/>
    <w:rsid w:val="003316B7"/>
    <w:rsid w:val="00352185"/>
    <w:rsid w:val="003536AE"/>
    <w:rsid w:val="00376B98"/>
    <w:rsid w:val="003A0115"/>
    <w:rsid w:val="003A11AC"/>
    <w:rsid w:val="003A59DC"/>
    <w:rsid w:val="003C5BFD"/>
    <w:rsid w:val="003C752C"/>
    <w:rsid w:val="003F0BC9"/>
    <w:rsid w:val="003F195C"/>
    <w:rsid w:val="003F5883"/>
    <w:rsid w:val="003F6D07"/>
    <w:rsid w:val="00401664"/>
    <w:rsid w:val="00424D38"/>
    <w:rsid w:val="00427E06"/>
    <w:rsid w:val="00436D5E"/>
    <w:rsid w:val="00441A96"/>
    <w:rsid w:val="00471C65"/>
    <w:rsid w:val="00483915"/>
    <w:rsid w:val="004A291B"/>
    <w:rsid w:val="004A3FAA"/>
    <w:rsid w:val="004C5586"/>
    <w:rsid w:val="004F15C3"/>
    <w:rsid w:val="004F5731"/>
    <w:rsid w:val="00505978"/>
    <w:rsid w:val="00517F8A"/>
    <w:rsid w:val="0055130C"/>
    <w:rsid w:val="00561FAF"/>
    <w:rsid w:val="005666B0"/>
    <w:rsid w:val="005677C5"/>
    <w:rsid w:val="005962CC"/>
    <w:rsid w:val="005973F3"/>
    <w:rsid w:val="005A1CDA"/>
    <w:rsid w:val="005A62EF"/>
    <w:rsid w:val="005A7F78"/>
    <w:rsid w:val="005B62BF"/>
    <w:rsid w:val="005B70F2"/>
    <w:rsid w:val="005C2369"/>
    <w:rsid w:val="005D03F6"/>
    <w:rsid w:val="005D4267"/>
    <w:rsid w:val="005F6946"/>
    <w:rsid w:val="005F6A0B"/>
    <w:rsid w:val="0066102A"/>
    <w:rsid w:val="0066628F"/>
    <w:rsid w:val="00675B03"/>
    <w:rsid w:val="00676048"/>
    <w:rsid w:val="0068088B"/>
    <w:rsid w:val="00685CDD"/>
    <w:rsid w:val="00690303"/>
    <w:rsid w:val="00690DFA"/>
    <w:rsid w:val="006A0284"/>
    <w:rsid w:val="006B7238"/>
    <w:rsid w:val="006F4451"/>
    <w:rsid w:val="006F7019"/>
    <w:rsid w:val="0070060C"/>
    <w:rsid w:val="00790BE6"/>
    <w:rsid w:val="00790DA1"/>
    <w:rsid w:val="007A670C"/>
    <w:rsid w:val="007B6195"/>
    <w:rsid w:val="007C015F"/>
    <w:rsid w:val="007C16F2"/>
    <w:rsid w:val="007C570E"/>
    <w:rsid w:val="007D3B18"/>
    <w:rsid w:val="007E4C2A"/>
    <w:rsid w:val="0080282A"/>
    <w:rsid w:val="0080556C"/>
    <w:rsid w:val="00825FBF"/>
    <w:rsid w:val="00844A0E"/>
    <w:rsid w:val="00866972"/>
    <w:rsid w:val="00872FB5"/>
    <w:rsid w:val="00893541"/>
    <w:rsid w:val="00895DA2"/>
    <w:rsid w:val="008B688C"/>
    <w:rsid w:val="008C0CDF"/>
    <w:rsid w:val="008C7C59"/>
    <w:rsid w:val="008D6B16"/>
    <w:rsid w:val="008D6D9C"/>
    <w:rsid w:val="008E2396"/>
    <w:rsid w:val="008F4794"/>
    <w:rsid w:val="0092632F"/>
    <w:rsid w:val="00933683"/>
    <w:rsid w:val="00936190"/>
    <w:rsid w:val="00940A52"/>
    <w:rsid w:val="00944D3B"/>
    <w:rsid w:val="00945070"/>
    <w:rsid w:val="0094555E"/>
    <w:rsid w:val="00955B8F"/>
    <w:rsid w:val="0095685E"/>
    <w:rsid w:val="00962511"/>
    <w:rsid w:val="00973925"/>
    <w:rsid w:val="00973CE6"/>
    <w:rsid w:val="009929D8"/>
    <w:rsid w:val="009C74F7"/>
    <w:rsid w:val="009D6904"/>
    <w:rsid w:val="009E127B"/>
    <w:rsid w:val="009E721D"/>
    <w:rsid w:val="009E7B24"/>
    <w:rsid w:val="009F1307"/>
    <w:rsid w:val="009F3107"/>
    <w:rsid w:val="00A05C11"/>
    <w:rsid w:val="00A15907"/>
    <w:rsid w:val="00A207D9"/>
    <w:rsid w:val="00A31E72"/>
    <w:rsid w:val="00A44A6E"/>
    <w:rsid w:val="00A50243"/>
    <w:rsid w:val="00A665A9"/>
    <w:rsid w:val="00A83C65"/>
    <w:rsid w:val="00A84DC7"/>
    <w:rsid w:val="00A940A7"/>
    <w:rsid w:val="00A9553F"/>
    <w:rsid w:val="00A96EF3"/>
    <w:rsid w:val="00AA2230"/>
    <w:rsid w:val="00AB0FD7"/>
    <w:rsid w:val="00AB1069"/>
    <w:rsid w:val="00AB29AE"/>
    <w:rsid w:val="00AB5A88"/>
    <w:rsid w:val="00AB7BF4"/>
    <w:rsid w:val="00AD65F7"/>
    <w:rsid w:val="00AE712F"/>
    <w:rsid w:val="00AF7A47"/>
    <w:rsid w:val="00B00A55"/>
    <w:rsid w:val="00B163A2"/>
    <w:rsid w:val="00B40CD6"/>
    <w:rsid w:val="00B52E8C"/>
    <w:rsid w:val="00B71501"/>
    <w:rsid w:val="00B73C8E"/>
    <w:rsid w:val="00B85904"/>
    <w:rsid w:val="00B86DED"/>
    <w:rsid w:val="00B97A9D"/>
    <w:rsid w:val="00BA1566"/>
    <w:rsid w:val="00BB64A5"/>
    <w:rsid w:val="00BC58C2"/>
    <w:rsid w:val="00BC6C46"/>
    <w:rsid w:val="00BF4F8B"/>
    <w:rsid w:val="00C01F04"/>
    <w:rsid w:val="00C0478F"/>
    <w:rsid w:val="00C066D2"/>
    <w:rsid w:val="00C41B4E"/>
    <w:rsid w:val="00C56E93"/>
    <w:rsid w:val="00C62FBD"/>
    <w:rsid w:val="00C63774"/>
    <w:rsid w:val="00C66A94"/>
    <w:rsid w:val="00C761D9"/>
    <w:rsid w:val="00C76CDD"/>
    <w:rsid w:val="00C77185"/>
    <w:rsid w:val="00C92828"/>
    <w:rsid w:val="00C95E98"/>
    <w:rsid w:val="00CA2FCD"/>
    <w:rsid w:val="00CB14FD"/>
    <w:rsid w:val="00CD0467"/>
    <w:rsid w:val="00CD4ED6"/>
    <w:rsid w:val="00CD6F87"/>
    <w:rsid w:val="00CD7BE7"/>
    <w:rsid w:val="00CE13F8"/>
    <w:rsid w:val="00CE2F59"/>
    <w:rsid w:val="00CF004E"/>
    <w:rsid w:val="00D045D0"/>
    <w:rsid w:val="00D17FC6"/>
    <w:rsid w:val="00D23888"/>
    <w:rsid w:val="00D30150"/>
    <w:rsid w:val="00D61C6C"/>
    <w:rsid w:val="00D71F95"/>
    <w:rsid w:val="00D72EB3"/>
    <w:rsid w:val="00D915CC"/>
    <w:rsid w:val="00D9402A"/>
    <w:rsid w:val="00D95859"/>
    <w:rsid w:val="00DB3132"/>
    <w:rsid w:val="00DC05DE"/>
    <w:rsid w:val="00DC78D5"/>
    <w:rsid w:val="00DD4A22"/>
    <w:rsid w:val="00DE1E49"/>
    <w:rsid w:val="00DE5053"/>
    <w:rsid w:val="00DE55CA"/>
    <w:rsid w:val="00E01CC3"/>
    <w:rsid w:val="00E03728"/>
    <w:rsid w:val="00E03C5D"/>
    <w:rsid w:val="00E52CE1"/>
    <w:rsid w:val="00E76E6D"/>
    <w:rsid w:val="00E7782F"/>
    <w:rsid w:val="00E91408"/>
    <w:rsid w:val="00E943C7"/>
    <w:rsid w:val="00E973D6"/>
    <w:rsid w:val="00EA45F9"/>
    <w:rsid w:val="00EB510C"/>
    <w:rsid w:val="00EF5944"/>
    <w:rsid w:val="00F05B42"/>
    <w:rsid w:val="00F10C4E"/>
    <w:rsid w:val="00F2354C"/>
    <w:rsid w:val="00F25097"/>
    <w:rsid w:val="00F424CB"/>
    <w:rsid w:val="00F43C3B"/>
    <w:rsid w:val="00F577A4"/>
    <w:rsid w:val="00F57C59"/>
    <w:rsid w:val="00F831B7"/>
    <w:rsid w:val="00F870BA"/>
    <w:rsid w:val="00FA7DD7"/>
    <w:rsid w:val="00FB4B33"/>
    <w:rsid w:val="00FB507C"/>
    <w:rsid w:val="00FB6D50"/>
    <w:rsid w:val="00FF7B43"/>
    <w:rsid w:val="070B2745"/>
    <w:rsid w:val="124D6726"/>
    <w:rsid w:val="1A8E1F65"/>
    <w:rsid w:val="1B600147"/>
    <w:rsid w:val="1BE21089"/>
    <w:rsid w:val="20402836"/>
    <w:rsid w:val="225424D4"/>
    <w:rsid w:val="25095ABD"/>
    <w:rsid w:val="28AF1513"/>
    <w:rsid w:val="291013FB"/>
    <w:rsid w:val="298173F4"/>
    <w:rsid w:val="2A2459C7"/>
    <w:rsid w:val="436178DC"/>
    <w:rsid w:val="45814569"/>
    <w:rsid w:val="4BFA4B6A"/>
    <w:rsid w:val="4F263C89"/>
    <w:rsid w:val="4F3E5326"/>
    <w:rsid w:val="552D5E31"/>
    <w:rsid w:val="57701788"/>
    <w:rsid w:val="60571682"/>
    <w:rsid w:val="62DA3B25"/>
    <w:rsid w:val="689F17ED"/>
    <w:rsid w:val="BFF55F0D"/>
    <w:rsid w:val="D47FC26B"/>
    <w:rsid w:val="E3FF9B34"/>
    <w:rsid w:val="FA5BDA8F"/>
    <w:rsid w:val="FFBF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qFormat="1" w:unhideWhenUsed="0" w:uiPriority="0" w:name="envelope address"/>
    <w:lsdException w:qFormat="1" w:unhideWhenUsed="0" w:uiPriority="0" w:name="envelope return"/>
    <w:lsdException w:uiPriority="99" w:name="footnote reference"/>
    <w:lsdException w:qFormat="1" w:unhideWhenUsed="0" w:uiPriority="99" w:semiHidden="0" w:name="annotation reference"/>
    <w:lsdException w:qFormat="1" w:unhideWhenUsed="0" w:uiPriority="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semiHidden="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99" w:name="Balloon Text"/>
    <w:lsdException w:qFormat="1" w:unhideWhenUsed="0" w:uiPriority="59"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6"/>
    <w:qFormat/>
    <w:uiPriority w:val="0"/>
    <w:pPr>
      <w:jc w:val="center"/>
      <w:outlineLvl w:val="0"/>
    </w:pPr>
    <w:rPr>
      <w:b/>
      <w:sz w:val="32"/>
    </w:rPr>
  </w:style>
  <w:style w:type="paragraph" w:styleId="3">
    <w:name w:val="heading 2"/>
    <w:basedOn w:val="1"/>
    <w:next w:val="1"/>
    <w:link w:val="181"/>
    <w:qFormat/>
    <w:uiPriority w:val="0"/>
    <w:pPr>
      <w:spacing w:before="240" w:after="240" w:line="480" w:lineRule="auto"/>
      <w:jc w:val="center"/>
      <w:outlineLvl w:val="1"/>
    </w:pPr>
    <w:rPr>
      <w:b/>
      <w:sz w:val="28"/>
    </w:rPr>
  </w:style>
  <w:style w:type="paragraph" w:styleId="4">
    <w:name w:val="heading 3"/>
    <w:basedOn w:val="1"/>
    <w:next w:val="1"/>
    <w:link w:val="163"/>
    <w:qFormat/>
    <w:uiPriority w:val="0"/>
    <w:pPr>
      <w:spacing w:before="240" w:after="240"/>
      <w:outlineLvl w:val="2"/>
    </w:pPr>
    <w:rPr>
      <w:b/>
      <w:sz w:val="24"/>
    </w:rPr>
  </w:style>
  <w:style w:type="paragraph" w:styleId="5">
    <w:name w:val="heading 4"/>
    <w:basedOn w:val="1"/>
    <w:next w:val="1"/>
    <w:link w:val="149"/>
    <w:qFormat/>
    <w:uiPriority w:val="0"/>
    <w:pPr>
      <w:spacing w:before="120" w:after="120"/>
      <w:outlineLvl w:val="3"/>
    </w:pPr>
    <w:rPr>
      <w:b/>
      <w:sz w:val="22"/>
    </w:rPr>
  </w:style>
  <w:style w:type="paragraph" w:styleId="6">
    <w:name w:val="heading 5"/>
    <w:basedOn w:val="1"/>
    <w:next w:val="1"/>
    <w:link w:val="150"/>
    <w:qFormat/>
    <w:uiPriority w:val="0"/>
    <w:pPr>
      <w:outlineLvl w:val="4"/>
    </w:pPr>
  </w:style>
  <w:style w:type="paragraph" w:styleId="7">
    <w:name w:val="heading 6"/>
    <w:basedOn w:val="1"/>
    <w:next w:val="1"/>
    <w:link w:val="151"/>
    <w:qFormat/>
    <w:uiPriority w:val="0"/>
    <w:pPr>
      <w:outlineLvl w:val="5"/>
    </w:pPr>
  </w:style>
  <w:style w:type="paragraph" w:styleId="8">
    <w:name w:val="heading 7"/>
    <w:basedOn w:val="1"/>
    <w:next w:val="1"/>
    <w:link w:val="152"/>
    <w:qFormat/>
    <w:uiPriority w:val="0"/>
    <w:pPr>
      <w:outlineLvl w:val="6"/>
    </w:pPr>
  </w:style>
  <w:style w:type="paragraph" w:styleId="9">
    <w:name w:val="heading 8"/>
    <w:basedOn w:val="1"/>
    <w:next w:val="1"/>
    <w:link w:val="153"/>
    <w:qFormat/>
    <w:uiPriority w:val="0"/>
    <w:pPr>
      <w:outlineLvl w:val="7"/>
    </w:pPr>
  </w:style>
  <w:style w:type="paragraph" w:styleId="10">
    <w:name w:val="heading 9"/>
    <w:basedOn w:val="1"/>
    <w:next w:val="1"/>
    <w:link w:val="154"/>
    <w:qFormat/>
    <w:uiPriority w:val="0"/>
    <w:pPr>
      <w:outlineLvl w:val="8"/>
    </w:pPr>
  </w:style>
  <w:style w:type="character" w:default="1" w:styleId="128">
    <w:name w:val="Default Paragraph Font"/>
    <w:unhideWhenUsed/>
    <w:qFormat/>
    <w:uiPriority w:val="1"/>
  </w:style>
  <w:style w:type="table" w:default="1" w:styleId="83">
    <w:name w:val="Normal Table"/>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szCs w:val="24"/>
    </w:rPr>
  </w:style>
  <w:style w:type="paragraph" w:styleId="12">
    <w:name w:val="toc 7"/>
    <w:basedOn w:val="1"/>
    <w:next w:val="1"/>
    <w:qFormat/>
    <w:uiPriority w:val="39"/>
    <w:pPr>
      <w:ind w:left="1260"/>
      <w:jc w:val="left"/>
    </w:pPr>
    <w:rPr>
      <w:sz w:val="18"/>
      <w:szCs w:val="18"/>
    </w:rPr>
  </w:style>
  <w:style w:type="paragraph" w:styleId="13">
    <w:name w:val="List Number 2"/>
    <w:basedOn w:val="1"/>
    <w:semiHidden/>
    <w:qFormat/>
    <w:uiPriority w:val="0"/>
    <w:pPr>
      <w:numPr>
        <w:ilvl w:val="0"/>
        <w:numId w:val="1"/>
      </w:numPr>
    </w:pPr>
    <w:rPr>
      <w:szCs w:val="24"/>
    </w:rPr>
  </w:style>
  <w:style w:type="paragraph" w:styleId="14">
    <w:name w:val="Note Heading"/>
    <w:basedOn w:val="1"/>
    <w:next w:val="1"/>
    <w:link w:val="207"/>
    <w:semiHidden/>
    <w:qFormat/>
    <w:uiPriority w:val="0"/>
    <w:pPr>
      <w:jc w:val="center"/>
    </w:pPr>
    <w:rPr>
      <w:szCs w:val="24"/>
    </w:rPr>
  </w:style>
  <w:style w:type="paragraph" w:styleId="15">
    <w:name w:val="List Bullet 4"/>
    <w:basedOn w:val="1"/>
    <w:semiHidden/>
    <w:qFormat/>
    <w:uiPriority w:val="0"/>
    <w:pPr>
      <w:numPr>
        <w:ilvl w:val="0"/>
        <w:numId w:val="2"/>
      </w:numPr>
    </w:pPr>
    <w:rPr>
      <w:szCs w:val="24"/>
    </w:rPr>
  </w:style>
  <w:style w:type="paragraph" w:styleId="16">
    <w:name w:val="index 8"/>
    <w:basedOn w:val="1"/>
    <w:next w:val="1"/>
    <w:semiHidden/>
    <w:qFormat/>
    <w:uiPriority w:val="0"/>
    <w:pPr>
      <w:ind w:left="1680" w:hanging="210"/>
      <w:jc w:val="left"/>
    </w:pPr>
    <w:rPr>
      <w:sz w:val="20"/>
    </w:rPr>
  </w:style>
  <w:style w:type="paragraph" w:styleId="17">
    <w:name w:val="E-mail Signature"/>
    <w:basedOn w:val="1"/>
    <w:link w:val="208"/>
    <w:semiHidden/>
    <w:qFormat/>
    <w:uiPriority w:val="0"/>
    <w:rPr>
      <w:szCs w:val="24"/>
    </w:rPr>
  </w:style>
  <w:style w:type="paragraph" w:styleId="18">
    <w:name w:val="List Number"/>
    <w:basedOn w:val="1"/>
    <w:semiHidden/>
    <w:qFormat/>
    <w:uiPriority w:val="0"/>
    <w:pPr>
      <w:numPr>
        <w:ilvl w:val="0"/>
        <w:numId w:val="3"/>
      </w:numPr>
    </w:pPr>
    <w:rPr>
      <w:szCs w:val="24"/>
    </w:rPr>
  </w:style>
  <w:style w:type="paragraph" w:styleId="19">
    <w:name w:val="Normal Indent"/>
    <w:basedOn w:val="1"/>
    <w:link w:val="185"/>
    <w:qFormat/>
    <w:uiPriority w:val="0"/>
    <w:pPr>
      <w:ind w:firstLine="420"/>
    </w:pPr>
    <w:rPr>
      <w:rFonts w:asciiTheme="minorHAnsi" w:hAnsiTheme="minorHAnsi" w:eastAsiaTheme="minorEastAsia" w:cstheme="minorBidi"/>
      <w:szCs w:val="22"/>
    </w:rPr>
  </w:style>
  <w:style w:type="paragraph" w:styleId="20">
    <w:name w:val="caption"/>
    <w:basedOn w:val="1"/>
    <w:next w:val="1"/>
    <w:qFormat/>
    <w:uiPriority w:val="0"/>
    <w:pPr>
      <w:spacing w:before="152" w:after="160"/>
    </w:pPr>
    <w:rPr>
      <w:rFonts w:ascii="Arial" w:hAnsi="Arial" w:eastAsia="黑体" w:cs="Arial"/>
      <w:sz w:val="20"/>
    </w:rPr>
  </w:style>
  <w:style w:type="paragraph" w:styleId="21">
    <w:name w:val="index 5"/>
    <w:basedOn w:val="1"/>
    <w:next w:val="1"/>
    <w:semiHidden/>
    <w:qFormat/>
    <w:uiPriority w:val="0"/>
    <w:pPr>
      <w:ind w:left="1050" w:hanging="210"/>
      <w:jc w:val="left"/>
    </w:pPr>
    <w:rPr>
      <w:sz w:val="20"/>
    </w:rPr>
  </w:style>
  <w:style w:type="paragraph" w:styleId="22">
    <w:name w:val="List Bullet"/>
    <w:basedOn w:val="1"/>
    <w:qFormat/>
    <w:uiPriority w:val="0"/>
    <w:pPr>
      <w:numPr>
        <w:ilvl w:val="0"/>
        <w:numId w:val="4"/>
      </w:numPr>
    </w:pPr>
    <w:rPr>
      <w:szCs w:val="24"/>
    </w:rPr>
  </w:style>
  <w:style w:type="paragraph" w:styleId="23">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4">
    <w:name w:val="Document Map"/>
    <w:basedOn w:val="1"/>
    <w:link w:val="195"/>
    <w:semiHidden/>
    <w:qFormat/>
    <w:uiPriority w:val="0"/>
    <w:pPr>
      <w:shd w:val="clear" w:color="auto" w:fill="000080"/>
    </w:pPr>
  </w:style>
  <w:style w:type="paragraph" w:styleId="25">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rPr>
  </w:style>
  <w:style w:type="paragraph" w:styleId="26">
    <w:name w:val="annotation text"/>
    <w:basedOn w:val="1"/>
    <w:link w:val="171"/>
    <w:qFormat/>
    <w:uiPriority w:val="99"/>
    <w:pPr>
      <w:jc w:val="left"/>
    </w:pPr>
    <w:rPr>
      <w:rFonts w:asciiTheme="minorHAnsi" w:hAnsiTheme="minorHAnsi" w:eastAsiaTheme="minorEastAsia" w:cstheme="minorBidi"/>
      <w:szCs w:val="22"/>
    </w:rPr>
  </w:style>
  <w:style w:type="paragraph" w:styleId="27">
    <w:name w:val="index 6"/>
    <w:basedOn w:val="1"/>
    <w:next w:val="1"/>
    <w:semiHidden/>
    <w:qFormat/>
    <w:uiPriority w:val="0"/>
    <w:pPr>
      <w:ind w:left="1260" w:hanging="210"/>
      <w:jc w:val="left"/>
    </w:pPr>
    <w:rPr>
      <w:sz w:val="20"/>
    </w:rPr>
  </w:style>
  <w:style w:type="paragraph" w:styleId="28">
    <w:name w:val="Salutation"/>
    <w:basedOn w:val="1"/>
    <w:next w:val="1"/>
    <w:link w:val="215"/>
    <w:semiHidden/>
    <w:qFormat/>
    <w:uiPriority w:val="0"/>
    <w:rPr>
      <w:szCs w:val="24"/>
    </w:rPr>
  </w:style>
  <w:style w:type="paragraph" w:styleId="29">
    <w:name w:val="Body Text 3"/>
    <w:basedOn w:val="1"/>
    <w:link w:val="205"/>
    <w:qFormat/>
    <w:uiPriority w:val="0"/>
    <w:pPr>
      <w:spacing w:after="120"/>
    </w:pPr>
    <w:rPr>
      <w:sz w:val="16"/>
      <w:szCs w:val="16"/>
    </w:rPr>
  </w:style>
  <w:style w:type="paragraph" w:styleId="30">
    <w:name w:val="Closing"/>
    <w:basedOn w:val="1"/>
    <w:link w:val="212"/>
    <w:semiHidden/>
    <w:qFormat/>
    <w:uiPriority w:val="0"/>
    <w:pPr>
      <w:ind w:left="100" w:leftChars="2100"/>
    </w:pPr>
    <w:rPr>
      <w:szCs w:val="24"/>
    </w:rPr>
  </w:style>
  <w:style w:type="paragraph" w:styleId="31">
    <w:name w:val="List Bullet 3"/>
    <w:basedOn w:val="1"/>
    <w:semiHidden/>
    <w:qFormat/>
    <w:uiPriority w:val="0"/>
    <w:pPr>
      <w:numPr>
        <w:ilvl w:val="0"/>
        <w:numId w:val="5"/>
      </w:numPr>
    </w:pPr>
    <w:rPr>
      <w:szCs w:val="24"/>
    </w:rPr>
  </w:style>
  <w:style w:type="paragraph" w:styleId="32">
    <w:name w:val="Body Text"/>
    <w:basedOn w:val="1"/>
    <w:link w:val="191"/>
    <w:qFormat/>
    <w:uiPriority w:val="0"/>
    <w:pPr>
      <w:tabs>
        <w:tab w:val="left" w:pos="2138"/>
      </w:tabs>
      <w:snapToGrid w:val="0"/>
      <w:spacing w:line="360" w:lineRule="auto"/>
    </w:pPr>
    <w:rPr>
      <w:rFonts w:ascii="宋体"/>
      <w:kern w:val="10"/>
    </w:rPr>
  </w:style>
  <w:style w:type="paragraph" w:styleId="33">
    <w:name w:val="Body Text Indent"/>
    <w:basedOn w:val="1"/>
    <w:link w:val="204"/>
    <w:qFormat/>
    <w:uiPriority w:val="0"/>
    <w:pPr>
      <w:spacing w:beforeLines="50" w:line="360" w:lineRule="auto"/>
      <w:ind w:firstLine="440" w:firstLineChars="200"/>
    </w:pPr>
    <w:rPr>
      <w:rFonts w:ascii="宋体" w:hAnsi="宋体"/>
      <w:color w:val="FF0000"/>
      <w:sz w:val="22"/>
      <w:szCs w:val="22"/>
    </w:rPr>
  </w:style>
  <w:style w:type="paragraph" w:styleId="34">
    <w:name w:val="List Number 3"/>
    <w:basedOn w:val="1"/>
    <w:semiHidden/>
    <w:qFormat/>
    <w:uiPriority w:val="0"/>
    <w:pPr>
      <w:numPr>
        <w:ilvl w:val="0"/>
        <w:numId w:val="6"/>
      </w:numPr>
    </w:pPr>
    <w:rPr>
      <w:szCs w:val="24"/>
    </w:rPr>
  </w:style>
  <w:style w:type="paragraph" w:styleId="35">
    <w:name w:val="List 2"/>
    <w:basedOn w:val="1"/>
    <w:semiHidden/>
    <w:qFormat/>
    <w:uiPriority w:val="0"/>
    <w:pPr>
      <w:ind w:left="100" w:leftChars="200" w:hanging="200" w:hangingChars="200"/>
    </w:pPr>
    <w:rPr>
      <w:szCs w:val="24"/>
    </w:rPr>
  </w:style>
  <w:style w:type="paragraph" w:styleId="36">
    <w:name w:val="List Continue"/>
    <w:basedOn w:val="1"/>
    <w:semiHidden/>
    <w:qFormat/>
    <w:uiPriority w:val="0"/>
    <w:pPr>
      <w:spacing w:after="120"/>
      <w:ind w:left="420" w:leftChars="200"/>
    </w:pPr>
    <w:rPr>
      <w:szCs w:val="24"/>
    </w:rPr>
  </w:style>
  <w:style w:type="paragraph" w:styleId="37">
    <w:name w:val="Block Text"/>
    <w:basedOn w:val="1"/>
    <w:qFormat/>
    <w:uiPriority w:val="99"/>
    <w:pPr>
      <w:spacing w:after="120"/>
      <w:ind w:left="1440" w:leftChars="700" w:right="1440" w:rightChars="700"/>
    </w:pPr>
    <w:rPr>
      <w:szCs w:val="24"/>
    </w:rPr>
  </w:style>
  <w:style w:type="paragraph" w:styleId="38">
    <w:name w:val="List Bullet 2"/>
    <w:basedOn w:val="1"/>
    <w:semiHidden/>
    <w:qFormat/>
    <w:uiPriority w:val="0"/>
    <w:pPr>
      <w:numPr>
        <w:ilvl w:val="0"/>
        <w:numId w:val="7"/>
      </w:numPr>
    </w:pPr>
    <w:rPr>
      <w:szCs w:val="24"/>
    </w:rPr>
  </w:style>
  <w:style w:type="paragraph" w:styleId="39">
    <w:name w:val="HTML Address"/>
    <w:basedOn w:val="1"/>
    <w:link w:val="210"/>
    <w:semiHidden/>
    <w:qFormat/>
    <w:uiPriority w:val="0"/>
    <w:rPr>
      <w:i/>
      <w:iCs/>
      <w:szCs w:val="24"/>
    </w:rPr>
  </w:style>
  <w:style w:type="paragraph" w:styleId="40">
    <w:name w:val="index 4"/>
    <w:basedOn w:val="1"/>
    <w:next w:val="1"/>
    <w:semiHidden/>
    <w:qFormat/>
    <w:uiPriority w:val="0"/>
    <w:pPr>
      <w:ind w:left="840" w:hanging="210"/>
      <w:jc w:val="left"/>
    </w:pPr>
    <w:rPr>
      <w:sz w:val="20"/>
    </w:rPr>
  </w:style>
  <w:style w:type="paragraph" w:styleId="41">
    <w:name w:val="toc 5"/>
    <w:basedOn w:val="1"/>
    <w:next w:val="1"/>
    <w:qFormat/>
    <w:uiPriority w:val="39"/>
    <w:pPr>
      <w:tabs>
        <w:tab w:val="right" w:leader="dot" w:pos="8948"/>
      </w:tabs>
      <w:spacing w:line="360" w:lineRule="auto"/>
      <w:ind w:left="420" w:leftChars="200" w:right="420" w:rightChars="200" w:firstLine="960" w:firstLineChars="400"/>
    </w:pPr>
    <w:rPr>
      <w:rFonts w:ascii="宋体" w:hAnsi="宋体"/>
      <w:kern w:val="0"/>
      <w:sz w:val="24"/>
      <w:szCs w:val="24"/>
    </w:rPr>
  </w:style>
  <w:style w:type="paragraph" w:styleId="42">
    <w:name w:val="toc 3"/>
    <w:basedOn w:val="1"/>
    <w:next w:val="1"/>
    <w:qFormat/>
    <w:uiPriority w:val="39"/>
    <w:pPr>
      <w:tabs>
        <w:tab w:val="right" w:leader="dot" w:pos="8949"/>
      </w:tabs>
      <w:adjustRightInd w:val="0"/>
      <w:snapToGrid w:val="0"/>
      <w:spacing w:line="360" w:lineRule="auto"/>
      <w:ind w:right="420" w:rightChars="200" w:firstLine="964" w:firstLineChars="400"/>
      <w:jc w:val="distribute"/>
    </w:pPr>
    <w:rPr>
      <w:rFonts w:ascii="宋体" w:hAnsi="宋体"/>
      <w:b/>
      <w:iCs/>
      <w:sz w:val="24"/>
      <w:szCs w:val="24"/>
    </w:rPr>
  </w:style>
  <w:style w:type="paragraph" w:styleId="43">
    <w:name w:val="Plain Text"/>
    <w:basedOn w:val="1"/>
    <w:link w:val="167"/>
    <w:qFormat/>
    <w:uiPriority w:val="0"/>
    <w:rPr>
      <w:rFonts w:ascii="宋体" w:hAnsi="Courier New" w:cs="Courier New"/>
      <w:szCs w:val="21"/>
    </w:rPr>
  </w:style>
  <w:style w:type="paragraph" w:styleId="44">
    <w:name w:val="List Bullet 5"/>
    <w:basedOn w:val="1"/>
    <w:semiHidden/>
    <w:qFormat/>
    <w:uiPriority w:val="0"/>
    <w:pPr>
      <w:numPr>
        <w:ilvl w:val="0"/>
        <w:numId w:val="8"/>
      </w:numPr>
    </w:pPr>
    <w:rPr>
      <w:szCs w:val="24"/>
    </w:rPr>
  </w:style>
  <w:style w:type="paragraph" w:styleId="45">
    <w:name w:val="List Number 4"/>
    <w:basedOn w:val="1"/>
    <w:semiHidden/>
    <w:qFormat/>
    <w:uiPriority w:val="0"/>
    <w:pPr>
      <w:numPr>
        <w:ilvl w:val="0"/>
        <w:numId w:val="9"/>
      </w:numPr>
    </w:pPr>
    <w:rPr>
      <w:szCs w:val="24"/>
    </w:rPr>
  </w:style>
  <w:style w:type="paragraph" w:styleId="46">
    <w:name w:val="toc 8"/>
    <w:basedOn w:val="1"/>
    <w:next w:val="1"/>
    <w:qFormat/>
    <w:uiPriority w:val="39"/>
    <w:pPr>
      <w:ind w:left="1470"/>
      <w:jc w:val="left"/>
    </w:pPr>
    <w:rPr>
      <w:sz w:val="18"/>
      <w:szCs w:val="18"/>
    </w:rPr>
  </w:style>
  <w:style w:type="paragraph" w:styleId="47">
    <w:name w:val="index 3"/>
    <w:basedOn w:val="1"/>
    <w:next w:val="1"/>
    <w:semiHidden/>
    <w:qFormat/>
    <w:uiPriority w:val="0"/>
    <w:pPr>
      <w:ind w:left="630" w:hanging="210"/>
      <w:jc w:val="left"/>
    </w:pPr>
    <w:rPr>
      <w:sz w:val="20"/>
    </w:rPr>
  </w:style>
  <w:style w:type="paragraph" w:styleId="48">
    <w:name w:val="Date"/>
    <w:basedOn w:val="1"/>
    <w:next w:val="1"/>
    <w:link w:val="214"/>
    <w:qFormat/>
    <w:uiPriority w:val="0"/>
    <w:pPr>
      <w:ind w:left="100" w:leftChars="2500"/>
    </w:pPr>
  </w:style>
  <w:style w:type="paragraph" w:styleId="49">
    <w:name w:val="Body Text Indent 2"/>
    <w:basedOn w:val="1"/>
    <w:link w:val="203"/>
    <w:qFormat/>
    <w:uiPriority w:val="0"/>
    <w:pPr>
      <w:spacing w:after="120" w:line="480" w:lineRule="auto"/>
      <w:ind w:left="420" w:leftChars="200"/>
    </w:pPr>
    <w:rPr>
      <w:szCs w:val="24"/>
    </w:rPr>
  </w:style>
  <w:style w:type="paragraph" w:styleId="50">
    <w:name w:val="List Continue 5"/>
    <w:basedOn w:val="1"/>
    <w:semiHidden/>
    <w:qFormat/>
    <w:uiPriority w:val="0"/>
    <w:pPr>
      <w:spacing w:after="120"/>
      <w:ind w:left="2100" w:leftChars="1000"/>
    </w:pPr>
    <w:rPr>
      <w:szCs w:val="24"/>
    </w:rPr>
  </w:style>
  <w:style w:type="paragraph" w:styleId="51">
    <w:name w:val="Balloon Text"/>
    <w:basedOn w:val="1"/>
    <w:link w:val="180"/>
    <w:semiHidden/>
    <w:qFormat/>
    <w:uiPriority w:val="99"/>
    <w:rPr>
      <w:rFonts w:asciiTheme="minorHAnsi" w:hAnsiTheme="minorHAnsi" w:eastAsiaTheme="minorEastAsia" w:cstheme="minorBidi"/>
      <w:sz w:val="18"/>
      <w:szCs w:val="18"/>
    </w:rPr>
  </w:style>
  <w:style w:type="paragraph" w:styleId="52">
    <w:name w:val="footer"/>
    <w:basedOn w:val="1"/>
    <w:link w:val="145"/>
    <w:unhideWhenUsed/>
    <w:qFormat/>
    <w:uiPriority w:val="99"/>
    <w:pPr>
      <w:tabs>
        <w:tab w:val="center" w:pos="4153"/>
        <w:tab w:val="right" w:pos="8306"/>
      </w:tabs>
      <w:snapToGrid w:val="0"/>
      <w:jc w:val="left"/>
    </w:pPr>
    <w:rPr>
      <w:sz w:val="18"/>
      <w:szCs w:val="18"/>
    </w:rPr>
  </w:style>
  <w:style w:type="paragraph" w:styleId="53">
    <w:name w:val="envelope return"/>
    <w:basedOn w:val="1"/>
    <w:semiHidden/>
    <w:qFormat/>
    <w:uiPriority w:val="0"/>
    <w:pPr>
      <w:snapToGrid w:val="0"/>
    </w:pPr>
    <w:rPr>
      <w:rFonts w:ascii="Arial" w:hAnsi="Arial" w:cs="Arial"/>
      <w:szCs w:val="24"/>
    </w:rPr>
  </w:style>
  <w:style w:type="paragraph" w:styleId="54">
    <w:name w:val="header"/>
    <w:basedOn w:val="1"/>
    <w:link w:val="144"/>
    <w:unhideWhenUsed/>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09"/>
    <w:semiHidden/>
    <w:qFormat/>
    <w:uiPriority w:val="0"/>
    <w:pPr>
      <w:ind w:left="100" w:leftChars="2100"/>
    </w:pPr>
    <w:rPr>
      <w:szCs w:val="24"/>
    </w:rPr>
  </w:style>
  <w:style w:type="paragraph" w:styleId="56">
    <w:name w:val="toc 1"/>
    <w:basedOn w:val="1"/>
    <w:next w:val="1"/>
    <w:qFormat/>
    <w:uiPriority w:val="39"/>
    <w:pPr>
      <w:tabs>
        <w:tab w:val="right" w:leader="dot" w:pos="8949"/>
      </w:tabs>
      <w:adjustRightInd w:val="0"/>
      <w:snapToGrid w:val="0"/>
      <w:spacing w:line="360" w:lineRule="auto"/>
      <w:ind w:right="420" w:rightChars="200" w:firstLine="424" w:firstLineChars="176"/>
    </w:pPr>
    <w:rPr>
      <w:rFonts w:ascii="宋体" w:hAnsi="宋体"/>
      <w:bCs/>
      <w:caps/>
      <w:sz w:val="24"/>
      <w:szCs w:val="24"/>
    </w:rPr>
  </w:style>
  <w:style w:type="paragraph" w:styleId="57">
    <w:name w:val="List Continue 4"/>
    <w:basedOn w:val="1"/>
    <w:semiHidden/>
    <w:qFormat/>
    <w:uiPriority w:val="0"/>
    <w:pPr>
      <w:spacing w:after="120"/>
      <w:ind w:left="1680" w:leftChars="800"/>
    </w:pPr>
    <w:rPr>
      <w:szCs w:val="24"/>
    </w:rPr>
  </w:style>
  <w:style w:type="paragraph" w:styleId="58">
    <w:name w:val="toc 4"/>
    <w:basedOn w:val="1"/>
    <w:next w:val="1"/>
    <w:qFormat/>
    <w:uiPriority w:val="39"/>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59">
    <w:name w:val="index heading"/>
    <w:basedOn w:val="1"/>
    <w:next w:val="60"/>
    <w:semiHidden/>
    <w:qFormat/>
    <w:uiPriority w:val="0"/>
    <w:pPr>
      <w:spacing w:before="120" w:after="120"/>
      <w:jc w:val="left"/>
    </w:pPr>
    <w:rPr>
      <w:b/>
      <w:bCs/>
      <w:i/>
      <w:iCs/>
      <w:sz w:val="20"/>
    </w:rPr>
  </w:style>
  <w:style w:type="paragraph" w:styleId="60">
    <w:name w:val="index 1"/>
    <w:basedOn w:val="1"/>
    <w:next w:val="1"/>
    <w:unhideWhenUsed/>
    <w:qFormat/>
    <w:uiPriority w:val="0"/>
  </w:style>
  <w:style w:type="paragraph" w:styleId="61">
    <w:name w:val="Subtitle"/>
    <w:basedOn w:val="1"/>
    <w:link w:val="189"/>
    <w:qFormat/>
    <w:uiPriority w:val="0"/>
    <w:pPr>
      <w:spacing w:before="240" w:after="60" w:line="312" w:lineRule="auto"/>
      <w:jc w:val="center"/>
      <w:outlineLvl w:val="1"/>
    </w:pPr>
    <w:rPr>
      <w:rFonts w:ascii="Arial" w:hAnsi="Arial" w:cs="Arial"/>
      <w:b/>
      <w:bCs/>
      <w:kern w:val="28"/>
      <w:sz w:val="32"/>
      <w:szCs w:val="32"/>
    </w:rPr>
  </w:style>
  <w:style w:type="paragraph" w:styleId="62">
    <w:name w:val="List Number 5"/>
    <w:basedOn w:val="1"/>
    <w:semiHidden/>
    <w:qFormat/>
    <w:uiPriority w:val="0"/>
    <w:pPr>
      <w:numPr>
        <w:ilvl w:val="0"/>
        <w:numId w:val="10"/>
      </w:numPr>
    </w:pPr>
    <w:rPr>
      <w:szCs w:val="24"/>
    </w:rPr>
  </w:style>
  <w:style w:type="paragraph" w:styleId="63">
    <w:name w:val="List"/>
    <w:basedOn w:val="1"/>
    <w:semiHidden/>
    <w:qFormat/>
    <w:uiPriority w:val="0"/>
    <w:pPr>
      <w:ind w:left="200" w:hanging="200" w:hangingChars="200"/>
    </w:pPr>
    <w:rPr>
      <w:szCs w:val="24"/>
    </w:rPr>
  </w:style>
  <w:style w:type="paragraph" w:styleId="64">
    <w:name w:val="toc 6"/>
    <w:basedOn w:val="1"/>
    <w:next w:val="1"/>
    <w:qFormat/>
    <w:uiPriority w:val="39"/>
    <w:pPr>
      <w:ind w:left="1050"/>
      <w:jc w:val="left"/>
    </w:pPr>
    <w:rPr>
      <w:sz w:val="18"/>
      <w:szCs w:val="18"/>
    </w:rPr>
  </w:style>
  <w:style w:type="paragraph" w:styleId="65">
    <w:name w:val="List 5"/>
    <w:basedOn w:val="1"/>
    <w:semiHidden/>
    <w:qFormat/>
    <w:uiPriority w:val="0"/>
    <w:pPr>
      <w:ind w:left="100" w:leftChars="800" w:hanging="200" w:hangingChars="200"/>
    </w:pPr>
    <w:rPr>
      <w:szCs w:val="24"/>
    </w:rPr>
  </w:style>
  <w:style w:type="paragraph" w:styleId="66">
    <w:name w:val="Body Text Indent 3"/>
    <w:basedOn w:val="1"/>
    <w:link w:val="196"/>
    <w:qFormat/>
    <w:uiPriority w:val="0"/>
    <w:pPr>
      <w:spacing w:after="120"/>
      <w:ind w:left="420" w:leftChars="200"/>
    </w:pPr>
    <w:rPr>
      <w:sz w:val="16"/>
      <w:szCs w:val="16"/>
    </w:rPr>
  </w:style>
  <w:style w:type="paragraph" w:styleId="67">
    <w:name w:val="index 7"/>
    <w:basedOn w:val="1"/>
    <w:next w:val="1"/>
    <w:semiHidden/>
    <w:qFormat/>
    <w:uiPriority w:val="0"/>
    <w:pPr>
      <w:ind w:left="1470" w:hanging="210"/>
      <w:jc w:val="left"/>
    </w:pPr>
    <w:rPr>
      <w:sz w:val="20"/>
    </w:rPr>
  </w:style>
  <w:style w:type="paragraph" w:styleId="68">
    <w:name w:val="index 9"/>
    <w:basedOn w:val="1"/>
    <w:next w:val="1"/>
    <w:semiHidden/>
    <w:qFormat/>
    <w:uiPriority w:val="0"/>
    <w:pPr>
      <w:ind w:left="1890" w:hanging="210"/>
      <w:jc w:val="left"/>
    </w:pPr>
    <w:rPr>
      <w:sz w:val="20"/>
    </w:rPr>
  </w:style>
  <w:style w:type="paragraph" w:styleId="69">
    <w:name w:val="toc 2"/>
    <w:basedOn w:val="1"/>
    <w:next w:val="1"/>
    <w:qFormat/>
    <w:uiPriority w:val="39"/>
    <w:pPr>
      <w:tabs>
        <w:tab w:val="right" w:leader="dot" w:pos="8949"/>
      </w:tabs>
      <w:adjustRightInd w:val="0"/>
      <w:snapToGrid w:val="0"/>
      <w:spacing w:line="360" w:lineRule="auto"/>
      <w:ind w:right="420" w:rightChars="200" w:firstLine="964" w:firstLineChars="400"/>
      <w:jc w:val="distribute"/>
    </w:pPr>
    <w:rPr>
      <w:rFonts w:ascii="宋体" w:hAnsi="宋体"/>
      <w:b/>
      <w:smallCaps/>
      <w:sz w:val="24"/>
      <w:szCs w:val="24"/>
    </w:rPr>
  </w:style>
  <w:style w:type="paragraph" w:styleId="70">
    <w:name w:val="toc 9"/>
    <w:basedOn w:val="1"/>
    <w:next w:val="1"/>
    <w:qFormat/>
    <w:uiPriority w:val="39"/>
    <w:pPr>
      <w:ind w:left="1680"/>
      <w:jc w:val="left"/>
    </w:pPr>
    <w:rPr>
      <w:sz w:val="18"/>
      <w:szCs w:val="18"/>
    </w:rPr>
  </w:style>
  <w:style w:type="paragraph" w:styleId="71">
    <w:name w:val="Body Text 2"/>
    <w:basedOn w:val="1"/>
    <w:link w:val="192"/>
    <w:qFormat/>
    <w:uiPriority w:val="0"/>
    <w:pPr>
      <w:spacing w:beforeLines="50"/>
    </w:pPr>
    <w:rPr>
      <w:rFonts w:ascii="宋体" w:hAnsi="宋体"/>
      <w:sz w:val="22"/>
      <w:szCs w:val="22"/>
    </w:rPr>
  </w:style>
  <w:style w:type="paragraph" w:styleId="72">
    <w:name w:val="List 4"/>
    <w:basedOn w:val="1"/>
    <w:semiHidden/>
    <w:qFormat/>
    <w:uiPriority w:val="0"/>
    <w:pPr>
      <w:ind w:left="100" w:leftChars="600" w:hanging="200" w:hangingChars="200"/>
    </w:pPr>
    <w:rPr>
      <w:szCs w:val="24"/>
    </w:rPr>
  </w:style>
  <w:style w:type="paragraph" w:styleId="73">
    <w:name w:val="List Continue 2"/>
    <w:basedOn w:val="1"/>
    <w:semiHidden/>
    <w:qFormat/>
    <w:uiPriority w:val="0"/>
    <w:pPr>
      <w:spacing w:after="120"/>
      <w:ind w:left="840" w:leftChars="400"/>
    </w:pPr>
    <w:rPr>
      <w:szCs w:val="24"/>
    </w:rPr>
  </w:style>
  <w:style w:type="paragraph" w:styleId="74">
    <w:name w:val="Message Header"/>
    <w:basedOn w:val="1"/>
    <w:link w:val="193"/>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5">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77">
    <w:name w:val="List Continue 3"/>
    <w:basedOn w:val="1"/>
    <w:semiHidden/>
    <w:qFormat/>
    <w:uiPriority w:val="0"/>
    <w:pPr>
      <w:spacing w:after="120"/>
      <w:ind w:left="1260" w:leftChars="600"/>
    </w:pPr>
    <w:rPr>
      <w:szCs w:val="24"/>
    </w:rPr>
  </w:style>
  <w:style w:type="paragraph" w:styleId="78">
    <w:name w:val="index 2"/>
    <w:basedOn w:val="1"/>
    <w:next w:val="1"/>
    <w:semiHidden/>
    <w:qFormat/>
    <w:uiPriority w:val="0"/>
    <w:pPr>
      <w:ind w:left="420" w:hanging="210"/>
      <w:jc w:val="left"/>
    </w:pPr>
    <w:rPr>
      <w:sz w:val="20"/>
    </w:rPr>
  </w:style>
  <w:style w:type="paragraph" w:styleId="79">
    <w:name w:val="Title"/>
    <w:basedOn w:val="1"/>
    <w:link w:val="160"/>
    <w:qFormat/>
    <w:uiPriority w:val="0"/>
    <w:pPr>
      <w:spacing w:before="240" w:after="60"/>
      <w:jc w:val="center"/>
      <w:outlineLvl w:val="0"/>
    </w:pPr>
    <w:rPr>
      <w:rFonts w:ascii="Arial" w:hAnsi="Arial" w:eastAsia="隶书" w:cs="Arial"/>
      <w:b/>
      <w:bCs/>
      <w:sz w:val="32"/>
      <w:szCs w:val="32"/>
    </w:rPr>
  </w:style>
  <w:style w:type="paragraph" w:styleId="80">
    <w:name w:val="annotation subject"/>
    <w:basedOn w:val="26"/>
    <w:next w:val="26"/>
    <w:link w:val="211"/>
    <w:semiHidden/>
    <w:qFormat/>
    <w:uiPriority w:val="0"/>
    <w:rPr>
      <w:b/>
      <w:bCs/>
      <w:szCs w:val="24"/>
    </w:rPr>
  </w:style>
  <w:style w:type="paragraph" w:styleId="81">
    <w:name w:val="Body Text First Indent"/>
    <w:basedOn w:val="32"/>
    <w:link w:val="216"/>
    <w:semiHidden/>
    <w:qFormat/>
    <w:uiPriority w:val="0"/>
    <w:pPr>
      <w:snapToGrid/>
      <w:spacing w:after="120" w:line="240" w:lineRule="auto"/>
      <w:ind w:firstLine="420" w:firstLineChars="100"/>
    </w:pPr>
    <w:rPr>
      <w:rFonts w:ascii="Times New Roman"/>
      <w:kern w:val="2"/>
      <w:szCs w:val="24"/>
    </w:rPr>
  </w:style>
  <w:style w:type="paragraph" w:styleId="82">
    <w:name w:val="Body Text First Indent 2"/>
    <w:basedOn w:val="33"/>
    <w:link w:val="206"/>
    <w:semiHidden/>
    <w:qFormat/>
    <w:uiPriority w:val="0"/>
    <w:pPr>
      <w:spacing w:beforeLines="0" w:after="120" w:line="240" w:lineRule="auto"/>
      <w:ind w:left="420" w:leftChars="200" w:firstLine="420"/>
    </w:pPr>
    <w:rPr>
      <w:rFonts w:ascii="Times New Roman" w:hAnsi="Times New Roman"/>
      <w:color w:val="auto"/>
      <w:sz w:val="21"/>
      <w:szCs w:val="24"/>
    </w:rPr>
  </w:style>
  <w:style w:type="table" w:styleId="84">
    <w:name w:val="Table Grid"/>
    <w:basedOn w:val="8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Theme"/>
    <w:basedOn w:val="83"/>
    <w:semiHidden/>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6">
    <w:name w:val="Table Colorful 1"/>
    <w:basedOn w:val="83"/>
    <w:semiHidden/>
    <w:qFormat/>
    <w:uiPriority w:val="0"/>
    <w:pPr>
      <w:widowControl w:val="0"/>
      <w:jc w:val="both"/>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7">
    <w:name w:val="Table Colorful 2"/>
    <w:basedOn w:val="83"/>
    <w:semiHidden/>
    <w:qFormat/>
    <w:uiPriority w:val="0"/>
    <w:pPr>
      <w:widowControl w:val="0"/>
      <w:jc w:val="both"/>
    </w:pPr>
    <w:rPr>
      <w:rFonts w:ascii="Times New Roman" w:hAnsi="Times New Roman" w:eastAsia="宋体" w:cs="Times New Roman"/>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8">
    <w:name w:val="Table Colorful 3"/>
    <w:basedOn w:val="83"/>
    <w:semiHidden/>
    <w:qFormat/>
    <w:uiPriority w:val="0"/>
    <w:pPr>
      <w:widowControl w:val="0"/>
      <w:jc w:val="both"/>
    </w:pPr>
    <w:rPr>
      <w:rFonts w:ascii="Times New Roman" w:hAnsi="Times New Roman" w:eastAsia="宋体"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Elegant"/>
    <w:basedOn w:val="83"/>
    <w:semiHidden/>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0">
    <w:name w:val="Table Classic 1"/>
    <w:basedOn w:val="83"/>
    <w:semiHidden/>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Classic 2"/>
    <w:basedOn w:val="83"/>
    <w:semiHidden/>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2">
    <w:name w:val="Table Classic 3"/>
    <w:basedOn w:val="83"/>
    <w:semiHidden/>
    <w:qFormat/>
    <w:uiPriority w:val="0"/>
    <w:pPr>
      <w:widowControl w:val="0"/>
      <w:jc w:val="both"/>
    </w:pPr>
    <w:rPr>
      <w:rFonts w:ascii="Times New Roman" w:hAnsi="Times New Roman" w:eastAsia="宋体"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3">
    <w:name w:val="Table Classic 4"/>
    <w:basedOn w:val="83"/>
    <w:semiHidden/>
    <w:qFormat/>
    <w:uiPriority w:val="0"/>
    <w:pPr>
      <w:widowControl w:val="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Simple 1"/>
    <w:basedOn w:val="83"/>
    <w:semiHidden/>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5">
    <w:name w:val="Table Simple 2"/>
    <w:basedOn w:val="83"/>
    <w:semiHidden/>
    <w:qFormat/>
    <w:uiPriority w:val="0"/>
    <w:pPr>
      <w:widowControl w:val="0"/>
      <w:jc w:val="both"/>
    </w:pPr>
    <w:rPr>
      <w:rFonts w:ascii="Times New Roman" w:hAnsi="Times New Roman" w:eastAsia="宋体" w:cs="Times New Roman"/>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Simple 3"/>
    <w:basedOn w:val="83"/>
    <w:semiHidden/>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7">
    <w:name w:val="Table Subtle 1"/>
    <w:basedOn w:val="83"/>
    <w:semiHidden/>
    <w:qFormat/>
    <w:uiPriority w:val="0"/>
    <w:pPr>
      <w:widowControl w:val="0"/>
      <w:jc w:val="both"/>
    </w:pPr>
    <w:rPr>
      <w:rFonts w:ascii="Times New Roman" w:hAnsi="Times New Roman" w:eastAsia="宋体" w:cs="Times New Roman"/>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Subtle 2"/>
    <w:basedOn w:val="83"/>
    <w:semiHidden/>
    <w:qFormat/>
    <w:uiPriority w:val="0"/>
    <w:pPr>
      <w:widowControl w:val="0"/>
      <w:jc w:val="both"/>
    </w:pPr>
    <w:rPr>
      <w:rFonts w:ascii="Times New Roman" w:hAnsi="Times New Roman" w:eastAsia="宋体" w:cs="Times New Roman"/>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3D effects 1"/>
    <w:basedOn w:val="83"/>
    <w:semiHidden/>
    <w:qFormat/>
    <w:uiPriority w:val="0"/>
    <w:pPr>
      <w:widowControl w:val="0"/>
      <w:jc w:val="both"/>
    </w:pPr>
    <w:rPr>
      <w:rFonts w:ascii="Times New Roman" w:hAnsi="Times New Roman" w:eastAsia="宋体" w:cs="Times New Roman"/>
    </w:r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3D effects 2"/>
    <w:basedOn w:val="83"/>
    <w:semiHidden/>
    <w:qFormat/>
    <w:uiPriority w:val="0"/>
    <w:pPr>
      <w:widowControl w:val="0"/>
      <w:jc w:val="both"/>
    </w:pPr>
    <w:rPr>
      <w:rFonts w:ascii="Times New Roman" w:hAnsi="Times New Roman" w:eastAsia="宋体" w:cs="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3"/>
    <w:basedOn w:val="83"/>
    <w:semiHidden/>
    <w:qFormat/>
    <w:uiPriority w:val="0"/>
    <w:pPr>
      <w:widowControl w:val="0"/>
      <w:jc w:val="both"/>
    </w:pPr>
    <w:rPr>
      <w:rFonts w:ascii="Times New Roman" w:hAnsi="Times New Roman" w:eastAsia="宋体" w:cs="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List 1"/>
    <w:basedOn w:val="83"/>
    <w:semiHidden/>
    <w:qFormat/>
    <w:uiPriority w:val="0"/>
    <w:pPr>
      <w:widowControl w:val="0"/>
      <w:jc w:val="both"/>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List 2"/>
    <w:basedOn w:val="83"/>
    <w:semiHidden/>
    <w:qFormat/>
    <w:uiPriority w:val="0"/>
    <w:pPr>
      <w:widowControl w:val="0"/>
      <w:jc w:val="both"/>
    </w:pPr>
    <w:rPr>
      <w:rFonts w:ascii="Times New Roman" w:hAnsi="Times New Roman" w:eastAsia="宋体" w:cs="Times New Roman"/>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3"/>
    <w:basedOn w:val="83"/>
    <w:semiHidden/>
    <w:qFormat/>
    <w:uiPriority w:val="0"/>
    <w:pPr>
      <w:widowControl w:val="0"/>
      <w:jc w:val="both"/>
    </w:pPr>
    <w:rPr>
      <w:rFonts w:ascii="Times New Roman" w:hAnsi="Times New Roman" w:eastAsia="宋体"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5">
    <w:name w:val="Table List 4"/>
    <w:basedOn w:val="83"/>
    <w:semiHidden/>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6">
    <w:name w:val="Table List 5"/>
    <w:basedOn w:val="83"/>
    <w:semiHidden/>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7">
    <w:name w:val="Table List 6"/>
    <w:basedOn w:val="83"/>
    <w:semiHidden/>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8">
    <w:name w:val="Table List 7"/>
    <w:basedOn w:val="83"/>
    <w:semiHidden/>
    <w:qFormat/>
    <w:uiPriority w:val="0"/>
    <w:pPr>
      <w:widowControl w:val="0"/>
      <w:jc w:val="both"/>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9">
    <w:name w:val="Table List 8"/>
    <w:basedOn w:val="83"/>
    <w:semiHidden/>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0">
    <w:name w:val="Table Contemporary"/>
    <w:basedOn w:val="83"/>
    <w:semiHidden/>
    <w:qFormat/>
    <w:uiPriority w:val="0"/>
    <w:pPr>
      <w:widowControl w:val="0"/>
      <w:jc w:val="both"/>
    </w:pPr>
    <w:rPr>
      <w:rFonts w:ascii="Times New Roman" w:hAnsi="Times New Roman" w:eastAsia="宋体" w:cs="Times New Roman"/>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1">
    <w:name w:val="Table Columns 1"/>
    <w:basedOn w:val="83"/>
    <w:semiHidden/>
    <w:qFormat/>
    <w:uiPriority w:val="0"/>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olumns 2"/>
    <w:basedOn w:val="83"/>
    <w:semiHidden/>
    <w:qFormat/>
    <w:uiPriority w:val="0"/>
    <w:pPr>
      <w:widowControl w:val="0"/>
      <w:jc w:val="both"/>
    </w:pPr>
    <w:rPr>
      <w:rFonts w:ascii="Times New Roman" w:hAnsi="Times New Roman" w:eastAsia="宋体" w:cs="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3">
    <w:name w:val="Table Columns 3"/>
    <w:basedOn w:val="83"/>
    <w:semiHidden/>
    <w:qFormat/>
    <w:uiPriority w:val="0"/>
    <w:pPr>
      <w:widowControl w:val="0"/>
      <w:jc w:val="both"/>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4">
    <w:name w:val="Table Columns 4"/>
    <w:basedOn w:val="83"/>
    <w:semiHidden/>
    <w:qFormat/>
    <w:uiPriority w:val="0"/>
    <w:pPr>
      <w:widowControl w:val="0"/>
      <w:jc w:val="both"/>
    </w:pPr>
    <w:rPr>
      <w:rFonts w:ascii="Times New Roman" w:hAnsi="Times New Roman" w:eastAsia="宋体" w:cs="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semiHidden/>
    <w:qFormat/>
    <w:uiPriority w:val="0"/>
    <w:pPr>
      <w:widowControl w:val="0"/>
      <w:jc w:val="both"/>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semiHidden/>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2"/>
    <w:basedOn w:val="83"/>
    <w:semiHidden/>
    <w:qFormat/>
    <w:uiPriority w:val="0"/>
    <w:pPr>
      <w:widowControl w:val="0"/>
      <w:jc w:val="both"/>
    </w:pPr>
    <w:rPr>
      <w:rFonts w:ascii="Times New Roman" w:hAnsi="Times New Roman" w:eastAsia="宋体" w:cs="Times New Roman"/>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8">
    <w:name w:val="Table Grid 3"/>
    <w:basedOn w:val="83"/>
    <w:semiHidden/>
    <w:qFormat/>
    <w:uiPriority w:val="0"/>
    <w:pPr>
      <w:widowControl w:val="0"/>
      <w:jc w:val="both"/>
    </w:pPr>
    <w:rPr>
      <w:rFonts w:ascii="Times New Roman" w:hAnsi="Times New Roman" w:eastAsia="宋体"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4"/>
    <w:basedOn w:val="83"/>
    <w:semiHidden/>
    <w:qFormat/>
    <w:uiPriority w:val="0"/>
    <w:pPr>
      <w:widowControl w:val="0"/>
      <w:jc w:val="both"/>
    </w:pPr>
    <w:rPr>
      <w:rFonts w:ascii="Times New Roman" w:hAnsi="Times New Roman" w:eastAsia="宋体"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0">
    <w:name w:val="Table Grid 5"/>
    <w:basedOn w:val="83"/>
    <w:semiHidden/>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6"/>
    <w:basedOn w:val="83"/>
    <w:semiHidden/>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7"/>
    <w:basedOn w:val="83"/>
    <w:semiHidden/>
    <w:qFormat/>
    <w:uiPriority w:val="0"/>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8"/>
    <w:basedOn w:val="83"/>
    <w:semiHidden/>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4">
    <w:name w:val="Table Web 1"/>
    <w:basedOn w:val="83"/>
    <w:semiHidden/>
    <w:qFormat/>
    <w:uiPriority w:val="0"/>
    <w:pPr>
      <w:widowControl w:val="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5">
    <w:name w:val="Table Web 2"/>
    <w:basedOn w:val="83"/>
    <w:semiHidden/>
    <w:qFormat/>
    <w:uiPriority w:val="0"/>
    <w:pPr>
      <w:widowControl w:val="0"/>
      <w:jc w:val="both"/>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6">
    <w:name w:val="Table Web 3"/>
    <w:basedOn w:val="83"/>
    <w:semiHidden/>
    <w:qFormat/>
    <w:uiPriority w:val="0"/>
    <w:pPr>
      <w:widowControl w:val="0"/>
      <w:jc w:val="both"/>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Professional"/>
    <w:basedOn w:val="83"/>
    <w:semiHidden/>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9">
    <w:name w:val="Strong"/>
    <w:qFormat/>
    <w:uiPriority w:val="0"/>
    <w:rPr>
      <w:b/>
      <w:bCs/>
    </w:rPr>
  </w:style>
  <w:style w:type="character" w:styleId="130">
    <w:name w:val="page number"/>
    <w:basedOn w:val="128"/>
    <w:qFormat/>
    <w:uiPriority w:val="0"/>
  </w:style>
  <w:style w:type="character" w:styleId="131">
    <w:name w:val="FollowedHyperlink"/>
    <w:basedOn w:val="128"/>
    <w:unhideWhenUsed/>
    <w:qFormat/>
    <w:uiPriority w:val="99"/>
    <w:rPr>
      <w:color w:val="800080" w:themeColor="followedHyperlink"/>
      <w:u w:val="single"/>
      <w14:textFill>
        <w14:solidFill>
          <w14:schemeClr w14:val="folHlink"/>
        </w14:solidFill>
      </w14:textFill>
    </w:rPr>
  </w:style>
  <w:style w:type="character" w:styleId="132">
    <w:name w:val="Emphasis"/>
    <w:qFormat/>
    <w:uiPriority w:val="20"/>
    <w:rPr>
      <w:i/>
      <w:iCs/>
    </w:rPr>
  </w:style>
  <w:style w:type="character" w:styleId="133">
    <w:name w:val="line number"/>
    <w:basedOn w:val="128"/>
    <w:semiHidden/>
    <w:qFormat/>
    <w:uiPriority w:val="0"/>
  </w:style>
  <w:style w:type="character" w:styleId="134">
    <w:name w:val="HTML Definition"/>
    <w:semiHidden/>
    <w:qFormat/>
    <w:uiPriority w:val="0"/>
    <w:rPr>
      <w:i/>
      <w:iCs/>
    </w:rPr>
  </w:style>
  <w:style w:type="character" w:styleId="135">
    <w:name w:val="HTML Typewriter"/>
    <w:semiHidden/>
    <w:qFormat/>
    <w:uiPriority w:val="0"/>
    <w:rPr>
      <w:rFonts w:ascii="Courier New" w:hAnsi="Courier New" w:cs="Courier New"/>
      <w:sz w:val="20"/>
      <w:szCs w:val="20"/>
    </w:rPr>
  </w:style>
  <w:style w:type="character" w:styleId="136">
    <w:name w:val="HTML Acronym"/>
    <w:basedOn w:val="128"/>
    <w:semiHidden/>
    <w:qFormat/>
    <w:uiPriority w:val="0"/>
  </w:style>
  <w:style w:type="character" w:styleId="137">
    <w:name w:val="HTML Variable"/>
    <w:semiHidden/>
    <w:qFormat/>
    <w:uiPriority w:val="0"/>
    <w:rPr>
      <w:i/>
      <w:iCs/>
    </w:rPr>
  </w:style>
  <w:style w:type="character" w:styleId="138">
    <w:name w:val="Hyperlink"/>
    <w:qFormat/>
    <w:uiPriority w:val="99"/>
    <w:rPr>
      <w:color w:val="0000FF"/>
      <w:u w:val="single"/>
    </w:rPr>
  </w:style>
  <w:style w:type="character" w:styleId="139">
    <w:name w:val="HTML Code"/>
    <w:semiHidden/>
    <w:qFormat/>
    <w:uiPriority w:val="0"/>
    <w:rPr>
      <w:rFonts w:ascii="Courier New" w:hAnsi="Courier New" w:cs="Courier New"/>
      <w:sz w:val="20"/>
      <w:szCs w:val="20"/>
    </w:rPr>
  </w:style>
  <w:style w:type="character" w:styleId="140">
    <w:name w:val="annotation reference"/>
    <w:qFormat/>
    <w:uiPriority w:val="99"/>
    <w:rPr>
      <w:sz w:val="21"/>
      <w:szCs w:val="21"/>
    </w:rPr>
  </w:style>
  <w:style w:type="character" w:styleId="141">
    <w:name w:val="HTML Cite"/>
    <w:semiHidden/>
    <w:qFormat/>
    <w:uiPriority w:val="0"/>
    <w:rPr>
      <w:i/>
      <w:iCs/>
    </w:rPr>
  </w:style>
  <w:style w:type="character" w:styleId="142">
    <w:name w:val="HTML Keyboard"/>
    <w:semiHidden/>
    <w:qFormat/>
    <w:uiPriority w:val="0"/>
    <w:rPr>
      <w:rFonts w:ascii="Courier New" w:hAnsi="Courier New" w:cs="Courier New"/>
      <w:sz w:val="20"/>
      <w:szCs w:val="20"/>
    </w:rPr>
  </w:style>
  <w:style w:type="character" w:styleId="143">
    <w:name w:val="HTML Sample"/>
    <w:semiHidden/>
    <w:qFormat/>
    <w:uiPriority w:val="0"/>
    <w:rPr>
      <w:rFonts w:ascii="Courier New" w:hAnsi="Courier New" w:cs="Courier New"/>
    </w:rPr>
  </w:style>
  <w:style w:type="character" w:customStyle="1" w:styleId="144">
    <w:name w:val="页眉 字符1"/>
    <w:basedOn w:val="128"/>
    <w:link w:val="54"/>
    <w:semiHidden/>
    <w:qFormat/>
    <w:uiPriority w:val="99"/>
    <w:rPr>
      <w:sz w:val="18"/>
      <w:szCs w:val="18"/>
    </w:rPr>
  </w:style>
  <w:style w:type="character" w:customStyle="1" w:styleId="145">
    <w:name w:val="页脚 字符1"/>
    <w:basedOn w:val="128"/>
    <w:link w:val="52"/>
    <w:semiHidden/>
    <w:qFormat/>
    <w:uiPriority w:val="99"/>
    <w:rPr>
      <w:sz w:val="18"/>
      <w:szCs w:val="18"/>
    </w:rPr>
  </w:style>
  <w:style w:type="character" w:customStyle="1" w:styleId="146">
    <w:name w:val="标题 1 字符"/>
    <w:basedOn w:val="128"/>
    <w:link w:val="2"/>
    <w:qFormat/>
    <w:uiPriority w:val="0"/>
    <w:rPr>
      <w:rFonts w:ascii="Times New Roman" w:hAnsi="Times New Roman" w:eastAsia="宋体" w:cs="Times New Roman"/>
      <w:b/>
      <w:sz w:val="32"/>
      <w:szCs w:val="20"/>
    </w:rPr>
  </w:style>
  <w:style w:type="character" w:customStyle="1" w:styleId="147">
    <w:name w:val="标题 2 Char"/>
    <w:basedOn w:val="128"/>
    <w:semiHidden/>
    <w:qFormat/>
    <w:uiPriority w:val="9"/>
    <w:rPr>
      <w:rFonts w:asciiTheme="majorHAnsi" w:hAnsiTheme="majorHAnsi" w:eastAsiaTheme="majorEastAsia" w:cstheme="majorBidi"/>
      <w:b/>
      <w:bCs/>
      <w:sz w:val="32"/>
      <w:szCs w:val="32"/>
    </w:rPr>
  </w:style>
  <w:style w:type="character" w:customStyle="1" w:styleId="148">
    <w:name w:val="标题 3 Char"/>
    <w:basedOn w:val="128"/>
    <w:semiHidden/>
    <w:qFormat/>
    <w:uiPriority w:val="9"/>
    <w:rPr>
      <w:rFonts w:ascii="Times New Roman" w:hAnsi="Times New Roman" w:eastAsia="宋体" w:cs="Times New Roman"/>
      <w:b/>
      <w:bCs/>
      <w:sz w:val="32"/>
      <w:szCs w:val="32"/>
    </w:rPr>
  </w:style>
  <w:style w:type="character" w:customStyle="1" w:styleId="149">
    <w:name w:val="标题 4 字符"/>
    <w:basedOn w:val="128"/>
    <w:link w:val="5"/>
    <w:qFormat/>
    <w:uiPriority w:val="0"/>
    <w:rPr>
      <w:rFonts w:ascii="Times New Roman" w:hAnsi="Times New Roman" w:eastAsia="宋体" w:cs="Times New Roman"/>
      <w:b/>
      <w:sz w:val="22"/>
      <w:szCs w:val="20"/>
    </w:rPr>
  </w:style>
  <w:style w:type="character" w:customStyle="1" w:styleId="150">
    <w:name w:val="标题 5 字符"/>
    <w:basedOn w:val="128"/>
    <w:link w:val="6"/>
    <w:qFormat/>
    <w:uiPriority w:val="0"/>
    <w:rPr>
      <w:rFonts w:ascii="Times New Roman" w:hAnsi="Times New Roman" w:eastAsia="宋体" w:cs="Times New Roman"/>
      <w:szCs w:val="20"/>
    </w:rPr>
  </w:style>
  <w:style w:type="character" w:customStyle="1" w:styleId="151">
    <w:name w:val="标题 6 字符"/>
    <w:basedOn w:val="128"/>
    <w:link w:val="7"/>
    <w:qFormat/>
    <w:uiPriority w:val="0"/>
    <w:rPr>
      <w:rFonts w:ascii="Times New Roman" w:hAnsi="Times New Roman" w:eastAsia="宋体" w:cs="Times New Roman"/>
      <w:szCs w:val="20"/>
    </w:rPr>
  </w:style>
  <w:style w:type="character" w:customStyle="1" w:styleId="152">
    <w:name w:val="标题 7 字符"/>
    <w:basedOn w:val="128"/>
    <w:link w:val="8"/>
    <w:qFormat/>
    <w:uiPriority w:val="0"/>
    <w:rPr>
      <w:rFonts w:ascii="Times New Roman" w:hAnsi="Times New Roman" w:eastAsia="宋体" w:cs="Times New Roman"/>
      <w:szCs w:val="20"/>
    </w:rPr>
  </w:style>
  <w:style w:type="character" w:customStyle="1" w:styleId="153">
    <w:name w:val="标题 8 字符"/>
    <w:basedOn w:val="128"/>
    <w:link w:val="9"/>
    <w:qFormat/>
    <w:uiPriority w:val="0"/>
    <w:rPr>
      <w:rFonts w:ascii="Times New Roman" w:hAnsi="Times New Roman" w:eastAsia="宋体" w:cs="Times New Roman"/>
      <w:szCs w:val="20"/>
    </w:rPr>
  </w:style>
  <w:style w:type="character" w:customStyle="1" w:styleId="154">
    <w:name w:val="标题 9 字符"/>
    <w:basedOn w:val="128"/>
    <w:link w:val="10"/>
    <w:qFormat/>
    <w:uiPriority w:val="0"/>
    <w:rPr>
      <w:rFonts w:ascii="Times New Roman" w:hAnsi="Times New Roman" w:eastAsia="宋体" w:cs="Times New Roman"/>
      <w:szCs w:val="20"/>
    </w:rPr>
  </w:style>
  <w:style w:type="paragraph" w:customStyle="1" w:styleId="155">
    <w:name w:v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6">
    <w:name w:val="font10pt"/>
    <w:basedOn w:val="128"/>
    <w:qFormat/>
    <w:uiPriority w:val="0"/>
  </w:style>
  <w:style w:type="character" w:customStyle="1" w:styleId="157">
    <w:name w:val="三级 Char"/>
    <w:link w:val="158"/>
    <w:qFormat/>
    <w:uiPriority w:val="0"/>
    <w:rPr>
      <w:rFonts w:ascii="宋体" w:hAnsi="宋体"/>
      <w:szCs w:val="21"/>
    </w:rPr>
  </w:style>
  <w:style w:type="paragraph" w:customStyle="1" w:styleId="158">
    <w:name w:val="三级"/>
    <w:basedOn w:val="1"/>
    <w:link w:val="157"/>
    <w:qFormat/>
    <w:uiPriority w:val="0"/>
    <w:pPr>
      <w:numPr>
        <w:ilvl w:val="0"/>
        <w:numId w:val="11"/>
      </w:numPr>
    </w:pPr>
    <w:rPr>
      <w:rFonts w:ascii="宋体" w:hAnsi="宋体" w:eastAsiaTheme="minorEastAsia" w:cstheme="minorBidi"/>
      <w:szCs w:val="21"/>
    </w:rPr>
  </w:style>
  <w:style w:type="character" w:customStyle="1" w:styleId="159">
    <w:name w:val="dash7eaf_6587_672c_002c_666e_901a_6587_5b57__char1"/>
    <w:qFormat/>
    <w:uiPriority w:val="0"/>
    <w:rPr>
      <w:rFonts w:hint="default" w:ascii="Courier New" w:hAnsi="Courier New" w:cs="Courier New"/>
      <w:sz w:val="20"/>
      <w:szCs w:val="20"/>
    </w:rPr>
  </w:style>
  <w:style w:type="character" w:customStyle="1" w:styleId="160">
    <w:name w:val="标题 字符"/>
    <w:link w:val="79"/>
    <w:qFormat/>
    <w:uiPriority w:val="0"/>
    <w:rPr>
      <w:rFonts w:ascii="Arial" w:hAnsi="Arial" w:eastAsia="隶书" w:cs="Arial"/>
      <w:b/>
      <w:bCs/>
      <w:sz w:val="32"/>
      <w:szCs w:val="32"/>
    </w:rPr>
  </w:style>
  <w:style w:type="character" w:customStyle="1" w:styleId="161">
    <w:name w:val="apple-style-span"/>
    <w:basedOn w:val="128"/>
    <w:qFormat/>
    <w:uiPriority w:val="0"/>
  </w:style>
  <w:style w:type="character" w:customStyle="1" w:styleId="162">
    <w:name w:val="标题 3 Char1"/>
    <w:qFormat/>
    <w:uiPriority w:val="0"/>
    <w:rPr>
      <w:rFonts w:ascii="宋体" w:hAnsi="宋体" w:eastAsia="宋体"/>
      <w:b/>
      <w:bCs/>
      <w:kern w:val="2"/>
      <w:sz w:val="28"/>
      <w:szCs w:val="32"/>
      <w:lang w:val="en-US" w:eastAsia="zh-CN" w:bidi="ar-SA"/>
    </w:rPr>
  </w:style>
  <w:style w:type="character" w:customStyle="1" w:styleId="163">
    <w:name w:val="标题 3 字符"/>
    <w:link w:val="4"/>
    <w:qFormat/>
    <w:uiPriority w:val="0"/>
    <w:rPr>
      <w:rFonts w:ascii="Times New Roman" w:hAnsi="Times New Roman" w:eastAsia="宋体" w:cs="Times New Roman"/>
      <w:b/>
      <w:sz w:val="24"/>
      <w:szCs w:val="20"/>
    </w:rPr>
  </w:style>
  <w:style w:type="character" w:customStyle="1" w:styleId="164">
    <w:name w:val="msochangeprop"/>
    <w:basedOn w:val="128"/>
    <w:qFormat/>
    <w:uiPriority w:val="0"/>
  </w:style>
  <w:style w:type="character" w:customStyle="1" w:styleId="165">
    <w:name w:val="正文缩进 字符"/>
    <w:qFormat/>
    <w:uiPriority w:val="0"/>
    <w:rPr>
      <w:rFonts w:eastAsia="宋体"/>
      <w:kern w:val="2"/>
      <w:sz w:val="21"/>
      <w:lang w:val="en-US" w:eastAsia="zh-CN" w:bidi="ar-SA"/>
    </w:rPr>
  </w:style>
  <w:style w:type="character" w:customStyle="1" w:styleId="166">
    <w:name w:val="attr_detail_value"/>
    <w:basedOn w:val="128"/>
    <w:qFormat/>
    <w:uiPriority w:val="0"/>
  </w:style>
  <w:style w:type="character" w:customStyle="1" w:styleId="167">
    <w:name w:val="纯文本 字符"/>
    <w:link w:val="43"/>
    <w:qFormat/>
    <w:uiPriority w:val="0"/>
    <w:rPr>
      <w:rFonts w:ascii="宋体" w:hAnsi="Courier New" w:eastAsia="宋体" w:cs="Courier New"/>
      <w:szCs w:val="21"/>
    </w:rPr>
  </w:style>
  <w:style w:type="character" w:customStyle="1" w:styleId="168">
    <w:name w:val="blacktext"/>
    <w:basedOn w:val="128"/>
    <w:qFormat/>
    <w:uiPriority w:val="0"/>
  </w:style>
  <w:style w:type="character" w:customStyle="1" w:styleId="169">
    <w:name w:val="text1"/>
    <w:basedOn w:val="128"/>
    <w:qFormat/>
    <w:uiPriority w:val="0"/>
  </w:style>
  <w:style w:type="character" w:customStyle="1" w:styleId="170">
    <w:name w:val="f14b1"/>
    <w:semiHidden/>
    <w:qFormat/>
    <w:uiPriority w:val="0"/>
    <w:rPr>
      <w:b/>
      <w:bCs/>
      <w:sz w:val="21"/>
      <w:szCs w:val="21"/>
    </w:rPr>
  </w:style>
  <w:style w:type="character" w:customStyle="1" w:styleId="171">
    <w:name w:val="批注文字 字符"/>
    <w:link w:val="26"/>
    <w:qFormat/>
    <w:uiPriority w:val="99"/>
  </w:style>
  <w:style w:type="character" w:customStyle="1" w:styleId="172">
    <w:name w:val="ggwenhao"/>
    <w:basedOn w:val="128"/>
    <w:semiHidden/>
    <w:qFormat/>
    <w:uiPriority w:val="0"/>
  </w:style>
  <w:style w:type="character" w:customStyle="1" w:styleId="173">
    <w:name w:val="批注文字 Char"/>
    <w:qFormat/>
    <w:uiPriority w:val="99"/>
    <w:rPr>
      <w:kern w:val="2"/>
      <w:sz w:val="21"/>
      <w:szCs w:val="24"/>
    </w:rPr>
  </w:style>
  <w:style w:type="character" w:customStyle="1" w:styleId="174">
    <w:name w:val="页眉 字符"/>
    <w:qFormat/>
    <w:uiPriority w:val="0"/>
    <w:rPr>
      <w:kern w:val="2"/>
      <w:sz w:val="18"/>
      <w:szCs w:val="18"/>
    </w:rPr>
  </w:style>
  <w:style w:type="character" w:customStyle="1" w:styleId="175">
    <w:name w:val="列表段落 字符"/>
    <w:link w:val="176"/>
    <w:qFormat/>
    <w:uiPriority w:val="0"/>
    <w:rPr>
      <w:szCs w:val="24"/>
    </w:rPr>
  </w:style>
  <w:style w:type="paragraph" w:customStyle="1" w:styleId="176">
    <w:name w:val="List Paragraph"/>
    <w:basedOn w:val="1"/>
    <w:link w:val="175"/>
    <w:qFormat/>
    <w:uiPriority w:val="0"/>
    <w:pPr>
      <w:ind w:firstLine="420" w:firstLineChars="200"/>
    </w:pPr>
    <w:rPr>
      <w:rFonts w:asciiTheme="minorHAnsi" w:hAnsiTheme="minorHAnsi" w:eastAsiaTheme="minorEastAsia" w:cstheme="minorBidi"/>
      <w:szCs w:val="24"/>
    </w:rPr>
  </w:style>
  <w:style w:type="character" w:customStyle="1" w:styleId="177">
    <w:name w:val="页脚 字符"/>
    <w:qFormat/>
    <w:uiPriority w:val="99"/>
    <w:rPr>
      <w:kern w:val="2"/>
      <w:sz w:val="18"/>
      <w:szCs w:val="18"/>
    </w:rPr>
  </w:style>
  <w:style w:type="character" w:customStyle="1" w:styleId="178">
    <w:name w:val="0级 Char"/>
    <w:link w:val="179"/>
    <w:qFormat/>
    <w:uiPriority w:val="0"/>
    <w:rPr>
      <w:rFonts w:ascii="宋体" w:hAnsi="宋体"/>
      <w:color w:val="000000"/>
      <w:szCs w:val="21"/>
    </w:rPr>
  </w:style>
  <w:style w:type="paragraph" w:customStyle="1" w:styleId="179">
    <w:name w:val="0级"/>
    <w:basedOn w:val="1"/>
    <w:link w:val="178"/>
    <w:qFormat/>
    <w:uiPriority w:val="0"/>
    <w:pPr>
      <w:ind w:left="991" w:leftChars="472"/>
    </w:pPr>
    <w:rPr>
      <w:rFonts w:ascii="宋体" w:hAnsi="宋体" w:eastAsiaTheme="minorEastAsia" w:cstheme="minorBidi"/>
      <w:color w:val="000000"/>
      <w:szCs w:val="21"/>
    </w:rPr>
  </w:style>
  <w:style w:type="character" w:customStyle="1" w:styleId="180">
    <w:name w:val="批注框文本 字符"/>
    <w:link w:val="51"/>
    <w:semiHidden/>
    <w:qFormat/>
    <w:locked/>
    <w:uiPriority w:val="99"/>
    <w:rPr>
      <w:sz w:val="18"/>
      <w:szCs w:val="18"/>
    </w:rPr>
  </w:style>
  <w:style w:type="character" w:customStyle="1" w:styleId="181">
    <w:name w:val="标题 2 字符"/>
    <w:link w:val="3"/>
    <w:qFormat/>
    <w:uiPriority w:val="0"/>
    <w:rPr>
      <w:rFonts w:ascii="Times New Roman" w:hAnsi="Times New Roman" w:eastAsia="宋体" w:cs="Times New Roman"/>
      <w:b/>
      <w:sz w:val="28"/>
      <w:szCs w:val="20"/>
    </w:rPr>
  </w:style>
  <w:style w:type="character" w:customStyle="1" w:styleId="182">
    <w:name w:val="ss1"/>
    <w:semiHidden/>
    <w:qFormat/>
    <w:uiPriority w:val="0"/>
    <w:rPr>
      <w:rFonts w:hint="default" w:ascii="ˎ̥" w:hAnsi="ˎ̥"/>
      <w:color w:val="000000"/>
      <w:sz w:val="18"/>
      <w:szCs w:val="18"/>
      <w:u w:val="none"/>
    </w:rPr>
  </w:style>
  <w:style w:type="character" w:customStyle="1" w:styleId="183">
    <w:name w:val="f142"/>
    <w:semiHidden/>
    <w:qFormat/>
    <w:uiPriority w:val="0"/>
    <w:rPr>
      <w:sz w:val="21"/>
      <w:szCs w:val="21"/>
    </w:rPr>
  </w:style>
  <w:style w:type="character" w:customStyle="1" w:styleId="184">
    <w:name w:val="style3"/>
    <w:basedOn w:val="128"/>
    <w:qFormat/>
    <w:uiPriority w:val="0"/>
  </w:style>
  <w:style w:type="character" w:customStyle="1" w:styleId="185">
    <w:name w:val="正文缩进 字符1"/>
    <w:link w:val="19"/>
    <w:qFormat/>
    <w:uiPriority w:val="0"/>
  </w:style>
  <w:style w:type="character" w:customStyle="1" w:styleId="186">
    <w:name w:val="tpc_content1"/>
    <w:qFormat/>
    <w:uiPriority w:val="0"/>
    <w:rPr>
      <w:sz w:val="20"/>
      <w:szCs w:val="20"/>
    </w:rPr>
  </w:style>
  <w:style w:type="character" w:customStyle="1" w:styleId="187">
    <w:name w:val="正文缩进 Char"/>
    <w:qFormat/>
    <w:uiPriority w:val="0"/>
    <w:rPr>
      <w:rFonts w:eastAsia="宋体"/>
      <w:kern w:val="2"/>
      <w:sz w:val="21"/>
      <w:szCs w:val="24"/>
      <w:lang w:val="en-US" w:eastAsia="zh-CN" w:bidi="ar-SA"/>
    </w:rPr>
  </w:style>
  <w:style w:type="character" w:customStyle="1" w:styleId="188">
    <w:name w:val="unnamed211"/>
    <w:semiHidden/>
    <w:qFormat/>
    <w:uiPriority w:val="0"/>
    <w:rPr>
      <w:sz w:val="23"/>
      <w:szCs w:val="23"/>
    </w:rPr>
  </w:style>
  <w:style w:type="character" w:customStyle="1" w:styleId="189">
    <w:name w:val="副标题 字符"/>
    <w:basedOn w:val="128"/>
    <w:link w:val="61"/>
    <w:qFormat/>
    <w:uiPriority w:val="0"/>
    <w:rPr>
      <w:rFonts w:ascii="Arial" w:hAnsi="Arial" w:eastAsia="宋体" w:cs="Arial"/>
      <w:b/>
      <w:bCs/>
      <w:kern w:val="28"/>
      <w:sz w:val="32"/>
      <w:szCs w:val="32"/>
    </w:rPr>
  </w:style>
  <w:style w:type="character" w:customStyle="1" w:styleId="190">
    <w:name w:val="标题 Char"/>
    <w:basedOn w:val="128"/>
    <w:qFormat/>
    <w:uiPriority w:val="10"/>
    <w:rPr>
      <w:rFonts w:eastAsia="宋体" w:asciiTheme="majorHAnsi" w:hAnsiTheme="majorHAnsi" w:cstheme="majorBidi"/>
      <w:b/>
      <w:bCs/>
      <w:sz w:val="32"/>
      <w:szCs w:val="32"/>
    </w:rPr>
  </w:style>
  <w:style w:type="character" w:customStyle="1" w:styleId="191">
    <w:name w:val="正文文本 字符"/>
    <w:basedOn w:val="128"/>
    <w:link w:val="32"/>
    <w:qFormat/>
    <w:uiPriority w:val="0"/>
    <w:rPr>
      <w:rFonts w:ascii="宋体" w:hAnsi="Times New Roman" w:eastAsia="宋体" w:cs="Times New Roman"/>
      <w:kern w:val="10"/>
      <w:szCs w:val="20"/>
    </w:rPr>
  </w:style>
  <w:style w:type="character" w:customStyle="1" w:styleId="192">
    <w:name w:val="正文文本 2 字符"/>
    <w:basedOn w:val="128"/>
    <w:link w:val="71"/>
    <w:qFormat/>
    <w:uiPriority w:val="0"/>
    <w:rPr>
      <w:rFonts w:ascii="宋体" w:hAnsi="宋体" w:eastAsia="宋体" w:cs="Times New Roman"/>
      <w:sz w:val="22"/>
    </w:rPr>
  </w:style>
  <w:style w:type="character" w:customStyle="1" w:styleId="193">
    <w:name w:val="信息标题 字符"/>
    <w:basedOn w:val="128"/>
    <w:link w:val="74"/>
    <w:semiHidden/>
    <w:qFormat/>
    <w:uiPriority w:val="0"/>
    <w:rPr>
      <w:rFonts w:ascii="Arial" w:hAnsi="Arial" w:eastAsia="宋体" w:cs="Arial"/>
      <w:sz w:val="24"/>
      <w:szCs w:val="24"/>
      <w:shd w:val="pct20" w:color="auto" w:fill="auto"/>
    </w:rPr>
  </w:style>
  <w:style w:type="paragraph" w:customStyle="1" w:styleId="194">
    <w:name w:val="样式 USE 1 + 行距: 单倍行距"/>
    <w:basedOn w:val="1"/>
    <w:qFormat/>
    <w:uiPriority w:val="0"/>
    <w:pPr>
      <w:numPr>
        <w:ilvl w:val="0"/>
        <w:numId w:val="12"/>
      </w:numPr>
      <w:spacing w:line="180" w:lineRule="atLeast"/>
      <w:jc w:val="left"/>
    </w:pPr>
    <w:rPr>
      <w:rFonts w:ascii="宋体" w:hAnsi="宋体" w:cs="宋体"/>
      <w:b/>
      <w:bCs/>
      <w:sz w:val="24"/>
    </w:rPr>
  </w:style>
  <w:style w:type="character" w:customStyle="1" w:styleId="195">
    <w:name w:val="文档结构图 字符"/>
    <w:basedOn w:val="128"/>
    <w:link w:val="24"/>
    <w:semiHidden/>
    <w:qFormat/>
    <w:uiPriority w:val="0"/>
    <w:rPr>
      <w:rFonts w:ascii="Times New Roman" w:hAnsi="Times New Roman" w:eastAsia="宋体" w:cs="Times New Roman"/>
      <w:szCs w:val="20"/>
      <w:shd w:val="clear" w:color="auto" w:fill="000080"/>
    </w:rPr>
  </w:style>
  <w:style w:type="character" w:customStyle="1" w:styleId="196">
    <w:name w:val="正文文本缩进 3 字符"/>
    <w:basedOn w:val="128"/>
    <w:link w:val="66"/>
    <w:qFormat/>
    <w:uiPriority w:val="0"/>
    <w:rPr>
      <w:rFonts w:ascii="Times New Roman" w:hAnsi="Times New Roman" w:eastAsia="宋体" w:cs="Times New Roman"/>
      <w:sz w:val="16"/>
      <w:szCs w:val="16"/>
    </w:rPr>
  </w:style>
  <w:style w:type="paragraph" w:customStyle="1" w:styleId="197">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98">
    <w:name w:val="批注框文本 Char"/>
    <w:basedOn w:val="128"/>
    <w:semiHidden/>
    <w:qFormat/>
    <w:uiPriority w:val="99"/>
    <w:rPr>
      <w:rFonts w:ascii="Times New Roman" w:hAnsi="Times New Roman" w:eastAsia="宋体" w:cs="Times New Roman"/>
      <w:sz w:val="18"/>
      <w:szCs w:val="18"/>
    </w:rPr>
  </w:style>
  <w:style w:type="paragraph" w:customStyle="1" w:styleId="199">
    <w:name w:val="样式 (西文) 宋体 行距: 1.5 倍行距"/>
    <w:basedOn w:val="1"/>
    <w:qFormat/>
    <w:uiPriority w:val="0"/>
    <w:pPr>
      <w:spacing w:line="360" w:lineRule="auto"/>
    </w:pPr>
    <w:rPr>
      <w:rFonts w:ascii="宋体" w:hAnsi="宋体" w:cs="宋体"/>
    </w:rPr>
  </w:style>
  <w:style w:type="character" w:customStyle="1" w:styleId="200">
    <w:name w:val="纯文本 Char"/>
    <w:basedOn w:val="128"/>
    <w:semiHidden/>
    <w:qFormat/>
    <w:uiPriority w:val="99"/>
    <w:rPr>
      <w:rFonts w:ascii="宋体" w:hAnsi="Courier New" w:eastAsia="宋体" w:cs="Courier New"/>
      <w:szCs w:val="21"/>
    </w:rPr>
  </w:style>
  <w:style w:type="character" w:customStyle="1" w:styleId="201">
    <w:name w:val="批注文字 Char1"/>
    <w:basedOn w:val="128"/>
    <w:semiHidden/>
    <w:qFormat/>
    <w:uiPriority w:val="99"/>
    <w:rPr>
      <w:rFonts w:ascii="Times New Roman" w:hAnsi="Times New Roman" w:eastAsia="宋体" w:cs="Times New Roman"/>
      <w:szCs w:val="20"/>
    </w:rPr>
  </w:style>
  <w:style w:type="paragraph" w:customStyle="1" w:styleId="202">
    <w:name w:val="Char"/>
    <w:basedOn w:val="1"/>
    <w:qFormat/>
    <w:uiPriority w:val="0"/>
    <w:rPr>
      <w:rFonts w:ascii="仿宋_GB2312" w:eastAsia="仿宋_GB2312"/>
      <w:b/>
      <w:sz w:val="32"/>
      <w:szCs w:val="32"/>
    </w:rPr>
  </w:style>
  <w:style w:type="character" w:customStyle="1" w:styleId="203">
    <w:name w:val="正文文本缩进 2 字符"/>
    <w:basedOn w:val="128"/>
    <w:link w:val="49"/>
    <w:qFormat/>
    <w:uiPriority w:val="0"/>
    <w:rPr>
      <w:rFonts w:ascii="Times New Roman" w:hAnsi="Times New Roman" w:eastAsia="宋体" w:cs="Times New Roman"/>
      <w:szCs w:val="24"/>
    </w:rPr>
  </w:style>
  <w:style w:type="character" w:customStyle="1" w:styleId="204">
    <w:name w:val="正文文本缩进 字符"/>
    <w:basedOn w:val="128"/>
    <w:link w:val="33"/>
    <w:qFormat/>
    <w:uiPriority w:val="0"/>
    <w:rPr>
      <w:rFonts w:ascii="宋体" w:hAnsi="宋体" w:eastAsia="宋体" w:cs="Times New Roman"/>
      <w:color w:val="FF0000"/>
      <w:sz w:val="22"/>
    </w:rPr>
  </w:style>
  <w:style w:type="character" w:customStyle="1" w:styleId="205">
    <w:name w:val="正文文本 3 字符"/>
    <w:basedOn w:val="128"/>
    <w:link w:val="29"/>
    <w:qFormat/>
    <w:uiPriority w:val="0"/>
    <w:rPr>
      <w:rFonts w:ascii="Times New Roman" w:hAnsi="Times New Roman" w:eastAsia="宋体" w:cs="Times New Roman"/>
      <w:sz w:val="16"/>
      <w:szCs w:val="16"/>
    </w:rPr>
  </w:style>
  <w:style w:type="character" w:customStyle="1" w:styleId="206">
    <w:name w:val="正文文本首行缩进 2 字符"/>
    <w:basedOn w:val="204"/>
    <w:link w:val="82"/>
    <w:semiHidden/>
    <w:qFormat/>
    <w:uiPriority w:val="0"/>
    <w:rPr>
      <w:rFonts w:ascii="Times New Roman" w:hAnsi="Times New Roman" w:eastAsia="宋体" w:cs="Times New Roman"/>
      <w:color w:val="FF0000"/>
      <w:sz w:val="22"/>
      <w:szCs w:val="24"/>
    </w:rPr>
  </w:style>
  <w:style w:type="character" w:customStyle="1" w:styleId="207">
    <w:name w:val="注释标题 字符"/>
    <w:basedOn w:val="128"/>
    <w:link w:val="14"/>
    <w:semiHidden/>
    <w:qFormat/>
    <w:uiPriority w:val="0"/>
    <w:rPr>
      <w:rFonts w:ascii="Times New Roman" w:hAnsi="Times New Roman" w:eastAsia="宋体" w:cs="Times New Roman"/>
      <w:szCs w:val="24"/>
    </w:rPr>
  </w:style>
  <w:style w:type="character" w:customStyle="1" w:styleId="208">
    <w:name w:val="电子邮件签名 字符"/>
    <w:basedOn w:val="128"/>
    <w:link w:val="17"/>
    <w:semiHidden/>
    <w:qFormat/>
    <w:uiPriority w:val="0"/>
    <w:rPr>
      <w:rFonts w:ascii="Times New Roman" w:hAnsi="Times New Roman" w:eastAsia="宋体" w:cs="Times New Roman"/>
      <w:szCs w:val="24"/>
    </w:rPr>
  </w:style>
  <w:style w:type="character" w:customStyle="1" w:styleId="209">
    <w:name w:val="签名 字符"/>
    <w:basedOn w:val="128"/>
    <w:link w:val="55"/>
    <w:semiHidden/>
    <w:qFormat/>
    <w:uiPriority w:val="0"/>
    <w:rPr>
      <w:rFonts w:ascii="Times New Roman" w:hAnsi="Times New Roman" w:eastAsia="宋体" w:cs="Times New Roman"/>
      <w:szCs w:val="24"/>
    </w:rPr>
  </w:style>
  <w:style w:type="character" w:customStyle="1" w:styleId="210">
    <w:name w:val="HTML 地址 字符"/>
    <w:basedOn w:val="128"/>
    <w:link w:val="39"/>
    <w:semiHidden/>
    <w:qFormat/>
    <w:uiPriority w:val="0"/>
    <w:rPr>
      <w:rFonts w:ascii="Times New Roman" w:hAnsi="Times New Roman" w:eastAsia="宋体" w:cs="Times New Roman"/>
      <w:i/>
      <w:iCs/>
      <w:szCs w:val="24"/>
    </w:rPr>
  </w:style>
  <w:style w:type="character" w:customStyle="1" w:styleId="211">
    <w:name w:val="批注主题 字符"/>
    <w:basedOn w:val="201"/>
    <w:link w:val="80"/>
    <w:semiHidden/>
    <w:qFormat/>
    <w:uiPriority w:val="0"/>
    <w:rPr>
      <w:rFonts w:ascii="Times New Roman" w:hAnsi="Times New Roman" w:eastAsia="宋体" w:cs="Times New Roman"/>
      <w:b/>
      <w:bCs/>
      <w:szCs w:val="24"/>
    </w:rPr>
  </w:style>
  <w:style w:type="character" w:customStyle="1" w:styleId="212">
    <w:name w:val="结束语 字符"/>
    <w:basedOn w:val="128"/>
    <w:link w:val="30"/>
    <w:semiHidden/>
    <w:qFormat/>
    <w:uiPriority w:val="0"/>
    <w:rPr>
      <w:rFonts w:ascii="Times New Roman" w:hAnsi="Times New Roman" w:eastAsia="宋体" w:cs="Times New Roman"/>
      <w:szCs w:val="24"/>
    </w:rPr>
  </w:style>
  <w:style w:type="character" w:customStyle="1" w:styleId="213">
    <w:name w:val="HTML 预设格式 字符"/>
    <w:basedOn w:val="128"/>
    <w:link w:val="75"/>
    <w:qFormat/>
    <w:uiPriority w:val="0"/>
    <w:rPr>
      <w:rFonts w:ascii="宋体" w:hAnsi="宋体" w:eastAsia="宋体" w:cs="宋体"/>
      <w:color w:val="000000"/>
      <w:kern w:val="0"/>
      <w:sz w:val="24"/>
      <w:szCs w:val="24"/>
    </w:rPr>
  </w:style>
  <w:style w:type="character" w:customStyle="1" w:styleId="214">
    <w:name w:val="日期 字符"/>
    <w:basedOn w:val="128"/>
    <w:link w:val="48"/>
    <w:qFormat/>
    <w:uiPriority w:val="0"/>
    <w:rPr>
      <w:rFonts w:ascii="Times New Roman" w:hAnsi="Times New Roman" w:eastAsia="宋体" w:cs="Times New Roman"/>
      <w:szCs w:val="20"/>
    </w:rPr>
  </w:style>
  <w:style w:type="character" w:customStyle="1" w:styleId="215">
    <w:name w:val="称呼 字符"/>
    <w:basedOn w:val="128"/>
    <w:link w:val="28"/>
    <w:semiHidden/>
    <w:qFormat/>
    <w:uiPriority w:val="0"/>
    <w:rPr>
      <w:rFonts w:ascii="Times New Roman" w:hAnsi="Times New Roman" w:eastAsia="宋体" w:cs="Times New Roman"/>
      <w:szCs w:val="24"/>
    </w:rPr>
  </w:style>
  <w:style w:type="character" w:customStyle="1" w:styleId="216">
    <w:name w:val="正文文本首行缩进 字符"/>
    <w:basedOn w:val="191"/>
    <w:link w:val="81"/>
    <w:semiHidden/>
    <w:qFormat/>
    <w:uiPriority w:val="0"/>
    <w:rPr>
      <w:rFonts w:ascii="Times New Roman" w:hAnsi="Times New Roman" w:eastAsia="宋体" w:cs="Times New Roman"/>
      <w:kern w:val="10"/>
      <w:szCs w:val="24"/>
    </w:rPr>
  </w:style>
  <w:style w:type="paragraph" w:customStyle="1" w:styleId="217">
    <w:name w:val="p0"/>
    <w:basedOn w:val="1"/>
    <w:qFormat/>
    <w:uiPriority w:val="0"/>
    <w:pPr>
      <w:widowControl/>
    </w:pPr>
    <w:rPr>
      <w:kern w:val="0"/>
      <w:szCs w:val="21"/>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USE 5"/>
    <w:basedOn w:val="1"/>
    <w:qFormat/>
    <w:uiPriority w:val="0"/>
    <w:pPr>
      <w:numPr>
        <w:ilvl w:val="4"/>
        <w:numId w:val="12"/>
      </w:numPr>
      <w:spacing w:line="360" w:lineRule="auto"/>
      <w:jc w:val="left"/>
    </w:pPr>
    <w:rPr>
      <w:rFonts w:ascii="宋体" w:hAnsi="宋体"/>
      <w:sz w:val="24"/>
      <w:szCs w:val="24"/>
    </w:rPr>
  </w:style>
  <w:style w:type="paragraph" w:customStyle="1" w:styleId="220">
    <w:name w:val="USE 3"/>
    <w:basedOn w:val="1"/>
    <w:qFormat/>
    <w:uiPriority w:val="0"/>
    <w:pPr>
      <w:numPr>
        <w:ilvl w:val="2"/>
        <w:numId w:val="12"/>
      </w:numPr>
      <w:spacing w:line="360" w:lineRule="auto"/>
      <w:jc w:val="left"/>
    </w:pPr>
    <w:rPr>
      <w:rFonts w:ascii="宋体" w:hAnsi="宋体"/>
      <w:sz w:val="24"/>
    </w:rPr>
  </w:style>
  <w:style w:type="paragraph" w:customStyle="1" w:styleId="221">
    <w:name w:val="彩色列表 - 强调文字颜色 11"/>
    <w:basedOn w:val="1"/>
    <w:qFormat/>
    <w:uiPriority w:val="34"/>
    <w:pPr>
      <w:ind w:firstLine="420" w:firstLineChars="200"/>
    </w:pPr>
    <w:rPr>
      <w:szCs w:val="24"/>
    </w:rPr>
  </w:style>
  <w:style w:type="paragraph" w:customStyle="1" w:styleId="222">
    <w:name w:val="正文1"/>
    <w:basedOn w:val="2"/>
    <w:qFormat/>
    <w:uiPriority w:val="0"/>
    <w:pPr>
      <w:keepNext/>
      <w:keepLines/>
      <w:tabs>
        <w:tab w:val="left" w:pos="432"/>
      </w:tabs>
      <w:adjustRightInd w:val="0"/>
      <w:spacing w:line="480" w:lineRule="auto"/>
      <w:jc w:val="both"/>
      <w:textAlignment w:val="baseline"/>
    </w:pPr>
    <w:rPr>
      <w:rFonts w:ascii="黑体" w:hAnsi="宋体" w:eastAsia="黑体"/>
      <w:kern w:val="44"/>
      <w:szCs w:val="32"/>
    </w:rPr>
  </w:style>
  <w:style w:type="paragraph" w:customStyle="1" w:styleId="223">
    <w:name w:val="Char Char Char"/>
    <w:basedOn w:val="1"/>
    <w:qFormat/>
    <w:uiPriority w:val="0"/>
    <w:rPr>
      <w:rFonts w:ascii="Tahoma" w:hAnsi="Tahoma"/>
      <w:sz w:val="24"/>
    </w:rPr>
  </w:style>
  <w:style w:type="paragraph" w:customStyle="1" w:styleId="224">
    <w:name w:val="目录"/>
    <w:basedOn w:val="1"/>
    <w:qFormat/>
    <w:uiPriority w:val="0"/>
    <w:pPr>
      <w:widowControl/>
      <w:jc w:val="center"/>
    </w:pPr>
    <w:rPr>
      <w:rFonts w:ascii="宋体"/>
      <w:b/>
      <w:kern w:val="0"/>
      <w:sz w:val="36"/>
    </w:rPr>
  </w:style>
  <w:style w:type="paragraph" w:customStyle="1" w:styleId="225">
    <w:name w:val="Char1"/>
    <w:basedOn w:val="1"/>
    <w:qFormat/>
    <w:uiPriority w:val="0"/>
    <w:rPr>
      <w:rFonts w:ascii="仿宋_GB2312" w:eastAsia="仿宋_GB2312"/>
      <w:b/>
      <w:sz w:val="32"/>
      <w:szCs w:val="32"/>
    </w:rPr>
  </w:style>
  <w:style w:type="paragraph" w:customStyle="1" w:styleId="226">
    <w:name w:val="无间距"/>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28">
    <w:name w:val="2册标题2"/>
    <w:basedOn w:val="1"/>
    <w:next w:val="1"/>
    <w:qFormat/>
    <w:uiPriority w:val="0"/>
    <w:pPr>
      <w:widowControl/>
      <w:spacing w:beforeLines="50" w:afterLines="50" w:line="300" w:lineRule="auto"/>
      <w:jc w:val="left"/>
      <w:outlineLvl w:val="1"/>
    </w:pPr>
    <w:rPr>
      <w:rFonts w:ascii="Arial" w:hAnsi="Arial" w:eastAsia="黑体"/>
      <w:kern w:val="0"/>
      <w:sz w:val="30"/>
      <w:szCs w:val="30"/>
      <w:lang w:eastAsia="en-US" w:bidi="en-US"/>
    </w:rPr>
  </w:style>
  <w:style w:type="paragraph" w:customStyle="1" w:styleId="229">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30">
    <w:name w:val="dash6b63_6587"/>
    <w:basedOn w:val="1"/>
    <w:qFormat/>
    <w:uiPriority w:val="0"/>
    <w:pPr>
      <w:widowControl/>
    </w:pPr>
    <w:rPr>
      <w:kern w:val="0"/>
      <w:sz w:val="20"/>
    </w:rPr>
  </w:style>
  <w:style w:type="paragraph" w:customStyle="1" w:styleId="231">
    <w:name w:val="dash7eaf_6587_672c_002c_666e_901a_6587_5b57"/>
    <w:basedOn w:val="1"/>
    <w:qFormat/>
    <w:uiPriority w:val="0"/>
    <w:pPr>
      <w:widowControl/>
    </w:pPr>
    <w:rPr>
      <w:rFonts w:ascii="Courier New" w:hAnsi="Courier New" w:cs="Courier New"/>
      <w:kern w:val="0"/>
      <w:sz w:val="20"/>
    </w:rPr>
  </w:style>
  <w:style w:type="paragraph" w:customStyle="1" w:styleId="232">
    <w:name w:val="表1"/>
    <w:basedOn w:val="1"/>
    <w:qFormat/>
    <w:uiPriority w:val="0"/>
    <w:rPr>
      <w:rFonts w:hint="eastAsia" w:hAnsi="宋体"/>
      <w:sz w:val="24"/>
    </w:rPr>
  </w:style>
  <w:style w:type="paragraph" w:customStyle="1" w:styleId="233">
    <w:name w:val="Char Char Char Char Char Char Char1"/>
    <w:basedOn w:val="1"/>
    <w:qFormat/>
    <w:uiPriority w:val="0"/>
    <w:pPr>
      <w:tabs>
        <w:tab w:val="center" w:leader="middleDot" w:pos="9240"/>
        <w:tab w:val="center" w:pos="9520"/>
      </w:tabs>
    </w:pPr>
    <w:rPr>
      <w:rFonts w:eastAsia="仿宋_GB2312"/>
      <w:sz w:val="24"/>
      <w:szCs w:val="24"/>
    </w:rPr>
  </w:style>
  <w:style w:type="paragraph" w:customStyle="1" w:styleId="234">
    <w:name w:val="正文样式"/>
    <w:basedOn w:val="33"/>
    <w:qFormat/>
    <w:uiPriority w:val="0"/>
    <w:pPr>
      <w:spacing w:beforeLines="0"/>
      <w:ind w:firstLine="420"/>
      <w:jc w:val="left"/>
    </w:pPr>
    <w:rPr>
      <w:rFonts w:hAnsi="Times New Roman" w:cs="宋体"/>
      <w:color w:val="auto"/>
      <w:sz w:val="21"/>
      <w:szCs w:val="20"/>
    </w:rPr>
  </w:style>
  <w:style w:type="paragraph" w:customStyle="1" w:styleId="235">
    <w:name w:val="p16"/>
    <w:basedOn w:val="1"/>
    <w:qFormat/>
    <w:uiPriority w:val="0"/>
    <w:pPr>
      <w:widowControl/>
      <w:snapToGrid w:val="0"/>
    </w:pPr>
    <w:rPr>
      <w:rFonts w:ascii="宋体" w:hAnsi="宋体" w:cs="宋体"/>
      <w:kern w:val="0"/>
      <w:sz w:val="28"/>
      <w:szCs w:val="28"/>
    </w:rPr>
  </w:style>
  <w:style w:type="paragraph" w:customStyle="1" w:styleId="236">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37">
    <w:name w:val="修订1"/>
    <w:semiHidden/>
    <w:qFormat/>
    <w:uiPriority w:val="99"/>
    <w:rPr>
      <w:rFonts w:ascii="Times New Roman" w:hAnsi="Times New Roman" w:eastAsia="宋体" w:cs="Times New Roman"/>
      <w:kern w:val="2"/>
      <w:sz w:val="21"/>
      <w:lang w:val="en-US" w:eastAsia="zh-CN" w:bidi="ar-SA"/>
    </w:rPr>
  </w:style>
  <w:style w:type="paragraph" w:customStyle="1" w:styleId="23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szCs w:val="24"/>
    </w:rPr>
  </w:style>
  <w:style w:type="paragraph" w:customStyle="1" w:styleId="239">
    <w:name w:val="样式1"/>
    <w:basedOn w:val="5"/>
    <w:qFormat/>
    <w:uiPriority w:val="99"/>
    <w:pPr>
      <w:tabs>
        <w:tab w:val="left" w:pos="737"/>
        <w:tab w:val="left" w:pos="7380"/>
      </w:tabs>
      <w:snapToGrid w:val="0"/>
      <w:spacing w:before="100" w:after="100" w:line="420" w:lineRule="exact"/>
      <w:ind w:left="737" w:hanging="737"/>
      <w:outlineLvl w:val="4"/>
    </w:pPr>
    <w:rPr>
      <w:b w:val="0"/>
      <w:sz w:val="21"/>
    </w:rPr>
  </w:style>
  <w:style w:type="paragraph" w:customStyle="1" w:styleId="240">
    <w:name w:val="1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1">
    <w:name w:val="标题3"/>
    <w:basedOn w:val="2"/>
    <w:qFormat/>
    <w:uiPriority w:val="0"/>
    <w:pPr>
      <w:keepNext/>
      <w:tabs>
        <w:tab w:val="left" w:pos="432"/>
      </w:tabs>
      <w:spacing w:beforeLines="50" w:line="360" w:lineRule="auto"/>
    </w:pPr>
    <w:rPr>
      <w:rFonts w:ascii="宋体" w:hAnsi="宋体"/>
      <w:color w:val="000000"/>
      <w:kern w:val="44"/>
      <w:sz w:val="24"/>
    </w:rPr>
  </w:style>
  <w:style w:type="paragraph" w:customStyle="1" w:styleId="24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43">
    <w:name w:val="Char1 Char Char Char"/>
    <w:basedOn w:val="1"/>
    <w:qFormat/>
    <w:uiPriority w:val="0"/>
    <w:rPr>
      <w:rFonts w:eastAsia="仿宋_GB2312"/>
      <w:sz w:val="28"/>
      <w:szCs w:val="24"/>
    </w:rPr>
  </w:style>
  <w:style w:type="paragraph" w:customStyle="1" w:styleId="244">
    <w:name w:val="TOC 标题1"/>
    <w:basedOn w:val="2"/>
    <w:next w:val="1"/>
    <w:qFormat/>
    <w:uiPriority w:val="39"/>
    <w:pPr>
      <w:keepNext/>
      <w:keepLines/>
      <w:widowControl/>
      <w:spacing w:before="480" w:line="276" w:lineRule="auto"/>
      <w:jc w:val="left"/>
      <w:outlineLvl w:val="9"/>
    </w:pPr>
    <w:rPr>
      <w:rFonts w:ascii="Cambria" w:hAnsi="Cambria"/>
      <w:bCs/>
      <w:color w:val="365F91"/>
      <w:kern w:val="0"/>
      <w:sz w:val="28"/>
      <w:szCs w:val="28"/>
    </w:rPr>
  </w:style>
  <w:style w:type="paragraph" w:customStyle="1" w:styleId="245">
    <w:name w:val="样式3"/>
    <w:basedOn w:val="43"/>
    <w:qFormat/>
    <w:uiPriority w:val="0"/>
    <w:pPr>
      <w:spacing w:line="0" w:lineRule="atLeast"/>
      <w:outlineLvl w:val="0"/>
    </w:pPr>
    <w:rPr>
      <w:rFonts w:cs="Times New Roman"/>
      <w:sz w:val="28"/>
      <w:szCs w:val="20"/>
    </w:rPr>
  </w:style>
  <w:style w:type="paragraph" w:customStyle="1" w:styleId="246">
    <w:name w:val="USE 1"/>
    <w:basedOn w:val="1"/>
    <w:qFormat/>
    <w:uiPriority w:val="0"/>
    <w:pPr>
      <w:spacing w:line="200" w:lineRule="atLeast"/>
      <w:jc w:val="left"/>
    </w:pPr>
    <w:rPr>
      <w:rFonts w:ascii="宋体" w:hAnsi="宋体"/>
      <w:b/>
      <w:sz w:val="24"/>
      <w:szCs w:val="28"/>
    </w:rPr>
  </w:style>
  <w:style w:type="paragraph" w:customStyle="1" w:styleId="247">
    <w:name w:val="样式41"/>
    <w:basedOn w:val="1"/>
    <w:qFormat/>
    <w:uiPriority w:val="0"/>
    <w:pPr>
      <w:numPr>
        <w:ilvl w:val="0"/>
        <w:numId w:val="13"/>
      </w:numPr>
      <w:tabs>
        <w:tab w:val="left" w:pos="945"/>
      </w:tabs>
      <w:spacing w:line="360" w:lineRule="auto"/>
    </w:pPr>
    <w:rPr>
      <w:b/>
      <w:color w:val="000000"/>
      <w:sz w:val="24"/>
    </w:rPr>
  </w:style>
  <w:style w:type="paragraph" w:customStyle="1" w:styleId="248">
    <w:name w:val="文档正文"/>
    <w:basedOn w:val="1"/>
    <w:qFormat/>
    <w:uiPriority w:val="0"/>
    <w:pPr>
      <w:adjustRightInd w:val="0"/>
      <w:spacing w:line="480" w:lineRule="atLeast"/>
      <w:ind w:firstLine="567" w:firstLineChars="200"/>
      <w:textAlignment w:val="baseline"/>
    </w:pPr>
    <w:rPr>
      <w:rFonts w:ascii="长城仿宋"/>
      <w:kern w:val="0"/>
    </w:rPr>
  </w:style>
  <w:style w:type="paragraph" w:customStyle="1" w:styleId="249">
    <w:name w:val="List Paragraph1"/>
    <w:basedOn w:val="1"/>
    <w:qFormat/>
    <w:uiPriority w:val="0"/>
    <w:pPr>
      <w:ind w:firstLine="420" w:firstLineChars="200"/>
    </w:pPr>
    <w:rPr>
      <w:rFonts w:ascii="Calibri" w:hAnsi="Calibri" w:cs="黑体"/>
      <w:szCs w:val="22"/>
    </w:rPr>
  </w:style>
  <w:style w:type="paragraph" w:customStyle="1" w:styleId="250">
    <w:name w:val="列出段落1"/>
    <w:basedOn w:val="1"/>
    <w:qFormat/>
    <w:uiPriority w:val="0"/>
    <w:pPr>
      <w:ind w:firstLine="420" w:firstLineChars="200"/>
    </w:pPr>
    <w:rPr>
      <w:rFonts w:ascii="Calibri" w:hAnsi="Calibri"/>
      <w:szCs w:val="22"/>
    </w:rPr>
  </w:style>
  <w:style w:type="paragraph" w:customStyle="1" w:styleId="251">
    <w:name w:val="USE 2"/>
    <w:basedOn w:val="1"/>
    <w:qFormat/>
    <w:uiPriority w:val="0"/>
    <w:pPr>
      <w:numPr>
        <w:ilvl w:val="1"/>
        <w:numId w:val="12"/>
      </w:numPr>
      <w:spacing w:line="360" w:lineRule="auto"/>
      <w:jc w:val="left"/>
    </w:pPr>
    <w:rPr>
      <w:rFonts w:ascii="宋体" w:hAnsi="宋体"/>
      <w:sz w:val="24"/>
    </w:rPr>
  </w:style>
  <w:style w:type="paragraph" w:customStyle="1" w:styleId="252">
    <w:name w:val="a1"/>
    <w:basedOn w:val="1"/>
    <w:qFormat/>
    <w:uiPriority w:val="0"/>
    <w:pPr>
      <w:widowControl/>
      <w:spacing w:line="300" w:lineRule="atLeast"/>
      <w:jc w:val="left"/>
    </w:pPr>
    <w:rPr>
      <w:rFonts w:ascii="宋体" w:hAnsi="宋体" w:cs="宋体"/>
      <w:kern w:val="0"/>
      <w:sz w:val="18"/>
      <w:szCs w:val="18"/>
    </w:rPr>
  </w:style>
  <w:style w:type="paragraph" w:customStyle="1" w:styleId="253">
    <w:name w:val="p15"/>
    <w:basedOn w:val="1"/>
    <w:qFormat/>
    <w:uiPriority w:val="0"/>
    <w:pPr>
      <w:widowControl/>
      <w:jc w:val="center"/>
    </w:pPr>
    <w:rPr>
      <w:kern w:val="0"/>
      <w:szCs w:val="21"/>
    </w:rPr>
  </w:style>
  <w:style w:type="paragraph" w:customStyle="1" w:styleId="254">
    <w:name w:val="USE 4"/>
    <w:basedOn w:val="1"/>
    <w:qFormat/>
    <w:uiPriority w:val="0"/>
    <w:pPr>
      <w:numPr>
        <w:ilvl w:val="3"/>
        <w:numId w:val="12"/>
      </w:numPr>
      <w:spacing w:line="360" w:lineRule="auto"/>
      <w:jc w:val="left"/>
    </w:pPr>
    <w:rPr>
      <w:rFonts w:ascii="宋体" w:hAnsi="宋体"/>
      <w:sz w:val="24"/>
    </w:rPr>
  </w:style>
  <w:style w:type="paragraph" w:customStyle="1" w:styleId="255">
    <w:name w:val="Revision"/>
    <w:hidden/>
    <w:semiHidden/>
    <w:qFormat/>
    <w:uiPriority w:val="99"/>
    <w:rPr>
      <w:rFonts w:ascii="Times New Roman" w:hAnsi="Times New Roman" w:eastAsia="宋体" w:cs="Times New Roman"/>
      <w:kern w:val="2"/>
      <w:sz w:val="21"/>
      <w:lang w:val="en-US" w:eastAsia="zh-CN" w:bidi="ar-SA"/>
    </w:rPr>
  </w:style>
  <w:style w:type="character" w:customStyle="1" w:styleId="256">
    <w:name w:val="Unresolved Mention"/>
    <w:basedOn w:val="128"/>
    <w:unhideWhenUsed/>
    <w:qFormat/>
    <w:uiPriority w:val="99"/>
    <w:rPr>
      <w:color w:val="605E5C"/>
      <w:shd w:val="clear" w:color="auto" w:fill="E1DFDD"/>
    </w:rPr>
  </w:style>
  <w:style w:type="paragraph" w:customStyle="1" w:styleId="257">
    <w:name w:val="表格文字"/>
    <w:basedOn w:val="1"/>
    <w:qFormat/>
    <w:uiPriority w:val="0"/>
    <w:pPr>
      <w:widowControl/>
      <w:adjustRightInd w:val="0"/>
      <w:spacing w:line="420" w:lineRule="atLeast"/>
      <w:jc w:val="left"/>
      <w:textAlignment w:val="baseline"/>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4365</Words>
  <Characters>24883</Characters>
  <Lines>207</Lines>
  <Paragraphs>58</Paragraphs>
  <TotalTime>1</TotalTime>
  <ScaleCrop>false</ScaleCrop>
  <LinksUpToDate>false</LinksUpToDate>
  <CharactersWithSpaces>29190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2019-05-24T18:52:00Z</dcterms:created>
  <dc:creator>53209227@qq.com</dc:creator>
  <cp:lastModifiedBy>gongcheng</cp:lastModifiedBy>
  <cp:lastPrinted>2020-09-16T01:38:00Z</cp:lastPrinted>
  <dcterms:modified xsi:type="dcterms:W3CDTF">2025-03-10T16:13:31Z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9BC2B0D407055BCC2B9FCE67691FCC7F</vt:lpwstr>
  </property>
</Properties>
</file>