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仿宋" w:hAnsi="仿宋" w:eastAsia="仿宋" w:cs="黑体"/>
          <w:kern w:val="0"/>
          <w:sz w:val="32"/>
          <w:szCs w:val="32"/>
        </w:rPr>
      </w:pPr>
      <w:r>
        <w:rPr>
          <w:rFonts w:hint="eastAsia" w:ascii="仿宋" w:hAnsi="仿宋" w:eastAsia="仿宋" w:cs="黑体"/>
          <w:kern w:val="0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仿宋" w:hAnsi="仿宋" w:eastAsia="仿宋" w:cs="方正小标宋简体"/>
          <w:sz w:val="44"/>
          <w:szCs w:val="44"/>
        </w:rPr>
      </w:pPr>
      <w:bookmarkStart w:id="0" w:name="_GoBack"/>
      <w:r>
        <w:rPr>
          <w:rFonts w:hint="eastAsia" w:ascii="仿宋" w:hAnsi="仿宋" w:eastAsia="仿宋" w:cs="方正小标宋简体"/>
          <w:sz w:val="44"/>
          <w:szCs w:val="44"/>
        </w:rPr>
        <w:t>深圳市中小学</w:t>
      </w:r>
      <w:r>
        <w:rPr>
          <w:rFonts w:hint="eastAsia" w:ascii="仿宋" w:hAnsi="仿宋" w:eastAsia="仿宋" w:cs="方正小标宋简体"/>
          <w:sz w:val="44"/>
          <w:szCs w:val="44"/>
          <w:lang w:eastAsia="zh-CN"/>
        </w:rPr>
        <w:t>劳动</w:t>
      </w:r>
      <w:r>
        <w:rPr>
          <w:rFonts w:hint="eastAsia" w:ascii="仿宋" w:hAnsi="仿宋" w:eastAsia="仿宋" w:cs="方正小标宋简体"/>
          <w:sz w:val="44"/>
          <w:szCs w:val="44"/>
        </w:rPr>
        <w:t>教育基地评选标准</w:t>
      </w:r>
    </w:p>
    <w:bookmarkEnd w:id="0"/>
    <w:p>
      <w:pPr>
        <w:spacing w:line="200" w:lineRule="exact"/>
        <w:ind w:firstLine="420" w:firstLineChars="200"/>
        <w:rPr>
          <w:rFonts w:ascii="仿宋" w:hAnsi="仿宋" w:eastAsia="仿宋" w:cs="宋体"/>
          <w:szCs w:val="21"/>
        </w:rPr>
      </w:pPr>
    </w:p>
    <w:tbl>
      <w:tblPr>
        <w:tblStyle w:val="9"/>
        <w:tblW w:w="15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201"/>
        <w:gridCol w:w="956"/>
        <w:gridCol w:w="4"/>
        <w:gridCol w:w="6488"/>
        <w:gridCol w:w="702"/>
        <w:gridCol w:w="2695"/>
        <w:gridCol w:w="750"/>
        <w:gridCol w:w="765"/>
        <w:gridCol w:w="960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300" w:lineRule="exact"/>
              <w:jc w:val="both"/>
              <w:rPr>
                <w:rFonts w:ascii="仿宋" w:hAnsi="仿宋" w:eastAsia="仿宋" w:cs="宋体"/>
                <w:szCs w:val="21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-95250</wp:posOffset>
                      </wp:positionH>
                      <wp:positionV relativeFrom="paragraph">
                        <wp:posOffset>1428750</wp:posOffset>
                      </wp:positionV>
                      <wp:extent cx="510540" cy="1828800"/>
                      <wp:effectExtent l="0" t="0" r="0" b="0"/>
                      <wp:wrapSquare wrapText="bothSides"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jc w:val="center"/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  <w:t>基础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jc w:val="center"/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  <w:t>评价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jc w:val="center"/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 w:ascii="仿宋" w:hAnsi="仿宋" w:eastAsia="仿宋" w:cs="宋体"/>
                                      <w:b/>
                                      <w:sz w:val="18"/>
                                      <w:szCs w:val="18"/>
                                      <w:lang w:eastAsia="zh-CN"/>
                                    </w:rPr>
                                    <w:t>00</w:t>
                                  </w: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7.5pt;margin-top:112.5pt;height:144pt;width:40.2pt;mso-wrap-distance-bottom:0pt;mso-wrap-distance-left:9pt;mso-wrap-distance-right:9pt;mso-wrap-distance-top:0pt;z-index:251659264;mso-width-relative:page;mso-height-relative:page;" filled="f" stroked="f" coordsize="21600,21600" o:gfxdata="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K6I+oTW&#10;AAAACgEAAA8AAAAAAAAAAQAgAAAAIgAAAGRycy9kb3ducmV2LnhtbFBLAQIUABQAAAAIAIdO4kA7&#10;CNQhIgIAADIEAAAOAAAAAAAAAAEAIAAAACUBAABkcnMvZTJvRG9jLnhtbFBLBQYAAAAABgAGAFkB&#10;AAC5BQAAAAA=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  <w:t>基础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  <w:t>评价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default" w:ascii="仿宋" w:hAnsi="仿宋" w:eastAsia="仿宋" w:cs="宋体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120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一级指标</w:t>
            </w:r>
          </w:p>
        </w:tc>
        <w:tc>
          <w:tcPr>
            <w:tcW w:w="96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二级指标</w:t>
            </w: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三级指标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分值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评价标准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自评得分</w:t>
            </w:r>
          </w:p>
        </w:tc>
        <w:tc>
          <w:tcPr>
            <w:tcW w:w="765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是否必备项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是否现场勘查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sz w:val="18"/>
                <w:szCs w:val="18"/>
              </w:rPr>
              <w:t>专家评分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1.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基础指标</w:t>
            </w:r>
          </w:p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28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资质和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规模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648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1. 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场所具有营业执照或民办非企业单位登记证书等法人证书。</w:t>
            </w:r>
          </w:p>
          <w:p>
            <w:pPr>
              <w:widowControl/>
              <w:jc w:val="lef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评审依据：提供证书原件核验，未提供或提供不符合要求者或查验不符者不得分。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必备项，合则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分，不合</w:t>
            </w:r>
            <w:r>
              <w:rPr>
                <w:rFonts w:ascii="仿宋" w:hAnsi="仿宋" w:eastAsia="仿宋" w:cs="宋体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是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2. 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场所场地购买、租赁等合同合法规范，且在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年效期内。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评审依据：提供合同原件核验，未提供或提供不符合要求者或查验不符者不得分。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必备项，合则</w:t>
            </w: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分，不合</w:t>
            </w:r>
            <w:r>
              <w:rPr>
                <w:rFonts w:ascii="仿宋" w:hAnsi="仿宋" w:eastAsia="仿宋" w:cs="宋体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是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3. 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场所每期能同时容纳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名以上学生开展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教育活动，生均活动面积大于</w:t>
            </w: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平方米。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必备项，合则</w:t>
            </w: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分，不合</w:t>
            </w:r>
            <w:r>
              <w:rPr>
                <w:rFonts w:ascii="仿宋" w:hAnsi="仿宋" w:eastAsia="仿宋" w:cs="宋体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4. 有可供学生集中学习、体验、休整的场馆场地，功能齐全、布局科学合理。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布局、功能合理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分；较好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分；一般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设施设备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9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1. 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场所、设施等符合安全规定和环保标准，并定期检查，具备专业部门提供的检测验收合格报告。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评审依据：提供专业部门检测报告原件核验，未提供或提供不符合要求者或查验不符者不得分。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必备项，合则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分，不合</w:t>
            </w:r>
            <w:r>
              <w:rPr>
                <w:rFonts w:ascii="仿宋" w:hAnsi="仿宋" w:eastAsia="仿宋" w:cs="宋体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是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 场地公共信息导向标识健全，有安全逃生通道，提供具相关信息的概貌地图。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评审依据：提供概貌地图核验，未提供或提供不符合要求者或查验不符者不得分。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必备项，合则</w:t>
            </w: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分，不合</w:t>
            </w:r>
            <w:r>
              <w:rPr>
                <w:rFonts w:ascii="仿宋" w:hAnsi="仿宋" w:eastAsia="仿宋" w:cs="宋体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是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3. 基地配有必要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的劳动实训设施（也可采用虚拟现实等现代化实训设施）。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齐全、完好</w:t>
            </w: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分；一般</w:t>
            </w: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分；没有0分。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是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lang w:val="en-US" w:eastAsia="zh-CN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color w:val="0D0D0D"/>
                <w:szCs w:val="21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D0D0D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D0D0D"/>
                <w:sz w:val="18"/>
                <w:szCs w:val="18"/>
              </w:rPr>
              <w:t>4. 基地室内外有安装录像监控设备，24小时全方位实时录像监控，能正常工作，影像资料可保存</w:t>
            </w:r>
            <w:r>
              <w:rPr>
                <w:rFonts w:ascii="仿宋" w:hAnsi="仿宋" w:eastAsia="仿宋" w:cs="宋体"/>
                <w:color w:val="0D0D0D"/>
                <w:sz w:val="18"/>
                <w:szCs w:val="18"/>
              </w:rPr>
              <w:t>30</w:t>
            </w:r>
            <w:r>
              <w:rPr>
                <w:rFonts w:hint="eastAsia" w:ascii="仿宋" w:hAnsi="仿宋" w:eastAsia="仿宋" w:cs="宋体"/>
                <w:color w:val="0D0D0D"/>
                <w:sz w:val="18"/>
                <w:szCs w:val="18"/>
              </w:rPr>
              <w:t>天以上。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正常、完好，保存天数符合要求</w:t>
            </w: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分；没有0分。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color w:val="0D0D0D"/>
                <w:szCs w:val="21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color w:val="0D0D0D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D0D0D"/>
                <w:sz w:val="18"/>
                <w:szCs w:val="18"/>
              </w:rPr>
              <w:t>5. 基地设有医务室，能处理一般伤病事故并配备专职医务人员和基本医疗用品（或周边</w:t>
            </w:r>
            <w:r>
              <w:rPr>
                <w:rFonts w:ascii="仿宋" w:hAnsi="仿宋" w:eastAsia="仿宋" w:cs="宋体"/>
                <w:color w:val="0D0D0D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color w:val="0D0D0D"/>
                <w:sz w:val="18"/>
                <w:szCs w:val="18"/>
              </w:rPr>
              <w:t>公里有定点卫生室）。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配有应急伤病医务室，并配备专职人员，或周边有定点医务室</w:t>
            </w: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分；没有0分。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6. 基地危险地带设有安全防护设施，有安全警示标志。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设施标志完备</w:t>
            </w: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分；没有0分。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资源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. 具有深圳特色适宜中小学生开展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教育资源。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适宜开展活动，区域特色明显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分；较好</w:t>
            </w: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分，特色不明显</w:t>
            </w:r>
            <w:r>
              <w:rPr>
                <w:rFonts w:ascii="仿宋" w:hAnsi="仿宋" w:eastAsia="仿宋" w:cs="宋体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. 基地除自身资源外，周边</w:t>
            </w:r>
            <w:r>
              <w:rPr>
                <w:rFonts w:ascii="仿宋" w:hAnsi="仿宋" w:eastAsia="仿宋" w:cs="宋体"/>
                <w:sz w:val="18"/>
                <w:szCs w:val="18"/>
              </w:rPr>
              <w:t>10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公里以内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教育资源丰富（如科技馆、大型工业园区、自然资源、科研院所等），可满足学生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教育所需。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有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个及以上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资源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个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分；没有0分。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-1325880</wp:posOffset>
                      </wp:positionH>
                      <wp:positionV relativeFrom="paragraph">
                        <wp:posOffset>126365</wp:posOffset>
                      </wp:positionV>
                      <wp:extent cx="510540" cy="182880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jc w:val="center"/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  <w:t>基础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jc w:val="center"/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  <w:t>评价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jc w:val="center"/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default" w:ascii="仿宋" w:hAnsi="仿宋" w:eastAsia="仿宋" w:cs="宋体"/>
                                      <w:b/>
                                      <w:sz w:val="18"/>
                                      <w:szCs w:val="18"/>
                                      <w:lang w:eastAsia="zh-CN"/>
                                    </w:rPr>
                                    <w:t>00</w:t>
                                  </w: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04.4pt;margin-top:9.95pt;height:144pt;width:40.2pt;z-index:251661312;mso-width-relative:page;mso-height-relative:page;" filled="f" stroked="f" coordsize="21600,21600" o:gfxdata="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BI&#10;USOK1wAAAAwBAAAPAAAAAAAAAAEAIAAAACIAAABkcnMvZG93bnJldi54bWxQSwECFAAUAAAACACH&#10;TuJANG456yUCAAAyBAAADgAAAAAAAAABACAAAAAmAQAAZHJzL2Uyb0RvYy54bWxQSwUGAAAAAAYA&#10;BgBZAQAAvQUAAAAA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  <w:t>基础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  <w:t>评价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default" w:ascii="仿宋" w:hAnsi="仿宋" w:eastAsia="仿宋" w:cs="宋体"/>
                                <w:b/>
                                <w:sz w:val="18"/>
                                <w:szCs w:val="18"/>
                                <w:lang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经营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环境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 基地交通便利，安全性高。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基地交通便利安全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 基地附近（</w:t>
            </w:r>
            <w:r>
              <w:rPr>
                <w:rFonts w:ascii="仿宋" w:hAnsi="仿宋" w:eastAsia="仿宋" w:cs="宋体"/>
                <w:sz w:val="18"/>
                <w:szCs w:val="18"/>
              </w:rPr>
              <w:t>15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公里以</w:t>
            </w:r>
            <w:r>
              <w:rPr>
                <w:rFonts w:hint="eastAsia" w:ascii="仿宋" w:hAnsi="仿宋" w:eastAsia="仿宋" w:cs="宋体"/>
                <w:color w:val="0D0D0D"/>
                <w:sz w:val="18"/>
                <w:szCs w:val="18"/>
              </w:rPr>
              <w:t>内）有三甲级医院。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15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公里以内有医院</w:t>
            </w: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6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3. 基地就餐场所或者5公里内合作的就餐场所具备食品经营许可证、餐饮服务人员均有健康证，或能提供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500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人以上，具备食品经营许可证、健康证等证件齐全，服务优质的定点合作饭堂。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评审依据：评标现场提供证件原件的复印件核验。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sz w:val="18"/>
                <w:szCs w:val="18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证件齐全</w:t>
            </w: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,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不提供该项场所和服务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0分。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4. 内外环境和谐、自然，细节设计以富有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特色。因地制宜建设各具特色、形式多样的生态文明场所，将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习近平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生态文明思想和建设理念融入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课程。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内外环境良好，课程富有生态文明特色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5. 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环境氛围浓厚，悬挂、张贴宣传画、励志标语等能够激发学生的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兴趣。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环境氛围浓厚</w:t>
            </w: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6. 环境整洁，无污水、废弃建筑物及各种设施设备无剥落、无污垢、无异味。</w:t>
            </w:r>
          </w:p>
        </w:tc>
        <w:tc>
          <w:tcPr>
            <w:tcW w:w="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环境整洁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7. 厕所布局合理，数量满足要求。垃圾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收集设施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布局合理，标志明显、分类设置规范，及时清理。</w:t>
            </w:r>
          </w:p>
        </w:tc>
        <w:tc>
          <w:tcPr>
            <w:tcW w:w="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设置布局合理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课程实施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-553720</wp:posOffset>
                      </wp:positionH>
                      <wp:positionV relativeFrom="paragraph">
                        <wp:posOffset>31750</wp:posOffset>
                      </wp:positionV>
                      <wp:extent cx="510540" cy="1828800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10540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spacing w:line="300" w:lineRule="exact"/>
                                    <w:jc w:val="center"/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  <w:t>基础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jc w:val="center"/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  <w:t>评价</w:t>
                                  </w:r>
                                </w:p>
                                <w:p>
                                  <w:pPr>
                                    <w:spacing w:line="300" w:lineRule="exact"/>
                                    <w:jc w:val="center"/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00</w:t>
                                  </w:r>
                                  <w:r>
                                    <w:rPr>
                                      <w:rFonts w:hint="eastAsia" w:ascii="仿宋" w:hAnsi="仿宋" w:eastAsia="仿宋" w:cs="宋体"/>
                                      <w:b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43.6pt;margin-top:2.5pt;height:144pt;width:40.2pt;z-index:251662336;mso-width-relative:page;mso-height-relative:page;" filled="f" stroked="f" coordsize="21600,21600" o:gfxdata="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A0/F5Y&#10;1QAAAAgBAAAPAAAAAAAAAAEAIAAAACIAAABkcnMvZG93bnJldi54bWxQSwECFAAUAAAACACHTuJA&#10;E173YyQCAAAyBAAADgAAAAAAAAABACAAAAAkAQAAZHJzL2Uyb0RvYy54bWxQSwUGAAAAAAYABgBZ&#10;AQAAugUAAAAA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  <w:t>基础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  <w:t>评价</w:t>
                            </w:r>
                          </w:p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  <w:lang w:val="en-US" w:eastAsia="zh-CN"/>
                              </w:rPr>
                              <w:t>00</w:t>
                            </w:r>
                            <w:r>
                              <w:rPr>
                                <w:rFonts w:hint="eastAsia" w:ascii="仿宋" w:hAnsi="仿宋" w:eastAsia="仿宋" w:cs="宋体"/>
                                <w:b/>
                                <w:sz w:val="18"/>
                                <w:szCs w:val="18"/>
                              </w:rPr>
                              <w:t>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29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课程理念（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648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1. 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课程设计方案能紧紧围绕立德树人根本任务，聚焦中小学生核心素养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积极推动与学校教育及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劳动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实践结合的模式，全面提升中小学生的综合素质。</w:t>
            </w:r>
          </w:p>
        </w:tc>
        <w:tc>
          <w:tcPr>
            <w:tcW w:w="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课程目标明确且科学合理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基本合理</w:t>
            </w: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；不合理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0分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2. 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课程要主题鲜明，能够围绕基地特色资源，设计主题实践活动，教育教学目的明确，课程体系完整。</w:t>
            </w:r>
          </w:p>
        </w:tc>
        <w:tc>
          <w:tcPr>
            <w:tcW w:w="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8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课程主题明确，方法得当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分；不够鲜明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但基本合理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3. 所设置的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课程要符合社会主义核心价值观。</w:t>
            </w:r>
          </w:p>
        </w:tc>
        <w:tc>
          <w:tcPr>
            <w:tcW w:w="702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符合要求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分；存在问题0分。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是</w:t>
            </w: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课程体系建设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（1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6488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 至少具备</w:t>
            </w:r>
            <w:r>
              <w:rPr>
                <w:rFonts w:ascii="仿宋" w:hAnsi="仿宋" w:eastAsia="仿宋" w:cs="宋体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个主题课程，课程能够覆盖各学段、各年级，每课时不少于40分钟。课程设计要有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主题、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目标、课程简介、实施流程、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评价等要素，并在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活动实施前予以公布。</w:t>
            </w:r>
          </w:p>
          <w:p>
            <w:pPr>
              <w:spacing w:line="28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评审依据：课程体系建设方案、学生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手册、影像资料、调查问卷等，与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指导教师座谈。</w:t>
            </w:r>
          </w:p>
        </w:tc>
        <w:tc>
          <w:tcPr>
            <w:tcW w:w="702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5</w:t>
            </w:r>
          </w:p>
        </w:tc>
        <w:tc>
          <w:tcPr>
            <w:tcW w:w="2695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课程丰富，设计科学，并覆盖各个年龄段</w:t>
            </w:r>
            <w:r>
              <w:rPr>
                <w:rFonts w:ascii="仿宋" w:hAnsi="仿宋" w:eastAsia="仿宋" w:cs="宋体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分；有待完善</w:t>
            </w:r>
            <w:r>
              <w:rPr>
                <w:rFonts w:ascii="仿宋" w:hAnsi="仿宋" w:eastAsia="仿宋" w:cs="宋体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分；一般2分。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 基地对学生学习、时间、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劳动实践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活动排班合理、可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操作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性强，区别于学科课程和课堂教学。</w:t>
            </w:r>
          </w:p>
        </w:tc>
        <w:tc>
          <w:tcPr>
            <w:tcW w:w="702" w:type="dxa"/>
            <w:vAlign w:val="center"/>
          </w:tcPr>
          <w:p>
            <w:pPr>
              <w:spacing w:line="280" w:lineRule="exact"/>
              <w:jc w:val="center"/>
              <w:rPr>
                <w:rFonts w:hint="default" w:ascii="仿宋" w:hAnsi="仿宋" w:eastAsia="仿宋" w:cs="宋体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sz w:val="18"/>
                <w:szCs w:val="18"/>
              </w:rPr>
              <w:t>5</w:t>
            </w:r>
          </w:p>
        </w:tc>
        <w:tc>
          <w:tcPr>
            <w:tcW w:w="2695" w:type="dxa"/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排班合理、教育性强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分；较好</w:t>
            </w:r>
            <w:r>
              <w:rPr>
                <w:rFonts w:ascii="仿宋" w:hAnsi="仿宋" w:eastAsia="仿宋" w:cs="宋体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分，一般</w:t>
            </w: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lang w:val="en-US" w:eastAsia="zh-CN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3. 基地根据自身资源特点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设计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线路合理，针对性、操作性、安全性强。</w:t>
            </w:r>
          </w:p>
        </w:tc>
        <w:tc>
          <w:tcPr>
            <w:tcW w:w="702" w:type="dxa"/>
            <w:vAlign w:val="center"/>
          </w:tcPr>
          <w:p>
            <w:pPr>
              <w:spacing w:line="280" w:lineRule="exact"/>
              <w:ind w:firstLine="180" w:firstLineChars="100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科学合理</w:t>
            </w:r>
            <w:r>
              <w:rPr>
                <w:rFonts w:hint="eastAsia" w:ascii="仿宋" w:hAnsi="仿宋" w:eastAsia="仿宋" w:cs="宋体"/>
                <w:color w:val="FF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分；一般1分。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课程组织与管理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 制定实施计划（教学计划）有适合小学、初中、高中不同学段、年级学生需求的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手册、教师手册，内容规范适用，符合要求。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评审依据：提供的教研制度。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手册、教案规范适用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一般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 配备专兼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课程开发人员，及时分析、解决课程实施中遇到的问题，提高课程实施的教育性、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趣味性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、实践性、安全性。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评审依据：提供的课程开发制度。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有专兼职课程开发人员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仅有兼职开发人员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1分；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无0分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  <w:highlight w:val="yellow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  <w:highlight w:val="yellow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课程评价（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1.建立学生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评价制度，编制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评价手册或能够在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活动结束后及时对学生作出评价，并真实反映出学生对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知识、技能掌握情况。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</w:t>
            </w:r>
            <w:r>
              <w:rPr>
                <w:rFonts w:hint="default" w:ascii="仿宋" w:hAnsi="仿宋" w:eastAsia="仿宋" w:cs="宋体"/>
                <w:b/>
                <w:bCs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评价手册。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 xml:space="preserve">具有健全的评价体系，真实评价 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分；较好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  <w:highlight w:val="yellow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活动学生反向评价：采集学生对活动开展满意度评价，好评率达</w:t>
            </w:r>
            <w:r>
              <w:rPr>
                <w:rFonts w:ascii="仿宋" w:hAnsi="仿宋" w:eastAsia="仿宋" w:cs="宋体"/>
                <w:sz w:val="18"/>
                <w:szCs w:val="18"/>
              </w:rPr>
              <w:t>80%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以上。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评审依据：提供的课程开展记录、学生或家长反馈意见、相关调查问卷等。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好评率</w:t>
            </w:r>
            <w:r>
              <w:rPr>
                <w:rFonts w:ascii="仿宋" w:hAnsi="仿宋" w:eastAsia="仿宋" w:cs="宋体"/>
                <w:sz w:val="18"/>
                <w:szCs w:val="18"/>
              </w:rPr>
              <w:t>80%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以上</w:t>
            </w: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  <w:r>
              <w:rPr>
                <w:rFonts w:ascii="仿宋" w:hAnsi="仿宋" w:eastAsia="仿宋" w:cs="宋体"/>
                <w:sz w:val="18"/>
                <w:szCs w:val="18"/>
              </w:rPr>
              <w:t>60-80%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的</w:t>
            </w: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  <w:r>
              <w:rPr>
                <w:rFonts w:ascii="仿宋" w:hAnsi="仿宋" w:eastAsia="仿宋" w:cs="宋体"/>
                <w:sz w:val="18"/>
                <w:szCs w:val="18"/>
              </w:rPr>
              <w:t>60%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以下或无评价</w:t>
            </w:r>
            <w:r>
              <w:rPr>
                <w:rFonts w:ascii="仿宋" w:hAnsi="仿宋" w:eastAsia="仿宋" w:cs="宋体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3.老师评价：定期征集带班老师对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活动的评价，支持率、满意率达</w:t>
            </w:r>
            <w:r>
              <w:rPr>
                <w:rFonts w:ascii="仿宋" w:hAnsi="仿宋" w:eastAsia="仿宋" w:cs="宋体"/>
                <w:sz w:val="18"/>
                <w:szCs w:val="18"/>
              </w:rPr>
              <w:t>80%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以上。</w:t>
            </w:r>
          </w:p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</w:t>
            </w:r>
            <w:r>
              <w:rPr>
                <w:rFonts w:hint="default" w:ascii="仿宋" w:hAnsi="仿宋" w:eastAsia="仿宋" w:cs="宋体"/>
                <w:b/>
                <w:bCs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教师评价统计表。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支持率、满意率</w:t>
            </w:r>
            <w:r>
              <w:rPr>
                <w:rFonts w:ascii="仿宋" w:hAnsi="仿宋" w:eastAsia="仿宋" w:cs="宋体"/>
                <w:sz w:val="18"/>
                <w:szCs w:val="18"/>
              </w:rPr>
              <w:t>80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以上</w:t>
            </w: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  <w:r>
              <w:rPr>
                <w:rFonts w:ascii="仿宋" w:hAnsi="仿宋" w:eastAsia="仿宋" w:cs="宋体"/>
                <w:sz w:val="18"/>
                <w:szCs w:val="18"/>
              </w:rPr>
              <w:t>60-80%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的</w:t>
            </w: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  <w:r>
              <w:rPr>
                <w:rFonts w:ascii="仿宋" w:hAnsi="仿宋" w:eastAsia="仿宋" w:cs="宋体"/>
                <w:sz w:val="18"/>
                <w:szCs w:val="18"/>
              </w:rPr>
              <w:t>60%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以下或无评价</w:t>
            </w:r>
            <w:r>
              <w:rPr>
                <w:rFonts w:ascii="仿宋" w:hAnsi="仿宋" w:eastAsia="仿宋" w:cs="宋体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4. 学校评价：活动结束后，学生所在学校对基地各项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工作进行综合评价，认可度、满意度达</w:t>
            </w:r>
            <w:r>
              <w:rPr>
                <w:rFonts w:ascii="仿宋" w:hAnsi="仿宋" w:eastAsia="仿宋" w:cs="宋体"/>
                <w:sz w:val="18"/>
                <w:szCs w:val="18"/>
              </w:rPr>
              <w:t>80%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以上。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</w:t>
            </w:r>
            <w:r>
              <w:rPr>
                <w:rFonts w:hint="default" w:ascii="仿宋" w:hAnsi="仿宋" w:eastAsia="仿宋" w:cs="宋体"/>
                <w:b/>
                <w:bCs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学生评价统计表。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认可度、满意度</w:t>
            </w:r>
            <w:r>
              <w:rPr>
                <w:rFonts w:ascii="仿宋" w:hAnsi="仿宋" w:eastAsia="仿宋" w:cs="宋体"/>
                <w:sz w:val="18"/>
                <w:szCs w:val="18"/>
              </w:rPr>
              <w:t>80%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以上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  <w:r>
              <w:rPr>
                <w:rFonts w:ascii="仿宋" w:hAnsi="仿宋" w:eastAsia="仿宋" w:cs="宋体"/>
                <w:sz w:val="18"/>
                <w:szCs w:val="18"/>
              </w:rPr>
              <w:t>60-80%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的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  <w:r>
              <w:rPr>
                <w:rFonts w:ascii="仿宋" w:hAnsi="仿宋" w:eastAsia="仿宋" w:cs="宋体"/>
                <w:sz w:val="18"/>
                <w:szCs w:val="18"/>
              </w:rPr>
              <w:t>60%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以下或无评价</w:t>
            </w:r>
            <w:r>
              <w:rPr>
                <w:rFonts w:ascii="仿宋" w:hAnsi="仿宋" w:eastAsia="仿宋" w:cs="宋体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组织保障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ascii="仿宋" w:hAnsi="仿宋" w:eastAsia="仿宋" w:cs="宋体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规划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 基地编有</w:t>
            </w:r>
            <w:r>
              <w:rPr>
                <w:rFonts w:ascii="仿宋" w:hAnsi="仿宋" w:eastAsia="仿宋" w:cs="宋体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至</w:t>
            </w:r>
            <w:r>
              <w:rPr>
                <w:rFonts w:ascii="仿宋" w:hAnsi="仿宋" w:eastAsia="仿宋" w:cs="宋体"/>
                <w:sz w:val="18"/>
                <w:szCs w:val="18"/>
              </w:rPr>
              <w:t>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年发展规划，规划内容涵盖教学计划、课程体系、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线路、保障体系等核心内容，目标明确、措施可行。</w:t>
            </w:r>
          </w:p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评审依据：提供的3-5年规划方案。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规划内容详细全面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分；较好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2.基地对中小学生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活动有计划、有安排、有措施、有落实。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评审依据：提供的3-5年规划方案。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计划齐全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3. 基地每年集中接待中小学生开展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活动人数须达到一定规模。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评审依据：提供的3-5年规划方案。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年接待人数达1</w:t>
            </w:r>
            <w:r>
              <w:rPr>
                <w:rFonts w:ascii="仿宋" w:hAnsi="仿宋" w:eastAsia="仿宋" w:cs="宋体"/>
                <w:sz w:val="18"/>
                <w:szCs w:val="18"/>
              </w:rPr>
              <w:t>000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人及以上</w:t>
            </w:r>
            <w:r>
              <w:rPr>
                <w:rFonts w:ascii="仿宋" w:hAnsi="仿宋" w:eastAsia="仿宋" w:cs="宋体"/>
                <w:sz w:val="18"/>
                <w:szCs w:val="18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</w:t>
            </w:r>
            <w:r>
              <w:rPr>
                <w:rFonts w:ascii="仿宋" w:hAnsi="仿宋" w:eastAsia="仿宋" w:cs="宋体"/>
                <w:sz w:val="18"/>
                <w:szCs w:val="18"/>
              </w:rPr>
              <w:t xml:space="preserve"> 1000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人以下1分。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7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restart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师资力量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1．具有稳定的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教师队伍；教师应具有与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课程相匹配的专业优势，具有教师资格证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或相关领域职业资格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证书。</w:t>
            </w:r>
          </w:p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评审依据：提供的教师资格证</w:t>
            </w:r>
            <w:r>
              <w:rPr>
                <w:rFonts w:hint="default" w:ascii="仿宋" w:hAnsi="仿宋" w:eastAsia="仿宋" w:cs="宋体"/>
                <w:b/>
                <w:bCs/>
                <w:sz w:val="18"/>
                <w:szCs w:val="18"/>
              </w:rPr>
              <w:t>或相关职业资格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证书</w:t>
            </w:r>
            <w:r>
              <w:rPr>
                <w:rFonts w:hint="default" w:ascii="仿宋" w:hAnsi="仿宋" w:eastAsia="仿宋" w:cs="宋体"/>
                <w:b/>
                <w:bCs/>
                <w:sz w:val="18"/>
                <w:szCs w:val="18"/>
              </w:rPr>
              <w:t>扫描件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，</w:t>
            </w: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18"/>
                <w:szCs w:val="18"/>
              </w:rPr>
              <w:t>未提供或提供不符合要求者或查验不符者不得分。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教师队伍配齐配强，持证上岗，结构合理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分；较好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分；一般</w:t>
            </w:r>
            <w:r>
              <w:rPr>
                <w:rFonts w:ascii="仿宋" w:hAnsi="仿宋" w:eastAsia="仿宋" w:cs="宋体"/>
                <w:sz w:val="18"/>
                <w:szCs w:val="18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 基地配备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带队老师和工作人员，具备相应的资质，教学能力强，具备与学生互动体验等方面的知识和技能，身心健康，无不良行为记录。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评审依据：提供的人员分工表，并于相关人员座谈。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人员配备结构合理</w:t>
            </w:r>
            <w:r>
              <w:rPr>
                <w:rFonts w:ascii="仿宋" w:hAnsi="仿宋" w:eastAsia="仿宋" w:cs="宋体"/>
                <w:sz w:val="18"/>
                <w:szCs w:val="18"/>
              </w:rPr>
              <w:t xml:space="preserve"> 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3.定期组织开展教师培训，努力提高教师业务素养和能力提升。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评审依据：提供的培训档案，与相关人员座谈。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每年开展培训至少1次业务能力提升培训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gridSpan w:val="2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488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4. 基地与所在地社区、街道办、社团等关系良好，能定期组织社区、街道办、社会资源等进行座谈，并在合理范围内支持基地的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教育活动开展。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评审依据：提供的活动记录表，并加盖社区、街道办、社团公章。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每年开展座谈或者社区共建活动至少1次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分，无</w:t>
            </w:r>
            <w:r>
              <w:rPr>
                <w:rFonts w:ascii="仿宋" w:hAnsi="仿宋" w:eastAsia="仿宋" w:cs="宋体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lang w:val="en-US" w:eastAsia="zh-CN"/>
              </w:rPr>
            </w:pPr>
          </w:p>
        </w:tc>
        <w:tc>
          <w:tcPr>
            <w:tcW w:w="1201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组织管理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 基地管理机制健全，部门分工明确，职责清晰，定期向教育主管部门汇报基地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工作情况。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工作落实好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分；较好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 基地管理制度健全，有一整套涵盖教学、行政、学生、安全管理的制度措施。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制度健全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分；较健全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3. 基地与学校签订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活动协议，制订相应服务与管理方案。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签订协议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4. 基地应建立中小学生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活动档案，活动结束后及时向学生所在学校反馈活动开展情况，征求学校的意见建议。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建立完整档案并及时反馈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bottom w:val="nil"/>
            </w:tcBorders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5. 投诉及建议通道畅通，投诉处理及时、妥善，档案记录完整。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投诉建议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记录完整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restart"/>
            <w:tcBorders>
              <w:top w:val="nil"/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经费保障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ascii="仿宋" w:hAnsi="仿宋" w:eastAsia="仿宋" w:cs="宋体"/>
                <w:sz w:val="18"/>
                <w:szCs w:val="18"/>
              </w:rPr>
              <w:t>3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响应国家鼓励、引导社会力量参与基地建设、办学、运营的号召。有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课程开发规划并有稳定经费投入。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评审依据：提供的课程规划方案。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有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充足、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稳定经费投入3分；较稳定2分。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公益性</w:t>
            </w:r>
          </w:p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 基地有中小学生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费用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减免。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评审依据：提供的减免政策。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default" w:ascii="仿宋" w:hAnsi="仿宋" w:eastAsia="仿宋" w:cs="宋体"/>
                <w:sz w:val="18"/>
                <w:szCs w:val="18"/>
              </w:rPr>
              <w:t>参照对外公布价格，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全部减免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的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分，减免50%以上的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default" w:ascii="仿宋" w:hAnsi="仿宋" w:eastAsia="仿宋" w:cs="宋体"/>
                <w:sz w:val="18"/>
                <w:szCs w:val="18"/>
              </w:rPr>
              <w:t>分，减免50%以下的1分，不减免0分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left w:val="nil"/>
            </w:tcBorders>
            <w:vAlign w:val="center"/>
          </w:tcPr>
          <w:p>
            <w:pPr>
              <w:spacing w:line="28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 基地对家庭经济困难学生和特殊教育学生实施费用减免政策。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评审依据：提供的减免政策。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有减免政策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分，没有0分。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restart"/>
            <w:tcBorders>
              <w:left w:val="nil"/>
            </w:tcBorders>
            <w:vAlign w:val="center"/>
          </w:tcPr>
          <w:p>
            <w:pPr>
              <w:spacing w:line="280" w:lineRule="exact"/>
              <w:ind w:left="-199" w:leftChars="-95" w:firstLine="0" w:firstLineChars="0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4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.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安全</w:t>
            </w:r>
          </w:p>
          <w:p>
            <w:pPr>
              <w:spacing w:line="280" w:lineRule="exact"/>
              <w:ind w:left="-199" w:leftChars="-95" w:firstLine="0" w:firstLineChars="0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保障</w:t>
            </w:r>
          </w:p>
          <w:p>
            <w:pPr>
              <w:spacing w:line="280" w:lineRule="exact"/>
              <w:ind w:left="-199" w:leftChars="-95" w:firstLine="0" w:firstLineChars="0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18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956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安全管理制度</w:t>
            </w:r>
          </w:p>
          <w:p>
            <w:pPr>
              <w:spacing w:line="280" w:lineRule="exact"/>
              <w:jc w:val="center"/>
              <w:textAlignment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ascii="仿宋" w:hAnsi="仿宋" w:eastAsia="仿宋" w:cs="宋体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ascii="仿宋" w:hAnsi="仿宋" w:eastAsia="仿宋" w:cs="宋体"/>
                <w:sz w:val="18"/>
                <w:szCs w:val="18"/>
              </w:rPr>
              <w:t>)</w:t>
            </w: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 基地建立健全的安全责任分工明确的管理制度，制度上墙，落实到人。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评审依据：提供的安全管理制度、制度上墙实拍照片等。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管理制度完整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；较完整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left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 对</w:t>
            </w:r>
            <w:r>
              <w:rPr>
                <w:rFonts w:hint="default" w:ascii="仿宋" w:hAnsi="仿宋" w:eastAsia="仿宋" w:cs="宋体"/>
                <w:sz w:val="18"/>
                <w:szCs w:val="18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各项活动有应急预案。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评审依据：提供的应急预案。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各类应急措施预案齐全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分；较齐全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left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3. 与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教育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、公安、交通、应急管理等政府相关主管部门定期联系沟通。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评审依据：提供相关主管部门沟通记录及反馈表。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定期沟通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沟通1分。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left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4. 基地与学校、家长、学生、</w:t>
            </w: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承办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机构、运输公司等签订相关安全责任书。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  <w:lang w:eastAsia="zh-CN"/>
              </w:rPr>
              <w:t>相关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安全责任书。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有安全责任书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1分。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left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5. 建立应急管理机制。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评审依据：提供的应急管理制度。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有应急管理制度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1分。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left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安全管理措施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1.基地设有安全保障机制。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评审依据：提供的安全保障机制。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安全保障机制合理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2分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left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2.基地配备专门的安保人员。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  <w:lang w:eastAsia="zh-CN"/>
              </w:rPr>
              <w:t>安保人员名单</w:t>
            </w: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安保人员充足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left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3.基地定期组织安全教育和应对突发事件安全演练。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评审依据：提供的安全演练活动方案、照片、视频等。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  <w:t>每年两次安保演练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2分，每年1次1分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left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Merge w:val="restart"/>
            <w:vAlign w:val="center"/>
          </w:tcPr>
          <w:p>
            <w:pPr>
              <w:pStyle w:val="35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安全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设施</w:t>
            </w:r>
          </w:p>
          <w:p>
            <w:pPr>
              <w:pStyle w:val="35"/>
              <w:widowControl w:val="0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仿宋" w:hAnsi="仿宋" w:eastAsia="仿宋"/>
                <w:kern w:val="2"/>
                <w:sz w:val="18"/>
                <w:szCs w:val="18"/>
              </w:rPr>
            </w:pP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(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kern w:val="2"/>
                <w:sz w:val="18"/>
                <w:szCs w:val="18"/>
              </w:rPr>
              <w:t>分</w:t>
            </w:r>
            <w:r>
              <w:rPr>
                <w:rFonts w:ascii="仿宋" w:hAnsi="仿宋" w:eastAsia="仿宋"/>
                <w:kern w:val="2"/>
                <w:sz w:val="18"/>
                <w:szCs w:val="18"/>
              </w:rPr>
              <w:t>)</w:t>
            </w: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1.基地消防设施设备齐全，性能良好，安全警示标识齐全，消防验收手续等证件齐全。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评审依据：提供的消防验收合格证件。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标志、标识齐全、醒目明了，证件齐全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分；较好2分；一般1分。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是</w:t>
            </w: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  <w:jc w:val="center"/>
        </w:trPr>
        <w:tc>
          <w:tcPr>
            <w:tcW w:w="785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201" w:type="dxa"/>
            <w:vMerge w:val="continue"/>
            <w:tcBorders>
              <w:left w:val="nil"/>
            </w:tcBorders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56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492" w:type="dxa"/>
            <w:gridSpan w:val="2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2.每次活动前安全说明或须知等宣传及督导落实到位。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b/>
                <w:bCs/>
                <w:sz w:val="18"/>
                <w:szCs w:val="18"/>
              </w:rPr>
              <w:t>评审依据：提供的安全须知方案。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完善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分；较完善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分；一般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分。</w:t>
            </w: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9434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b/>
                <w:bCs/>
                <w:sz w:val="20"/>
                <w:szCs w:val="20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基础分</w:t>
            </w:r>
          </w:p>
        </w:tc>
        <w:tc>
          <w:tcPr>
            <w:tcW w:w="702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100</w:t>
            </w:r>
          </w:p>
        </w:tc>
        <w:tc>
          <w:tcPr>
            <w:tcW w:w="269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 w:val="20"/>
                <w:szCs w:val="20"/>
              </w:rPr>
            </w:pPr>
          </w:p>
        </w:tc>
        <w:tc>
          <w:tcPr>
            <w:tcW w:w="75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60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611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</w:tbl>
    <w:p>
      <w:pPr>
        <w:spacing w:line="300" w:lineRule="exact"/>
        <w:jc w:val="center"/>
        <w:rPr>
          <w:rFonts w:hint="eastAsia" w:ascii="仿宋" w:hAnsi="仿宋" w:eastAsia="仿宋" w:cs="宋体"/>
          <w:b/>
          <w:szCs w:val="21"/>
        </w:rPr>
      </w:pPr>
      <w:r>
        <w:rPr>
          <w:rFonts w:hint="eastAsia" w:ascii="仿宋" w:hAnsi="仿宋" w:eastAsia="仿宋" w:cs="宋体"/>
          <w:b/>
          <w:szCs w:val="21"/>
        </w:rPr>
        <w:br w:type="page"/>
      </w:r>
    </w:p>
    <w:tbl>
      <w:tblPr>
        <w:tblStyle w:val="9"/>
        <w:tblW w:w="147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103"/>
        <w:gridCol w:w="5845"/>
        <w:gridCol w:w="863"/>
        <w:gridCol w:w="2682"/>
        <w:gridCol w:w="825"/>
        <w:gridCol w:w="930"/>
        <w:gridCol w:w="853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8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特殊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加分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（</w:t>
            </w:r>
            <w:r>
              <w:rPr>
                <w:rFonts w:hint="eastAsia" w:ascii="仿宋" w:hAnsi="仿宋" w:eastAsia="仿宋" w:cs="宋体"/>
                <w:b/>
                <w:szCs w:val="21"/>
                <w:lang w:val="en-US" w:eastAsia="zh-CN"/>
              </w:rPr>
              <w:t>1</w:t>
            </w:r>
            <w:r>
              <w:rPr>
                <w:rFonts w:ascii="仿宋" w:hAnsi="仿宋" w:eastAsia="仿宋" w:cs="宋体"/>
                <w:b/>
                <w:szCs w:val="21"/>
              </w:rPr>
              <w:t>0</w:t>
            </w:r>
            <w:r>
              <w:rPr>
                <w:rFonts w:hint="eastAsia" w:ascii="仿宋" w:hAnsi="仿宋" w:eastAsia="仿宋" w:cs="宋体"/>
                <w:b/>
                <w:szCs w:val="21"/>
              </w:rPr>
              <w:t>分）</w:t>
            </w:r>
          </w:p>
        </w:tc>
        <w:tc>
          <w:tcPr>
            <w:tcW w:w="110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二级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指标</w:t>
            </w:r>
          </w:p>
        </w:tc>
        <w:tc>
          <w:tcPr>
            <w:tcW w:w="584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三级指标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分值</w:t>
            </w:r>
          </w:p>
        </w:tc>
        <w:tc>
          <w:tcPr>
            <w:tcW w:w="2682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评价标准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自评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得分</w:t>
            </w:r>
          </w:p>
        </w:tc>
        <w:tc>
          <w:tcPr>
            <w:tcW w:w="930" w:type="dxa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是否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必备项</w:t>
            </w:r>
          </w:p>
        </w:tc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是否现场勘查</w:t>
            </w:r>
          </w:p>
        </w:tc>
        <w:tc>
          <w:tcPr>
            <w:tcW w:w="7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b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szCs w:val="21"/>
              </w:rPr>
              <w:t>专家评分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8" w:type="dxa"/>
            <w:vMerge w:val="continue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获得国家级、省市级表彰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</w:tc>
        <w:tc>
          <w:tcPr>
            <w:tcW w:w="584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1. 基地</w:t>
            </w:r>
            <w:r>
              <w:rPr>
                <w:rFonts w:hint="default" w:ascii="仿宋" w:hAnsi="仿宋" w:eastAsia="仿宋" w:cs="宋体"/>
                <w:szCs w:val="21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Cs w:val="21"/>
              </w:rPr>
              <w:t>活动获得国家级奖项或者表彰，有奖章、奖状、表彰文件等。</w:t>
            </w:r>
          </w:p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评审依据：提供的国家级奖章、奖状、表彰文件等原件。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</w:p>
        </w:tc>
        <w:tc>
          <w:tcPr>
            <w:tcW w:w="2682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</w:t>
            </w:r>
            <w:r>
              <w:rPr>
                <w:rFonts w:ascii="仿宋" w:hAnsi="仿宋" w:eastAsia="仿宋" w:cs="宋体"/>
                <w:szCs w:val="21"/>
              </w:rPr>
              <w:t>2</w:t>
            </w:r>
            <w:r>
              <w:rPr>
                <w:rFonts w:hint="eastAsia" w:ascii="仿宋" w:hAnsi="仿宋" w:eastAsia="仿宋" w:cs="宋体"/>
                <w:szCs w:val="21"/>
              </w:rPr>
              <w:t>项及以上奖励或者表彰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Cs w:val="21"/>
              </w:rPr>
              <w:t>分，</w:t>
            </w:r>
            <w:r>
              <w:rPr>
                <w:rFonts w:ascii="仿宋" w:hAnsi="仿宋" w:eastAsia="仿宋" w:cs="宋体"/>
                <w:szCs w:val="21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项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分。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8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2. 基地</w:t>
            </w:r>
            <w:r>
              <w:rPr>
                <w:rFonts w:hint="default" w:ascii="仿宋" w:hAnsi="仿宋" w:eastAsia="仿宋" w:cs="宋体"/>
                <w:szCs w:val="21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Cs w:val="21"/>
              </w:rPr>
              <w:t>活动获得省级奖项或者表彰，有奖章、奖状、表彰文件等。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评审依据：提供的省级奖章、奖状、表彰文件等原件。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</w:p>
        </w:tc>
        <w:tc>
          <w:tcPr>
            <w:tcW w:w="2682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项及以上奖励或者表彰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分。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8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3. 基地</w:t>
            </w:r>
            <w:r>
              <w:rPr>
                <w:rFonts w:hint="default" w:ascii="仿宋" w:hAnsi="仿宋" w:eastAsia="仿宋" w:cs="宋体"/>
                <w:szCs w:val="21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Cs w:val="21"/>
              </w:rPr>
              <w:t>活动获得市级奖项或者表彰，有奖章、奖状、表彰文件等。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评审依据：提供的市级奖章、奖状、表彰文件等原件。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</w:p>
        </w:tc>
        <w:tc>
          <w:tcPr>
            <w:tcW w:w="2682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项及以上奖励或者表彰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分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。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8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4. 受到合作的学校给予的感谢信、答谢函件等。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评审依据：提供的感谢信、答谢函等原件。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</w:p>
        </w:tc>
        <w:tc>
          <w:tcPr>
            <w:tcW w:w="2682" w:type="dxa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获得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项及以上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分。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858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3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师资力量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及配比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sz w:val="18"/>
                <w:szCs w:val="18"/>
              </w:rPr>
              <w:t>（</w:t>
            </w:r>
            <w:r>
              <w:rPr>
                <w:rFonts w:hint="eastAsia" w:ascii="仿宋" w:hAnsi="仿宋" w:eastAsia="仿宋" w:cs="宋体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仿宋" w:hAnsi="仿宋" w:eastAsia="仿宋" w:cs="宋体"/>
                <w:sz w:val="18"/>
                <w:szCs w:val="18"/>
              </w:rPr>
              <w:t>分）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宋体"/>
                <w:sz w:val="18"/>
                <w:szCs w:val="18"/>
              </w:rPr>
            </w:pPr>
          </w:p>
        </w:tc>
        <w:tc>
          <w:tcPr>
            <w:tcW w:w="584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1</w:t>
            </w:r>
            <w:r>
              <w:rPr>
                <w:rFonts w:ascii="仿宋" w:hAnsi="仿宋" w:eastAsia="仿宋" w:cs="宋体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szCs w:val="21"/>
              </w:rPr>
              <w:t>基地工作人员持证上岗（如教师资格证、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Cs w:val="21"/>
              </w:rPr>
              <w:t>指导师证书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等</w:t>
            </w:r>
            <w:r>
              <w:rPr>
                <w:rFonts w:hint="eastAsia" w:ascii="仿宋" w:hAnsi="仿宋" w:eastAsia="仿宋" w:cs="宋体"/>
                <w:szCs w:val="21"/>
              </w:rPr>
              <w:t>）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，提升专业技术职称</w:t>
            </w:r>
            <w:r>
              <w:rPr>
                <w:rFonts w:hint="eastAsia" w:ascii="仿宋" w:hAnsi="仿宋" w:eastAsia="仿宋" w:cs="宋体"/>
                <w:szCs w:val="21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宋体"/>
                <w:szCs w:val="21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评审依据：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eastAsia="zh-CN"/>
              </w:rPr>
              <w:t>教师名单和对应的证书复印件</w:t>
            </w: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。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</w:p>
        </w:tc>
        <w:tc>
          <w:tcPr>
            <w:tcW w:w="2682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持证上岗人数达到总人数的</w:t>
            </w:r>
            <w:r>
              <w:rPr>
                <w:rFonts w:ascii="仿宋" w:hAnsi="仿宋" w:eastAsia="仿宋" w:cs="宋体"/>
                <w:szCs w:val="21"/>
              </w:rPr>
              <w:t>50%</w:t>
            </w:r>
            <w:r>
              <w:rPr>
                <w:rFonts w:hint="eastAsia" w:ascii="仿宋" w:hAnsi="仿宋" w:eastAsia="仿宋" w:cs="宋体"/>
                <w:szCs w:val="21"/>
              </w:rPr>
              <w:t>及以上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30</w:t>
            </w:r>
            <w:r>
              <w:rPr>
                <w:rFonts w:ascii="仿宋" w:hAnsi="仿宋" w:eastAsia="仿宋" w:cs="宋体"/>
                <w:szCs w:val="21"/>
              </w:rPr>
              <w:t>-50%</w:t>
            </w:r>
            <w:r>
              <w:rPr>
                <w:rFonts w:hint="eastAsia" w:ascii="仿宋" w:hAnsi="仿宋" w:eastAsia="仿宋" w:cs="宋体"/>
                <w:szCs w:val="21"/>
              </w:rPr>
              <w:t>的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  <w:r>
              <w:rPr>
                <w:rFonts w:ascii="仿宋" w:hAnsi="仿宋" w:eastAsia="仿宋" w:cs="宋体"/>
                <w:szCs w:val="21"/>
              </w:rPr>
              <w:t>30%</w:t>
            </w:r>
            <w:r>
              <w:rPr>
                <w:rFonts w:hint="eastAsia" w:ascii="仿宋" w:hAnsi="仿宋" w:eastAsia="仿宋" w:cs="宋体"/>
                <w:szCs w:val="21"/>
              </w:rPr>
              <w:t>以下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0</w:t>
            </w:r>
            <w:r>
              <w:rPr>
                <w:rFonts w:hint="eastAsia" w:ascii="仿宋" w:hAnsi="仿宋" w:eastAsia="仿宋" w:cs="宋体"/>
                <w:szCs w:val="21"/>
              </w:rPr>
              <w:t>分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或专业教师获高级职称（或相应行业资格）4人以上2分、2-4人1分。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8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584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2</w:t>
            </w:r>
            <w:r>
              <w:rPr>
                <w:rFonts w:ascii="仿宋" w:hAnsi="仿宋" w:eastAsia="仿宋" w:cs="宋体"/>
                <w:szCs w:val="21"/>
              </w:rPr>
              <w:t>.</w:t>
            </w:r>
            <w:r>
              <w:rPr>
                <w:rFonts w:hint="eastAsia" w:ascii="仿宋" w:hAnsi="仿宋" w:eastAsia="仿宋" w:cs="宋体"/>
                <w:szCs w:val="21"/>
              </w:rPr>
              <w:t>基地教师积极参与课程设计开发、参与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Cs w:val="21"/>
              </w:rPr>
              <w:t>课程教研；参加精品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劳动教育</w:t>
            </w:r>
            <w:r>
              <w:rPr>
                <w:rFonts w:hint="eastAsia" w:ascii="仿宋" w:hAnsi="仿宋" w:eastAsia="仿宋" w:cs="宋体"/>
                <w:szCs w:val="21"/>
              </w:rPr>
              <w:t>课程开发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Cs w:val="21"/>
              </w:rPr>
              <w:t>课题研究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、</w:t>
            </w:r>
            <w:r>
              <w:rPr>
                <w:rFonts w:hint="eastAsia" w:ascii="仿宋" w:hAnsi="仿宋" w:eastAsia="仿宋" w:cs="宋体"/>
                <w:szCs w:val="21"/>
              </w:rPr>
              <w:t>精品课程评选。</w:t>
            </w:r>
          </w:p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评审依据：提供的基地教师参与课程设计、课题教研等入选证书原件。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</w:p>
        </w:tc>
        <w:tc>
          <w:tcPr>
            <w:tcW w:w="2682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入选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3个以上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市</w:t>
            </w:r>
            <w:r>
              <w:rPr>
                <w:rFonts w:hint="eastAsia" w:ascii="仿宋" w:hAnsi="仿宋" w:eastAsia="仿宋" w:cs="宋体"/>
                <w:szCs w:val="21"/>
              </w:rPr>
              <w:t>级及以上课题、精品课程的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宋体"/>
                <w:szCs w:val="21"/>
              </w:rPr>
              <w:t>分；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1-3个的1分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。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58" w:type="dxa"/>
            <w:vMerge w:val="continue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1103" w:type="dxa"/>
            <w:vMerge w:val="continue"/>
            <w:vAlign w:val="center"/>
          </w:tcPr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5845" w:type="dxa"/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宋体"/>
                <w:szCs w:val="21"/>
              </w:rPr>
            </w:pPr>
            <w:r>
              <w:rPr>
                <w:rFonts w:ascii="仿宋" w:hAnsi="仿宋" w:eastAsia="仿宋" w:cs="宋体"/>
                <w:szCs w:val="21"/>
              </w:rPr>
              <w:t>3.</w:t>
            </w: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基地具有较强的</w:t>
            </w:r>
            <w:r>
              <w:rPr>
                <w:rFonts w:hint="eastAsia" w:ascii="仿宋" w:hAnsi="仿宋" w:eastAsia="仿宋" w:cs="宋体"/>
                <w:szCs w:val="21"/>
              </w:rPr>
              <w:t>接待能力。</w:t>
            </w:r>
          </w:p>
          <w:p>
            <w:pPr>
              <w:spacing w:line="300" w:lineRule="exac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评审依据：提供的接待学生数据统计表</w:t>
            </w:r>
            <w:r>
              <w:rPr>
                <w:rFonts w:hint="eastAsia" w:ascii="仿宋" w:hAnsi="仿宋" w:eastAsia="仿宋" w:cs="宋体"/>
                <w:b/>
                <w:bCs/>
                <w:szCs w:val="21"/>
                <w:lang w:val="en-US" w:eastAsia="zh-CN"/>
              </w:rPr>
              <w:t>或基地红线图</w:t>
            </w:r>
            <w:r>
              <w:rPr>
                <w:rFonts w:hint="eastAsia" w:ascii="仿宋" w:hAnsi="仿宋" w:eastAsia="仿宋" w:cs="宋体"/>
                <w:b/>
                <w:bCs/>
                <w:szCs w:val="21"/>
              </w:rPr>
              <w:t>。</w:t>
            </w:r>
          </w:p>
        </w:tc>
        <w:tc>
          <w:tcPr>
            <w:tcW w:w="863" w:type="dxa"/>
            <w:vAlign w:val="center"/>
          </w:tcPr>
          <w:p>
            <w:pPr>
              <w:spacing w:line="300" w:lineRule="exact"/>
              <w:jc w:val="center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</w:t>
            </w:r>
          </w:p>
        </w:tc>
        <w:tc>
          <w:tcPr>
            <w:tcW w:w="2682" w:type="dxa"/>
            <w:vAlign w:val="center"/>
          </w:tcPr>
          <w:p>
            <w:pPr>
              <w:spacing w:line="300" w:lineRule="exact"/>
              <w:rPr>
                <w:rFonts w:hint="default" w:ascii="仿宋" w:hAnsi="仿宋" w:eastAsia="仿宋" w:cs="宋体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Cs w:val="21"/>
              </w:rPr>
              <w:t>年接待量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szCs w:val="21"/>
              </w:rPr>
              <w:t>万人次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或基地占地面积3万平方米以上的1分。</w:t>
            </w:r>
          </w:p>
        </w:tc>
        <w:tc>
          <w:tcPr>
            <w:tcW w:w="825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宋体"/>
                <w:szCs w:val="21"/>
              </w:rPr>
            </w:pPr>
          </w:p>
        </w:tc>
        <w:tc>
          <w:tcPr>
            <w:tcW w:w="853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  <w:tc>
          <w:tcPr>
            <w:tcW w:w="767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4726" w:type="dxa"/>
            <w:gridSpan w:val="9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 w:cs="宋体"/>
                <w:szCs w:val="21"/>
                <w:lang w:eastAsia="zh-CN"/>
              </w:rPr>
              <w:t>特殊加分满分</w:t>
            </w:r>
            <w:r>
              <w:rPr>
                <w:rFonts w:hint="eastAsia" w:ascii="仿宋" w:hAnsi="仿宋" w:eastAsia="仿宋" w:cs="宋体"/>
                <w:szCs w:val="21"/>
                <w:lang w:val="en-US" w:eastAsia="zh-CN"/>
              </w:rPr>
              <w:t>10分</w:t>
            </w:r>
          </w:p>
        </w:tc>
      </w:tr>
    </w:tbl>
    <w:p>
      <w:pPr>
        <w:widowControl/>
        <w:spacing w:line="432" w:lineRule="atLeast"/>
        <w:jc w:val="left"/>
        <w:rPr>
          <w:rFonts w:ascii="仿宋" w:hAnsi="仿宋" w:eastAsia="仿宋" w:cs="Arial"/>
          <w:color w:val="666666"/>
          <w:kern w:val="0"/>
          <w:sz w:val="24"/>
        </w:rPr>
      </w:pPr>
      <w:r>
        <w:rPr>
          <w:rFonts w:hint="eastAsia" w:ascii="仿宋" w:hAnsi="仿宋" w:eastAsia="仿宋" w:cs="宋体"/>
          <w:color w:val="666666"/>
          <w:kern w:val="0"/>
          <w:sz w:val="24"/>
          <w:lang w:eastAsia="zh-CN"/>
        </w:rPr>
        <w:t>注：</w:t>
      </w:r>
      <w:r>
        <w:rPr>
          <w:rFonts w:hint="eastAsia" w:ascii="仿宋" w:hAnsi="仿宋" w:eastAsia="仿宋" w:cs="Arial"/>
          <w:color w:val="666666"/>
          <w:kern w:val="0"/>
          <w:sz w:val="24"/>
        </w:rPr>
        <w:t>基础评分1</w:t>
      </w:r>
      <w:r>
        <w:rPr>
          <w:rFonts w:hint="eastAsia" w:ascii="仿宋" w:hAnsi="仿宋" w:eastAsia="仿宋" w:cs="Arial"/>
          <w:color w:val="666666"/>
          <w:kern w:val="0"/>
          <w:sz w:val="24"/>
          <w:lang w:val="en-US" w:eastAsia="zh-CN"/>
        </w:rPr>
        <w:t>00</w:t>
      </w:r>
      <w:r>
        <w:rPr>
          <w:rFonts w:hint="eastAsia" w:ascii="仿宋" w:hAnsi="仿宋" w:eastAsia="仿宋" w:cs="Arial"/>
          <w:color w:val="666666"/>
          <w:kern w:val="0"/>
          <w:sz w:val="24"/>
        </w:rPr>
        <w:t>分，</w:t>
      </w:r>
      <w:r>
        <w:rPr>
          <w:rFonts w:hint="eastAsia" w:ascii="仿宋" w:hAnsi="仿宋" w:eastAsia="仿宋" w:cs="Arial"/>
          <w:color w:val="666666"/>
          <w:kern w:val="0"/>
          <w:sz w:val="24"/>
          <w:lang w:val="en-US" w:eastAsia="zh-CN"/>
        </w:rPr>
        <w:t>特殊</w:t>
      </w:r>
      <w:r>
        <w:rPr>
          <w:rFonts w:hint="eastAsia" w:ascii="仿宋" w:hAnsi="仿宋" w:eastAsia="仿宋" w:cs="Arial"/>
          <w:color w:val="666666"/>
          <w:kern w:val="0"/>
          <w:sz w:val="24"/>
        </w:rPr>
        <w:t>加分项</w:t>
      </w:r>
      <w:r>
        <w:rPr>
          <w:rFonts w:hint="eastAsia" w:ascii="仿宋" w:hAnsi="仿宋" w:eastAsia="仿宋" w:cs="Arial"/>
          <w:color w:val="666666"/>
          <w:kern w:val="0"/>
          <w:sz w:val="24"/>
          <w:lang w:val="en-US" w:eastAsia="zh-CN"/>
        </w:rPr>
        <w:t>1</w:t>
      </w:r>
      <w:r>
        <w:rPr>
          <w:rFonts w:ascii="仿宋" w:hAnsi="仿宋" w:eastAsia="仿宋" w:cs="Arial"/>
          <w:color w:val="666666"/>
          <w:kern w:val="0"/>
          <w:sz w:val="24"/>
        </w:rPr>
        <w:t>0</w:t>
      </w:r>
      <w:r>
        <w:rPr>
          <w:rFonts w:hint="eastAsia" w:ascii="仿宋" w:hAnsi="仿宋" w:eastAsia="仿宋" w:cs="Arial"/>
          <w:color w:val="666666"/>
          <w:kern w:val="0"/>
          <w:sz w:val="24"/>
        </w:rPr>
        <w:t>分</w:t>
      </w:r>
      <w:r>
        <w:rPr>
          <w:rFonts w:hint="eastAsia" w:ascii="仿宋" w:hAnsi="仿宋" w:eastAsia="仿宋" w:cs="Arial"/>
          <w:color w:val="666666"/>
          <w:kern w:val="0"/>
          <w:sz w:val="24"/>
          <w:lang w:eastAsia="zh-CN"/>
        </w:rPr>
        <w:t>，</w:t>
      </w:r>
      <w:r>
        <w:rPr>
          <w:rFonts w:hint="eastAsia" w:ascii="仿宋" w:hAnsi="仿宋" w:eastAsia="仿宋" w:cs="Arial"/>
          <w:color w:val="666666"/>
          <w:kern w:val="0"/>
          <w:sz w:val="24"/>
        </w:rPr>
        <w:t>两项相加</w:t>
      </w:r>
      <w:r>
        <w:rPr>
          <w:rFonts w:hint="eastAsia" w:ascii="仿宋" w:hAnsi="仿宋" w:eastAsia="仿宋" w:cs="Arial"/>
          <w:color w:val="666666"/>
          <w:kern w:val="0"/>
          <w:sz w:val="24"/>
          <w:lang w:eastAsia="zh-CN"/>
        </w:rPr>
        <w:t>为最终得分，</w:t>
      </w:r>
      <w:r>
        <w:rPr>
          <w:rFonts w:hint="eastAsia" w:ascii="仿宋" w:hAnsi="仿宋" w:eastAsia="仿宋" w:cs="Arial"/>
          <w:color w:val="666666"/>
          <w:kern w:val="0"/>
          <w:sz w:val="24"/>
          <w:lang w:val="en-US" w:eastAsia="zh-CN"/>
        </w:rPr>
        <w:t>基础评分超过80分，且必备项全部符合条件的，方可申报。</w:t>
      </w:r>
    </w:p>
    <w:p/>
    <w:sectPr>
      <w:headerReference r:id="rId7" w:type="first"/>
      <w:headerReference r:id="rId5" w:type="default"/>
      <w:footerReference r:id="rId8" w:type="default"/>
      <w:headerReference r:id="rId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2589DF6-3540-4CA2-8FD1-A71B66A0763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EC2E14E-7286-44A5-B587-ED58E308EAE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15A081AA-19D9-44C5-B720-72E5E79E4EF9}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C8073314-016B-4FDD-A750-A524F598AB41}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E300DBB5-15B3-4470-9ABD-2304A1F1262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enter" w:pos="4140"/>
        <w:tab w:val="right" w:pos="8300"/>
        <w:tab w:val="clear" w:pos="4153"/>
        <w:tab w:val="clear" w:pos="8306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0" o:spid="_x0000_s2050" o:spt="136" type="#_x0000_t136" style="position:absolute;left:0pt;height:60pt;width:300pt;mso-position-horizontal:center;mso-position-horizontal-relative:page;mso-position-vertical:center;mso-position-vertical-relative:page;rotation:-3276800f;z-index:251659264;mso-width-relative:page;mso-height-relative:page;" fillcolor="#D2D2D2" filled="t" stroked="t" coordsize="21600,21600">
          <v:path/>
          <v:fill on="t" focussize="0,0"/>
          <v:stroke color="#D2D2D2"/>
          <v:imagedata o:title=""/>
          <o:lock v:ext="edit"/>
          <v:textpath on="t" fitpath="t" trim="f" xscale="f" string="龙华区教育局 2025-01-20 20:40" style="font-family:宋体;font-size:36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49" o:spid="_x0000_s2049" o:spt="136" type="#_x0000_t136" style="position:absolute;left:0pt;height:60pt;width:300pt;mso-position-horizontal:center;mso-position-horizontal-relative:page;mso-position-vertical:center;mso-position-vertical-relative:page;rotation:-3276800f;z-index:251661312;mso-width-relative:page;mso-height-relative:page;" fillcolor="#D2D2D2" filled="t" stroked="t" coordsize="21600,21600">
          <v:path/>
          <v:fill on="t" focussize="0,0"/>
          <v:stroke color="#D2D2D2"/>
          <v:imagedata o:title=""/>
          <o:lock v:ext="edit"/>
          <v:textpath on="t" fitpath="t" trim="f" xscale="f" string="龙华区教育局 2025-01-20 20:40" style="font-family:宋体;font-size:36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w:pict>
        <v:shape id="_x0000_s2051" o:spid="_x0000_s2051" o:spt="136" type="#_x0000_t136" style="position:absolute;left:0pt;height:60pt;width:300pt;mso-position-horizontal:center;mso-position-horizontal-relative:page;mso-position-vertical:center;mso-position-vertical-relative:page;rotation:-3276800f;z-index:251660288;mso-width-relative:page;mso-height-relative:page;" fillcolor="#D2D2D2" filled="t" stroked="t" coordsize="21600,21600">
          <v:path/>
          <v:fill on="t" focussize="0,0"/>
          <v:stroke color="#D2D2D2"/>
          <v:imagedata o:title=""/>
          <o:lock v:ext="edit"/>
          <v:textpath on="t" fitpath="t" trim="f" xscale="f" string="龙华区教育局 2025-01-20 20:40" style="font-family:宋体;font-size:36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8487522"/>
    <w:rsid w:val="5DD5560E"/>
    <w:rsid w:val="6F66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iPriority="99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4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link w:val="25"/>
    <w:qFormat/>
    <w:uiPriority w:val="0"/>
    <w:pPr>
      <w:keepNext/>
      <w:keepLines/>
      <w:spacing w:before="260" w:after="260" w:line="413" w:lineRule="auto"/>
      <w:outlineLvl w:val="1"/>
    </w:pPr>
    <w:rPr>
      <w:rFonts w:ascii="Calibri Light" w:hAnsi="Calibri Light" w:cs="黑体"/>
      <w:b/>
      <w:bCs/>
      <w:sz w:val="32"/>
      <w:szCs w:val="32"/>
    </w:rPr>
  </w:style>
  <w:style w:type="paragraph" w:styleId="4">
    <w:name w:val="heading 3"/>
    <w:basedOn w:val="1"/>
    <w:next w:val="1"/>
    <w:link w:val="26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link w:val="27"/>
    <w:qFormat/>
    <w:uiPriority w:val="0"/>
    <w:pPr>
      <w:jc w:val="left"/>
    </w:pPr>
  </w:style>
  <w:style w:type="paragraph" w:styleId="6">
    <w:name w:val="footer"/>
    <w:basedOn w:val="1"/>
    <w:link w:val="2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11">
    <w:name w:val="Strong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3">
    <w:name w:val="Emphasis"/>
    <w:qFormat/>
    <w:uiPriority w:val="0"/>
  </w:style>
  <w:style w:type="character" w:styleId="14">
    <w:name w:val="HTML Definition"/>
    <w:qFormat/>
    <w:uiPriority w:val="0"/>
  </w:style>
  <w:style w:type="character" w:styleId="15">
    <w:name w:val="HTML Typewriter"/>
    <w:qFormat/>
    <w:uiPriority w:val="0"/>
    <w:rPr>
      <w:b/>
      <w:color w:val="41519A"/>
      <w:sz w:val="18"/>
      <w:szCs w:val="18"/>
    </w:rPr>
  </w:style>
  <w:style w:type="character" w:styleId="16">
    <w:name w:val="HTML Variable"/>
    <w:qFormat/>
    <w:uiPriority w:val="0"/>
  </w:style>
  <w:style w:type="character" w:styleId="17">
    <w:name w:val="Hyperlink"/>
    <w:qFormat/>
    <w:uiPriority w:val="0"/>
    <w:rPr>
      <w:color w:val="000000"/>
      <w:u w:val="none"/>
    </w:rPr>
  </w:style>
  <w:style w:type="character" w:styleId="18">
    <w:name w:val="HTML Code"/>
    <w:qFormat/>
    <w:uiPriority w:val="0"/>
    <w:rPr>
      <w:rFonts w:ascii="Courier New" w:hAnsi="Courier New" w:eastAsia="Courier New" w:cs="Courier New"/>
      <w:sz w:val="20"/>
    </w:rPr>
  </w:style>
  <w:style w:type="character" w:styleId="19">
    <w:name w:val="HTML Cite"/>
    <w:qFormat/>
    <w:uiPriority w:val="0"/>
  </w:style>
  <w:style w:type="character" w:styleId="20">
    <w:name w:val="HTML Keyboard"/>
    <w:qFormat/>
    <w:uiPriority w:val="0"/>
    <w:rPr>
      <w:rFonts w:hint="default" w:ascii="Courier New" w:hAnsi="Courier New" w:eastAsia="Courier New" w:cs="Courier New"/>
      <w:sz w:val="20"/>
    </w:rPr>
  </w:style>
  <w:style w:type="character" w:styleId="21">
    <w:name w:val="HTML Sample"/>
    <w:qFormat/>
    <w:uiPriority w:val="0"/>
    <w:rPr>
      <w:rFonts w:hint="default" w:ascii="Courier New" w:hAnsi="Courier New" w:eastAsia="Courier New" w:cs="Courier New"/>
    </w:rPr>
  </w:style>
  <w:style w:type="character" w:customStyle="1" w:styleId="22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0"/>
    <w:link w:val="6"/>
    <w:semiHidden/>
    <w:qFormat/>
    <w:uiPriority w:val="99"/>
    <w:rPr>
      <w:sz w:val="18"/>
      <w:szCs w:val="18"/>
    </w:rPr>
  </w:style>
  <w:style w:type="character" w:customStyle="1" w:styleId="24">
    <w:name w:val="标题 1 Char"/>
    <w:basedOn w:val="10"/>
    <w:link w:val="2"/>
    <w:qFormat/>
    <w:uiPriority w:val="0"/>
    <w:rPr>
      <w:rFonts w:ascii="宋体" w:hAnsi="宋体" w:eastAsia="宋体" w:cs="Times New Roman"/>
      <w:b/>
      <w:kern w:val="44"/>
      <w:sz w:val="48"/>
      <w:szCs w:val="48"/>
    </w:rPr>
  </w:style>
  <w:style w:type="character" w:customStyle="1" w:styleId="25">
    <w:name w:val="标题 2 Char"/>
    <w:basedOn w:val="10"/>
    <w:link w:val="3"/>
    <w:qFormat/>
    <w:uiPriority w:val="0"/>
    <w:rPr>
      <w:rFonts w:ascii="Calibri Light" w:hAnsi="Calibri Light" w:eastAsia="宋体" w:cs="黑体"/>
      <w:b/>
      <w:bCs/>
      <w:sz w:val="32"/>
      <w:szCs w:val="32"/>
    </w:rPr>
  </w:style>
  <w:style w:type="character" w:customStyle="1" w:styleId="26">
    <w:name w:val="标题 3 Char"/>
    <w:basedOn w:val="10"/>
    <w:link w:val="4"/>
    <w:qFormat/>
    <w:uiPriority w:val="0"/>
    <w:rPr>
      <w:rFonts w:ascii="Calibri" w:hAnsi="Calibri" w:eastAsia="宋体" w:cs="Times New Roman"/>
      <w:b/>
      <w:sz w:val="32"/>
      <w:szCs w:val="24"/>
    </w:rPr>
  </w:style>
  <w:style w:type="character" w:customStyle="1" w:styleId="27">
    <w:name w:val="批注文字 Char"/>
    <w:basedOn w:val="10"/>
    <w:link w:val="5"/>
    <w:qFormat/>
    <w:uiPriority w:val="0"/>
    <w:rPr>
      <w:rFonts w:ascii="Calibri" w:hAnsi="Calibri" w:eastAsia="宋体" w:cs="Times New Roman"/>
      <w:szCs w:val="24"/>
    </w:rPr>
  </w:style>
  <w:style w:type="paragraph" w:customStyle="1" w:styleId="28">
    <w:name w:val="_Style 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29">
    <w:name w:val="psname"/>
    <w:qFormat/>
    <w:uiPriority w:val="0"/>
    <w:rPr>
      <w:color w:val="FF0000"/>
      <w:sz w:val="18"/>
      <w:szCs w:val="18"/>
    </w:rPr>
  </w:style>
  <w:style w:type="character" w:customStyle="1" w:styleId="30">
    <w:name w:val="psreply"/>
    <w:qFormat/>
    <w:uiPriority w:val="0"/>
    <w:rPr>
      <w:color w:val="999999"/>
      <w:sz w:val="18"/>
      <w:szCs w:val="18"/>
    </w:rPr>
  </w:style>
  <w:style w:type="character" w:customStyle="1" w:styleId="31">
    <w:name w:val="bsharetext"/>
    <w:qFormat/>
    <w:uiPriority w:val="0"/>
  </w:style>
  <w:style w:type="character" w:customStyle="1" w:styleId="32">
    <w:name w:val="pshits"/>
    <w:qFormat/>
    <w:uiPriority w:val="0"/>
    <w:rPr>
      <w:color w:val="999999"/>
      <w:sz w:val="18"/>
      <w:szCs w:val="18"/>
    </w:rPr>
  </w:style>
  <w:style w:type="character" w:customStyle="1" w:styleId="33">
    <w:name w:val="psdate"/>
    <w:qFormat/>
    <w:uiPriority w:val="0"/>
    <w:rPr>
      <w:color w:val="999999"/>
      <w:sz w:val="18"/>
      <w:szCs w:val="18"/>
    </w:rPr>
  </w:style>
  <w:style w:type="character" w:customStyle="1" w:styleId="34">
    <w:name w:val="pssort"/>
    <w:qFormat/>
    <w:uiPriority w:val="0"/>
    <w:rPr>
      <w:color w:val="999999"/>
      <w:sz w:val="18"/>
      <w:szCs w:val="18"/>
    </w:rPr>
  </w:style>
  <w:style w:type="paragraph" w:customStyle="1" w:styleId="3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6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napToGrid w:val="0"/>
      <w:spacing w:line="640" w:lineRule="atLeast"/>
      <w:jc w:val="center"/>
    </w:pPr>
    <w:rPr>
      <w:rFonts w:eastAsia="方正小标宋_GBK"/>
      <w:snapToGrid w:val="0"/>
      <w:kern w:val="0"/>
      <w:sz w:val="44"/>
    </w:rPr>
  </w:style>
  <w:style w:type="paragraph" w:customStyle="1" w:styleId="37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38">
    <w:name w:val="text-tag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39">
    <w:name w:val="Revision"/>
    <w:hidden/>
    <w:unhideWhenUsed/>
    <w:qFormat/>
    <w:uiPriority w:val="99"/>
    <w:pPr>
      <w:spacing w:after="200" w:line="276" w:lineRule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49"/>
    <customShpInfo spid="_x0000_s2051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5035</Words>
  <Characters>5186</Characters>
  <Lines>54</Lines>
  <Paragraphs>15</Paragraphs>
  <TotalTime>6</TotalTime>
  <ScaleCrop>false</ScaleCrop>
  <LinksUpToDate>false</LinksUpToDate>
  <CharactersWithSpaces>5237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2021-11-08T07:12:00Z</dcterms:created>
  <dc:creator>szedu</dc:creator>
  <cp:lastModifiedBy>NTKO</cp:lastModifiedBy>
  <cp:lastPrinted>2024-09-07T08:53:00Z</cp:lastPrinted>
  <dcterms:modified xsi:type="dcterms:W3CDTF">2025-03-13T08:07:55Z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0F262BECEE7E4C03BE4BB52802D985A3</vt:lpwstr>
  </property>
  <property fmtid="{D5CDD505-2E9C-101B-9397-08002B2CF9AE}" pid="3" name="KSOProductBuildVer">
    <vt:lpwstr>2052-11.8.2.11718</vt:lpwstr>
  </property>
  <property fmtid="{D5CDD505-2E9C-101B-9397-08002B2CF9AE}" pid="4" name="KSOTemplateDocerSaveRecord">
    <vt:lpwstr>eyJoZGlkIjoiZjQ1MzliZDBmYzMwNjBkOGY5YmQ4Y2VmM2MxMzBmYzYiLCJ1c2VySWQiOiI2NTg0NjUyMDcifQ==</vt:lpwstr>
  </property>
</Properties>
</file>