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firstLine="0" w:firstLineChars="0"/>
        <w:jc w:val="left"/>
        <w:rPr>
          <w:rFonts w:hint="eastAsia" w:ascii="黑体" w:hAnsi="黑体" w:eastAsia="黑体" w:cs="黑体"/>
          <w:b w:val="0"/>
          <w:bCs w:val="0"/>
          <w:color w:val="auto"/>
          <w:sz w:val="32"/>
          <w:szCs w:val="32"/>
          <w:highlight w:val="none"/>
        </w:rPr>
      </w:pPr>
      <w:bookmarkStart w:id="0" w:name="_GoBack"/>
      <w:bookmarkEnd w:id="0"/>
      <w:r>
        <w:rPr>
          <w:rFonts w:hint="eastAsia" w:ascii="黑体" w:hAnsi="黑体" w:eastAsia="黑体" w:cs="黑体"/>
          <w:b w:val="0"/>
          <w:bCs w:val="0"/>
          <w:color w:val="auto"/>
          <w:sz w:val="32"/>
          <w:szCs w:val="32"/>
          <w:highlight w:val="none"/>
          <w:lang w:eastAsia="zh-CN"/>
        </w:rPr>
        <w:t>附件</w:t>
      </w:r>
      <w:r>
        <w:rPr>
          <w:rFonts w:hint="eastAsia" w:ascii="黑体" w:hAnsi="黑体" w:eastAsia="黑体" w:cs="黑体"/>
          <w:b w:val="0"/>
          <w:bCs w:val="0"/>
          <w:color w:val="auto"/>
          <w:sz w:val="32"/>
          <w:szCs w:val="32"/>
          <w:highlight w:val="none"/>
          <w:lang w:val="en-US" w:eastAsia="zh-CN"/>
        </w:rPr>
        <w:t>1</w:t>
      </w:r>
    </w:p>
    <w:p>
      <w:pPr>
        <w:pStyle w:val="6"/>
        <w:ind w:firstLine="640"/>
        <w:rPr>
          <w:color w:val="auto"/>
          <w:highlight w:val="none"/>
        </w:rPr>
      </w:pPr>
    </w:p>
    <w:p>
      <w:pPr>
        <w:adjustRightInd/>
        <w:snapToGrid/>
        <w:spacing w:line="360" w:lineRule="auto"/>
        <w:ind w:left="640" w:leftChars="200" w:firstLine="0" w:firstLineChars="0"/>
        <w:jc w:val="center"/>
        <w:rPr>
          <w:rFonts w:hint="eastAsia" w:ascii="宋体" w:hAnsi="宋体" w:eastAsia="宋体" w:cs="Arial"/>
          <w:b/>
          <w:bCs/>
          <w:color w:val="auto"/>
          <w:sz w:val="44"/>
          <w:szCs w:val="44"/>
          <w:highlight w:val="none"/>
          <w:lang w:eastAsia="zh-CN"/>
        </w:rPr>
      </w:pPr>
      <w:r>
        <w:rPr>
          <w:rFonts w:hint="eastAsia" w:ascii="宋体" w:hAnsi="宋体" w:eastAsia="宋体" w:cs="Arial"/>
          <w:b/>
          <w:bCs/>
          <w:color w:val="auto"/>
          <w:sz w:val="36"/>
          <w:szCs w:val="36"/>
          <w:highlight w:val="none"/>
          <w:lang w:eastAsia="zh-CN"/>
        </w:rPr>
        <w:t>《</w:t>
      </w:r>
      <w:r>
        <w:rPr>
          <w:rFonts w:hint="eastAsia" w:ascii="宋体" w:hAnsi="宋体" w:eastAsia="宋体" w:cs="Arial"/>
          <w:b/>
          <w:bCs/>
          <w:color w:val="auto"/>
          <w:sz w:val="36"/>
          <w:szCs w:val="36"/>
          <w:highlight w:val="none"/>
        </w:rPr>
        <w:t>龙华区现代化产业体系构建路径下的股权投资与资本招商策略</w:t>
      </w:r>
      <w:r>
        <w:rPr>
          <w:rFonts w:hint="eastAsia" w:ascii="宋体" w:hAnsi="宋体" w:eastAsia="宋体" w:cs="Arial"/>
          <w:b/>
          <w:bCs/>
          <w:color w:val="auto"/>
          <w:sz w:val="36"/>
          <w:szCs w:val="36"/>
          <w:highlight w:val="none"/>
          <w:lang w:eastAsia="zh-CN"/>
        </w:rPr>
        <w:t>》课题项目</w:t>
      </w:r>
    </w:p>
    <w:p>
      <w:pPr>
        <w:adjustRightInd/>
        <w:snapToGrid/>
        <w:spacing w:line="360" w:lineRule="auto"/>
        <w:ind w:left="640" w:leftChars="200" w:firstLine="0" w:firstLineChars="0"/>
        <w:jc w:val="center"/>
        <w:rPr>
          <w:rFonts w:hint="eastAsia" w:ascii="黑体" w:hAnsi="宋体" w:eastAsia="黑体"/>
          <w:b/>
          <w:bCs/>
          <w:color w:val="auto"/>
          <w:highlight w:val="none"/>
        </w:rPr>
      </w:pPr>
    </w:p>
    <w:p>
      <w:pPr>
        <w:adjustRightInd/>
        <w:snapToGrid/>
        <w:spacing w:line="360" w:lineRule="auto"/>
        <w:ind w:firstLine="0" w:firstLineChars="0"/>
        <w:jc w:val="center"/>
        <w:rPr>
          <w:rFonts w:hint="eastAsia" w:ascii="黑体" w:hAnsi="宋体" w:eastAsia="黑体"/>
          <w:b/>
          <w:bCs/>
          <w:color w:val="auto"/>
          <w:sz w:val="72"/>
          <w:szCs w:val="72"/>
          <w:highlight w:val="none"/>
        </w:rPr>
      </w:pPr>
      <w:r>
        <w:rPr>
          <w:rFonts w:hint="eastAsia" w:ascii="黑体" w:hAnsi="黑体" w:eastAsia="黑体"/>
          <w:b/>
          <w:bCs/>
          <w:color w:val="auto"/>
          <w:sz w:val="72"/>
          <w:szCs w:val="72"/>
          <w:highlight w:val="none"/>
        </w:rPr>
        <w:t>招</w:t>
      </w:r>
    </w:p>
    <w:p>
      <w:pPr>
        <w:adjustRightInd/>
        <w:snapToGrid/>
        <w:spacing w:line="360" w:lineRule="auto"/>
        <w:ind w:firstLine="0" w:firstLineChars="0"/>
        <w:jc w:val="center"/>
        <w:rPr>
          <w:rFonts w:hint="eastAsia" w:ascii="黑体" w:hAnsi="宋体" w:eastAsia="黑体"/>
          <w:b/>
          <w:bCs/>
          <w:color w:val="auto"/>
          <w:sz w:val="72"/>
          <w:szCs w:val="72"/>
          <w:highlight w:val="none"/>
        </w:rPr>
      </w:pPr>
    </w:p>
    <w:p>
      <w:pPr>
        <w:adjustRightInd/>
        <w:snapToGrid/>
        <w:spacing w:line="360" w:lineRule="auto"/>
        <w:ind w:firstLine="0" w:firstLineChars="0"/>
        <w:jc w:val="center"/>
        <w:rPr>
          <w:rFonts w:hint="eastAsia" w:ascii="黑体" w:hAnsi="宋体" w:eastAsia="黑体"/>
          <w:b/>
          <w:bCs/>
          <w:color w:val="auto"/>
          <w:sz w:val="72"/>
          <w:szCs w:val="72"/>
          <w:highlight w:val="none"/>
        </w:rPr>
      </w:pPr>
      <w:r>
        <w:rPr>
          <w:rFonts w:hint="eastAsia" w:ascii="黑体" w:hAnsi="黑体" w:eastAsia="黑体"/>
          <w:b/>
          <w:bCs/>
          <w:color w:val="auto"/>
          <w:sz w:val="72"/>
          <w:szCs w:val="72"/>
          <w:highlight w:val="none"/>
        </w:rPr>
        <w:t>标</w:t>
      </w:r>
    </w:p>
    <w:p>
      <w:pPr>
        <w:adjustRightInd/>
        <w:snapToGrid/>
        <w:spacing w:line="360" w:lineRule="auto"/>
        <w:ind w:firstLine="0" w:firstLineChars="0"/>
        <w:jc w:val="center"/>
        <w:rPr>
          <w:rFonts w:hint="eastAsia" w:ascii="黑体" w:hAnsi="宋体" w:eastAsia="黑体"/>
          <w:b/>
          <w:bCs/>
          <w:color w:val="auto"/>
          <w:sz w:val="48"/>
          <w:szCs w:val="48"/>
          <w:highlight w:val="none"/>
        </w:rPr>
      </w:pPr>
    </w:p>
    <w:p>
      <w:pPr>
        <w:adjustRightInd/>
        <w:snapToGrid/>
        <w:spacing w:line="360" w:lineRule="auto"/>
        <w:ind w:firstLine="0" w:firstLineChars="0"/>
        <w:jc w:val="center"/>
        <w:rPr>
          <w:rFonts w:hint="eastAsia" w:ascii="黑体" w:hAnsi="宋体" w:eastAsia="黑体"/>
          <w:b/>
          <w:bCs/>
          <w:color w:val="auto"/>
          <w:sz w:val="72"/>
          <w:szCs w:val="72"/>
          <w:highlight w:val="none"/>
        </w:rPr>
      </w:pPr>
      <w:r>
        <w:rPr>
          <w:rFonts w:hint="eastAsia" w:ascii="黑体" w:hAnsi="黑体" w:eastAsia="黑体"/>
          <w:b/>
          <w:bCs/>
          <w:color w:val="auto"/>
          <w:sz w:val="72"/>
          <w:szCs w:val="72"/>
          <w:highlight w:val="none"/>
        </w:rPr>
        <w:t>书</w:t>
      </w:r>
    </w:p>
    <w:p>
      <w:pPr>
        <w:adjustRightInd/>
        <w:snapToGrid/>
        <w:spacing w:line="360" w:lineRule="auto"/>
        <w:ind w:left="640" w:leftChars="200" w:firstLine="0" w:firstLineChars="0"/>
        <w:jc w:val="center"/>
        <w:rPr>
          <w:rFonts w:hint="eastAsia" w:ascii="宋体" w:hAnsi="宋体" w:eastAsia="宋体"/>
          <w:color w:val="auto"/>
          <w:sz w:val="44"/>
          <w:szCs w:val="44"/>
          <w:highlight w:val="none"/>
        </w:rPr>
      </w:pPr>
    </w:p>
    <w:p>
      <w:pPr>
        <w:adjustRightInd/>
        <w:snapToGrid/>
        <w:spacing w:line="360" w:lineRule="auto"/>
        <w:ind w:firstLine="0" w:firstLineChars="0"/>
        <w:rPr>
          <w:rFonts w:hint="eastAsia" w:ascii="方正小标宋简体" w:hAnsi="宋体" w:eastAsia="宋体" w:cs="Arial"/>
          <w:color w:val="auto"/>
          <w:sz w:val="48"/>
          <w:szCs w:val="48"/>
          <w:highlight w:val="none"/>
        </w:rPr>
      </w:pPr>
    </w:p>
    <w:p>
      <w:pPr>
        <w:adjustRightInd/>
        <w:snapToGrid/>
        <w:spacing w:line="600" w:lineRule="exact"/>
        <w:ind w:firstLine="0" w:firstLineChars="0"/>
        <w:jc w:val="center"/>
        <w:rPr>
          <w:rFonts w:hint="eastAsia" w:ascii="宋体" w:hAnsi="宋体" w:eastAsia="宋体"/>
          <w:b/>
          <w:bCs/>
          <w:color w:val="auto"/>
          <w:highlight w:val="none"/>
        </w:rPr>
      </w:pPr>
      <w:r>
        <w:rPr>
          <w:rFonts w:hint="eastAsia" w:ascii="宋体" w:hAnsi="宋体" w:eastAsia="宋体"/>
          <w:b/>
          <w:bCs/>
          <w:color w:val="auto"/>
          <w:highlight w:val="none"/>
        </w:rPr>
        <w:t>　深圳市龙华区发展和改革局</w:t>
      </w:r>
    </w:p>
    <w:p>
      <w:pPr>
        <w:adjustRightInd/>
        <w:snapToGrid/>
        <w:spacing w:line="600" w:lineRule="exact"/>
        <w:ind w:firstLine="0" w:firstLineChars="0"/>
        <w:jc w:val="center"/>
        <w:rPr>
          <w:rFonts w:hint="eastAsia" w:ascii="宋体" w:hAnsi="宋体" w:eastAsia="宋体"/>
          <w:b/>
          <w:bCs/>
          <w:color w:val="auto"/>
          <w:highlight w:val="none"/>
        </w:rPr>
      </w:pPr>
      <w:r>
        <w:rPr>
          <w:rFonts w:hint="eastAsia" w:ascii="宋体" w:hAnsi="宋体" w:eastAsia="宋体"/>
          <w:b/>
          <w:bCs/>
          <w:color w:val="auto"/>
          <w:highlight w:val="none"/>
        </w:rPr>
        <w:t>20</w:t>
      </w:r>
      <w:r>
        <w:rPr>
          <w:rFonts w:ascii="宋体" w:hAnsi="宋体" w:eastAsia="宋体"/>
          <w:b/>
          <w:bCs/>
          <w:color w:val="auto"/>
          <w:highlight w:val="none"/>
        </w:rPr>
        <w:t>2</w:t>
      </w:r>
      <w:r>
        <w:rPr>
          <w:rFonts w:hint="eastAsia" w:ascii="宋体" w:hAnsi="宋体" w:eastAsia="宋体"/>
          <w:b/>
          <w:bCs/>
          <w:color w:val="auto"/>
          <w:highlight w:val="none"/>
          <w:lang w:val="en-US" w:eastAsia="zh-CN"/>
        </w:rPr>
        <w:t>5</w:t>
      </w:r>
      <w:r>
        <w:rPr>
          <w:rFonts w:hint="eastAsia" w:ascii="宋体" w:hAnsi="宋体" w:eastAsia="宋体"/>
          <w:b/>
          <w:bCs/>
          <w:color w:val="auto"/>
          <w:highlight w:val="none"/>
        </w:rPr>
        <w:t>年</w:t>
      </w:r>
      <w:r>
        <w:rPr>
          <w:rFonts w:hint="default" w:ascii="宋体" w:hAnsi="宋体" w:eastAsia="宋体"/>
          <w:b/>
          <w:bCs/>
          <w:color w:val="auto"/>
          <w:highlight w:val="none"/>
          <w:lang w:val="en" w:eastAsia="zh-CN"/>
        </w:rPr>
        <w:t>3</w:t>
      </w:r>
      <w:r>
        <w:rPr>
          <w:rFonts w:hint="eastAsia" w:ascii="宋体" w:hAnsi="宋体" w:eastAsia="宋体"/>
          <w:b/>
          <w:bCs/>
          <w:color w:val="auto"/>
          <w:highlight w:val="none"/>
        </w:rPr>
        <w:t>月</w:t>
      </w:r>
    </w:p>
    <w:p>
      <w:pPr>
        <w:ind w:firstLine="883"/>
        <w:jc w:val="left"/>
        <w:rPr>
          <w:rFonts w:hint="eastAsia" w:ascii="宋体" w:hAnsi="宋体" w:cs="宋体"/>
          <w:b/>
          <w:bCs/>
          <w:color w:val="auto"/>
          <w:sz w:val="44"/>
          <w:szCs w:val="44"/>
          <w:highlight w:val="none"/>
        </w:rPr>
        <w:sectPr>
          <w:headerReference r:id="rId5" w:type="default"/>
          <w:footerReference r:id="rId6" w:type="default"/>
          <w:pgSz w:w="11906" w:h="16838"/>
          <w:pgMar w:top="1400" w:right="1797" w:bottom="1089" w:left="1797" w:header="720" w:footer="720" w:gutter="0"/>
          <w:pgNumType w:fmt="decimal" w:start="1"/>
          <w:cols w:space="720" w:num="1"/>
          <w:docGrid w:type="lines" w:linePitch="435" w:charSpace="0"/>
        </w:sectPr>
      </w:pPr>
    </w:p>
    <w:p>
      <w:pPr>
        <w:spacing w:line="240" w:lineRule="auto"/>
        <w:ind w:firstLine="0" w:firstLineChars="0"/>
        <w:jc w:val="center"/>
        <w:rPr>
          <w:rFonts w:hint="eastAsia" w:ascii="宋体" w:hAnsi="宋体" w:eastAsia="宋体" w:cs="Arial"/>
          <w:b/>
          <w:bCs/>
          <w:color w:val="auto"/>
          <w:sz w:val="44"/>
          <w:szCs w:val="44"/>
          <w:highlight w:val="none"/>
        </w:rPr>
      </w:pPr>
    </w:p>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方正小标宋简体" w:hAnsi="方正小标宋简体" w:eastAsia="方正小标宋简体" w:cs="方正小标宋简体"/>
          <w:b w:val="0"/>
          <w:bCs w:val="0"/>
          <w:color w:val="auto"/>
          <w:sz w:val="36"/>
          <w:szCs w:val="36"/>
          <w:highlight w:val="none"/>
          <w:lang w:val="en"/>
        </w:rPr>
      </w:pPr>
      <w:r>
        <w:rPr>
          <w:rFonts w:hint="eastAsia" w:ascii="方正小标宋简体" w:hAnsi="方正小标宋简体" w:eastAsia="方正小标宋简体" w:cs="方正小标宋简体"/>
          <w:b w:val="0"/>
          <w:bCs w:val="0"/>
          <w:color w:val="auto"/>
          <w:sz w:val="36"/>
          <w:szCs w:val="36"/>
          <w:highlight w:val="none"/>
          <w:lang w:val="en" w:eastAsia="zh-CN"/>
        </w:rPr>
        <w:t>《</w:t>
      </w:r>
      <w:r>
        <w:rPr>
          <w:rFonts w:hint="eastAsia" w:ascii="方正小标宋简体" w:hAnsi="方正小标宋简体" w:eastAsia="方正小标宋简体" w:cs="方正小标宋简体"/>
          <w:b w:val="0"/>
          <w:bCs w:val="0"/>
          <w:color w:val="auto"/>
          <w:sz w:val="36"/>
          <w:szCs w:val="36"/>
          <w:highlight w:val="none"/>
          <w:lang w:val="en"/>
        </w:rPr>
        <w:t>龙华区现代化产业体系构建路径下的股权投资与</w:t>
      </w:r>
    </w:p>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方正小标宋简体" w:hAnsi="方正小标宋简体" w:eastAsia="方正小标宋简体" w:cs="方正小标宋简体"/>
          <w:b w:val="0"/>
          <w:bCs w:val="0"/>
          <w:color w:val="auto"/>
          <w:sz w:val="36"/>
          <w:szCs w:val="36"/>
          <w:highlight w:val="none"/>
        </w:rPr>
      </w:pPr>
      <w:r>
        <w:rPr>
          <w:rFonts w:hint="eastAsia" w:ascii="方正小标宋简体" w:hAnsi="方正小标宋简体" w:eastAsia="方正小标宋简体" w:cs="方正小标宋简体"/>
          <w:b w:val="0"/>
          <w:bCs w:val="0"/>
          <w:color w:val="auto"/>
          <w:sz w:val="36"/>
          <w:szCs w:val="36"/>
          <w:highlight w:val="none"/>
          <w:lang w:val="en"/>
        </w:rPr>
        <w:t>资本招商策略研究</w:t>
      </w:r>
      <w:r>
        <w:rPr>
          <w:rFonts w:hint="eastAsia" w:ascii="方正小标宋简体" w:hAnsi="方正小标宋简体" w:eastAsia="方正小标宋简体" w:cs="方正小标宋简体"/>
          <w:b w:val="0"/>
          <w:bCs w:val="0"/>
          <w:color w:val="auto"/>
          <w:sz w:val="36"/>
          <w:szCs w:val="36"/>
          <w:highlight w:val="none"/>
          <w:lang w:val="en" w:eastAsia="zh-CN"/>
        </w:rPr>
        <w:t>》课题</w:t>
      </w:r>
      <w:r>
        <w:rPr>
          <w:rFonts w:hint="eastAsia" w:ascii="方正小标宋简体" w:hAnsi="方正小标宋简体" w:eastAsia="方正小标宋简体" w:cs="方正小标宋简体"/>
          <w:b w:val="0"/>
          <w:bCs w:val="0"/>
          <w:color w:val="auto"/>
          <w:sz w:val="36"/>
          <w:szCs w:val="36"/>
          <w:highlight w:val="none"/>
        </w:rPr>
        <w:t>项目招标书</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黑体" w:hAnsi="黑体" w:eastAsia="黑体"/>
          <w:b/>
          <w:bCs/>
          <w:color w:val="auto"/>
          <w:highlight w:val="none"/>
        </w:rPr>
      </w:pP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黑体" w:hAnsi="黑体" w:eastAsia="黑体"/>
          <w:color w:val="auto"/>
          <w:highlight w:val="none"/>
        </w:rPr>
      </w:pPr>
      <w:r>
        <w:rPr>
          <w:rFonts w:hint="eastAsia" w:ascii="黑体" w:hAnsi="黑体" w:eastAsia="黑体"/>
          <w:color w:val="auto"/>
          <w:highlight w:val="none"/>
        </w:rPr>
        <w:t>一、项目概况</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hAnsi="仿宋" w:cs="仿宋_GB2312"/>
          <w:color w:val="auto"/>
          <w:highlight w:val="none"/>
        </w:rPr>
      </w:pPr>
      <w:r>
        <w:rPr>
          <w:rFonts w:hint="eastAsia" w:hAnsi="仿宋" w:cs="仿宋_GB2312"/>
          <w:color w:val="auto"/>
          <w:highlight w:val="none"/>
        </w:rPr>
        <w:t>（一）项目名称：</w:t>
      </w:r>
      <w:r>
        <w:rPr>
          <w:rFonts w:hint="eastAsia" w:hAnsi="仿宋_GB2312" w:cs="仿宋_GB2312"/>
          <w:color w:val="auto"/>
          <w:szCs w:val="21"/>
          <w:highlight w:val="none"/>
          <w:lang w:val="en"/>
        </w:rPr>
        <w:t>龙华区现代化产业体系构建路径下的股权投资与资本招商策略研究</w:t>
      </w:r>
      <w:r>
        <w:rPr>
          <w:rFonts w:hint="eastAsia" w:hAnsi="仿宋" w:cs="仿宋_GB2312"/>
          <w:color w:val="auto"/>
          <w:highlight w:val="none"/>
        </w:rPr>
        <w:t>。</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hAnsi="仿宋" w:cs="仿宋_GB2312"/>
          <w:color w:val="auto"/>
          <w:highlight w:val="none"/>
        </w:rPr>
      </w:pPr>
      <w:r>
        <w:rPr>
          <w:rFonts w:hint="eastAsia" w:hAnsi="仿宋" w:cs="仿宋_GB2312"/>
          <w:color w:val="auto"/>
          <w:highlight w:val="none"/>
        </w:rPr>
        <w:t>（二）服务期限：自合同签订之日起</w:t>
      </w:r>
      <w:r>
        <w:rPr>
          <w:rFonts w:hint="eastAsia" w:hAnsi="仿宋" w:cs="仿宋_GB2312"/>
          <w:color w:val="auto"/>
          <w:highlight w:val="none"/>
          <w:lang w:val="en-US" w:eastAsia="zh-CN"/>
        </w:rPr>
        <w:t>9</w:t>
      </w:r>
      <w:r>
        <w:rPr>
          <w:rFonts w:hint="eastAsia" w:hAnsi="仿宋" w:cs="仿宋_GB2312"/>
          <w:color w:val="auto"/>
          <w:highlight w:val="none"/>
        </w:rPr>
        <w:t>个月。</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hAnsi="仿宋" w:cs="仿宋_GB2312"/>
          <w:color w:val="auto"/>
          <w:highlight w:val="none"/>
        </w:rPr>
      </w:pPr>
      <w:r>
        <w:rPr>
          <w:rFonts w:hint="eastAsia" w:hAnsi="仿宋" w:cs="仿宋_GB2312"/>
          <w:color w:val="auto"/>
          <w:highlight w:val="none"/>
        </w:rPr>
        <w:t>（三）项目预算：预算金额不超过</w:t>
      </w:r>
      <w:r>
        <w:rPr>
          <w:rFonts w:hint="eastAsia" w:hAnsi="仿宋" w:cs="仿宋_GB2312"/>
          <w:color w:val="auto"/>
          <w:highlight w:val="none"/>
          <w:lang w:val="en-US" w:eastAsia="zh-CN"/>
        </w:rPr>
        <w:t>80</w:t>
      </w:r>
      <w:r>
        <w:rPr>
          <w:rFonts w:hint="eastAsia" w:hAnsi="仿宋" w:cs="仿宋_GB2312"/>
          <w:color w:val="auto"/>
          <w:highlight w:val="none"/>
        </w:rPr>
        <w:t>万元。</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黑体" w:hAnsi="黑体" w:eastAsia="黑体"/>
          <w:color w:val="auto"/>
          <w:highlight w:val="none"/>
        </w:rPr>
      </w:pPr>
      <w:r>
        <w:rPr>
          <w:rFonts w:hint="eastAsia" w:ascii="黑体" w:hAnsi="黑体" w:eastAsia="黑体"/>
          <w:color w:val="auto"/>
          <w:highlight w:val="none"/>
        </w:rPr>
        <w:t>二、项目内容</w:t>
      </w:r>
    </w:p>
    <w:p>
      <w:pPr>
        <w:numPr>
          <w:ilvl w:val="0"/>
          <w:numId w:val="0"/>
        </w:numPr>
        <w:spacing w:line="560" w:lineRule="exact"/>
        <w:ind w:firstLine="640" w:firstLineChars="200"/>
        <w:rPr>
          <w:rFonts w:hint="eastAsia" w:ascii="CESI楷体-GB2312" w:hAnsi="CESI楷体-GB2312" w:eastAsia="CESI楷体-GB2312" w:cs="CESI楷体-GB2312"/>
          <w:color w:val="auto"/>
          <w:sz w:val="32"/>
          <w:szCs w:val="32"/>
          <w:highlight w:val="none"/>
        </w:rPr>
      </w:pPr>
      <w:r>
        <w:rPr>
          <w:rFonts w:hint="eastAsia" w:ascii="CESI楷体-GB2312" w:hAnsi="CESI楷体-GB2312" w:eastAsia="CESI楷体-GB2312" w:cs="CESI楷体-GB2312"/>
          <w:b w:val="0"/>
          <w:bCs w:val="0"/>
          <w:color w:val="auto"/>
          <w:sz w:val="32"/>
          <w:szCs w:val="32"/>
          <w:highlight w:val="none"/>
          <w:lang w:eastAsia="zh-CN"/>
        </w:rPr>
        <w:t>（</w:t>
      </w:r>
      <w:r>
        <w:rPr>
          <w:rFonts w:hint="eastAsia" w:ascii="CESI楷体-GB2312" w:hAnsi="CESI楷体-GB2312" w:eastAsia="CESI楷体-GB2312" w:cs="CESI楷体-GB2312"/>
          <w:b w:val="0"/>
          <w:bCs w:val="0"/>
          <w:color w:val="auto"/>
          <w:sz w:val="32"/>
          <w:szCs w:val="32"/>
          <w:highlight w:val="none"/>
          <w:lang w:val="en-US" w:eastAsia="zh-CN"/>
        </w:rPr>
        <w:t>一</w:t>
      </w:r>
      <w:r>
        <w:rPr>
          <w:rFonts w:hint="eastAsia" w:ascii="CESI楷体-GB2312" w:hAnsi="CESI楷体-GB2312" w:eastAsia="CESI楷体-GB2312" w:cs="CESI楷体-GB2312"/>
          <w:b w:val="0"/>
          <w:bCs w:val="0"/>
          <w:color w:val="auto"/>
          <w:sz w:val="32"/>
          <w:szCs w:val="32"/>
          <w:highlight w:val="none"/>
          <w:lang w:eastAsia="zh-CN"/>
        </w:rPr>
        <w:t>）</w:t>
      </w:r>
      <w:r>
        <w:rPr>
          <w:rFonts w:hint="eastAsia" w:ascii="CESI楷体-GB2312" w:hAnsi="CESI楷体-GB2312" w:eastAsia="CESI楷体-GB2312" w:cs="CESI楷体-GB2312"/>
          <w:b w:val="0"/>
          <w:bCs w:val="0"/>
          <w:color w:val="auto"/>
          <w:sz w:val="32"/>
          <w:szCs w:val="32"/>
          <w:highlight w:val="none"/>
        </w:rPr>
        <w:t>现代化产业体系构建</w:t>
      </w:r>
      <w:r>
        <w:rPr>
          <w:rFonts w:hint="eastAsia" w:ascii="CESI楷体-GB2312" w:hAnsi="CESI楷体-GB2312" w:eastAsia="CESI楷体-GB2312" w:cs="CESI楷体-GB2312"/>
          <w:b w:val="0"/>
          <w:bCs w:val="0"/>
          <w:color w:val="auto"/>
          <w:sz w:val="32"/>
          <w:szCs w:val="32"/>
          <w:highlight w:val="none"/>
          <w:lang w:val="en-US" w:eastAsia="zh-CN"/>
        </w:rPr>
        <w:t>下股权投资和资本招商</w:t>
      </w:r>
      <w:r>
        <w:rPr>
          <w:rFonts w:hint="eastAsia" w:ascii="CESI楷体-GB2312" w:hAnsi="CESI楷体-GB2312" w:eastAsia="CESI楷体-GB2312" w:cs="CESI楷体-GB2312"/>
          <w:b w:val="0"/>
          <w:bCs w:val="0"/>
          <w:color w:val="auto"/>
          <w:sz w:val="32"/>
          <w:szCs w:val="32"/>
          <w:highlight w:val="none"/>
        </w:rPr>
        <w:t>的协同发展研究</w:t>
      </w:r>
    </w:p>
    <w:p>
      <w:pPr>
        <w:pStyle w:val="27"/>
        <w:keepNext w:val="0"/>
        <w:keepLines w:val="0"/>
        <w:widowControl/>
        <w:numPr>
          <w:ilvl w:val="0"/>
          <w:numId w:val="0"/>
        </w:numPr>
        <w:suppressLineNumbers w:val="0"/>
        <w:shd w:val="clear" w:fill="FFFFFF"/>
        <w:spacing w:before="0" w:after="0" w:line="560" w:lineRule="exact"/>
        <w:ind w:left="0" w:firstLine="640" w:firstLineChars="200"/>
        <w:jc w:val="both"/>
        <w:rPr>
          <w:rFonts w:hint="eastAsia" w:ascii="仿宋_GB2312" w:hAnsi="仿宋_GB2312" w:eastAsia="仿宋_GB2312" w:cs="仿宋_GB2312"/>
          <w:i w:val="0"/>
          <w:iCs w:val="0"/>
          <w:caps w:val="0"/>
          <w:color w:val="auto"/>
          <w:spacing w:val="0"/>
          <w:kern w:val="2"/>
          <w:sz w:val="32"/>
          <w:szCs w:val="40"/>
          <w:highlight w:val="none"/>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40"/>
          <w:highlight w:val="none"/>
          <w:shd w:val="clear" w:fill="FFFFFF"/>
          <w:lang w:val="en-US" w:eastAsia="zh-CN" w:bidi="ar-SA"/>
        </w:rPr>
        <w:t>股权投资作为企业重要的融资方式，为企业发展提供资金支持，同时也为资本招商提供了新的驱动力。资本招商以资本为纽带，吸引优质项目和企业落地，促进产业集聚和升级，与现代化产业体系构建之间存在着紧密的内在联系。课题将聚焦现代化产业体系构建下股权投资与资本招商的协同发展关系，探讨资本招商如何通过引入外部优质资本、推动产业集聚对现代化产业体系构建起到积极作用，现代化产业体系构建如何为资本招商营造良好环境</w:t>
      </w:r>
      <w:r>
        <w:rPr>
          <w:rFonts w:hint="eastAsia" w:ascii="仿宋_GB2312" w:hAnsi="仿宋_GB2312" w:eastAsia="仿宋_GB2312" w:cs="仿宋_GB2312"/>
          <w:i w:val="0"/>
          <w:iCs w:val="0"/>
          <w:caps w:val="0"/>
          <w:color w:val="auto"/>
          <w:spacing w:val="0"/>
          <w:kern w:val="2"/>
          <w:sz w:val="32"/>
          <w:szCs w:val="40"/>
          <w:highlight w:val="none"/>
          <w:shd w:val="clear"/>
          <w:lang w:val="en-US" w:eastAsia="zh-CN" w:bidi="ar-SA"/>
        </w:rPr>
        <w:t>，对产业资本、金融资本实现</w:t>
      </w:r>
      <w:r>
        <w:rPr>
          <w:rFonts w:hint="eastAsia" w:ascii="仿宋_GB2312" w:hAnsi="仿宋_GB2312" w:eastAsia="仿宋_GB2312" w:cs="仿宋_GB2312"/>
          <w:i w:val="0"/>
          <w:iCs w:val="0"/>
          <w:caps w:val="0"/>
          <w:color w:val="auto"/>
          <w:spacing w:val="0"/>
          <w:kern w:val="2"/>
          <w:sz w:val="32"/>
          <w:szCs w:val="40"/>
          <w:highlight w:val="none"/>
          <w:shd w:val="clear" w:fill="FFFFFF"/>
          <w:lang w:val="en-US" w:eastAsia="zh-CN" w:bidi="ar-SA"/>
        </w:rPr>
        <w:t>反哺效应等。</w:t>
      </w:r>
    </w:p>
    <w:p>
      <w:pPr>
        <w:pStyle w:val="27"/>
        <w:keepNext w:val="0"/>
        <w:keepLines w:val="0"/>
        <w:widowControl/>
        <w:numPr>
          <w:ilvl w:val="0"/>
          <w:numId w:val="0"/>
        </w:numPr>
        <w:suppressLineNumbers w:val="0"/>
        <w:shd w:val="clear" w:fill="FFFFFF"/>
        <w:spacing w:before="0" w:after="0" w:line="560" w:lineRule="exact"/>
        <w:ind w:left="0" w:firstLine="480" w:firstLineChars="200"/>
        <w:jc w:val="left"/>
        <w:rPr>
          <w:rFonts w:hint="eastAsia" w:ascii="Segoe UI" w:hAnsi="Segoe UI" w:eastAsia="Segoe UI" w:cs="Segoe UI"/>
          <w:i w:val="0"/>
          <w:iCs w:val="0"/>
          <w:caps w:val="0"/>
          <w:color w:val="auto"/>
          <w:spacing w:val="0"/>
          <w:kern w:val="0"/>
          <w:sz w:val="24"/>
          <w:szCs w:val="24"/>
          <w:highlight w:val="none"/>
          <w:shd w:val="clear" w:fill="FFFFFF"/>
          <w:lang w:val="en-US" w:eastAsia="zh-CN" w:bidi="ar"/>
        </w:rPr>
      </w:pPr>
    </w:p>
    <w:p>
      <w:pPr>
        <w:pStyle w:val="27"/>
        <w:keepNext w:val="0"/>
        <w:keepLines w:val="0"/>
        <w:widowControl/>
        <w:numPr>
          <w:ilvl w:val="0"/>
          <w:numId w:val="0"/>
        </w:numPr>
        <w:suppressLineNumbers w:val="0"/>
        <w:shd w:val="clear" w:fill="FFFFFF"/>
        <w:spacing w:before="0" w:after="0" w:line="560" w:lineRule="exact"/>
        <w:ind w:left="0" w:firstLine="480" w:firstLineChars="200"/>
        <w:jc w:val="left"/>
        <w:rPr>
          <w:rFonts w:hint="default" w:ascii="Segoe UI" w:hAnsi="Segoe UI" w:eastAsia="Segoe UI" w:cs="Segoe UI"/>
          <w:i w:val="0"/>
          <w:iCs w:val="0"/>
          <w:caps w:val="0"/>
          <w:color w:val="auto"/>
          <w:spacing w:val="0"/>
          <w:kern w:val="0"/>
          <w:sz w:val="24"/>
          <w:szCs w:val="24"/>
          <w:highlight w:val="none"/>
          <w:shd w:val="clear" w:fill="FFFFFF"/>
          <w:lang w:val="en-US" w:eastAsia="zh-CN" w:bidi="ar"/>
        </w:rPr>
      </w:pPr>
    </w:p>
    <w:p>
      <w:pPr>
        <w:pStyle w:val="27"/>
        <w:keepNext w:val="0"/>
        <w:keepLines w:val="0"/>
        <w:widowControl/>
        <w:numPr>
          <w:ilvl w:val="0"/>
          <w:numId w:val="0"/>
        </w:numPr>
        <w:suppressLineNumbers w:val="0"/>
        <w:shd w:val="clear" w:fill="FFFFFF"/>
        <w:spacing w:before="0" w:after="0" w:line="560" w:lineRule="exact"/>
        <w:ind w:left="0" w:firstLine="480" w:firstLineChars="200"/>
        <w:jc w:val="left"/>
        <w:rPr>
          <w:rFonts w:hint="default" w:ascii="Segoe UI" w:hAnsi="Segoe UI" w:eastAsia="Segoe UI" w:cs="Segoe UI"/>
          <w:i w:val="0"/>
          <w:iCs w:val="0"/>
          <w:caps w:val="0"/>
          <w:color w:val="auto"/>
          <w:spacing w:val="0"/>
          <w:kern w:val="0"/>
          <w:sz w:val="24"/>
          <w:szCs w:val="24"/>
          <w:highlight w:val="none"/>
          <w:shd w:val="clear" w:fill="FFFFFF"/>
          <w:lang w:val="en-US" w:eastAsia="zh-CN" w:bidi="ar"/>
        </w:rPr>
      </w:pPr>
    </w:p>
    <w:p>
      <w:pPr>
        <w:pStyle w:val="27"/>
        <w:keepNext w:val="0"/>
        <w:keepLines w:val="0"/>
        <w:widowControl/>
        <w:numPr>
          <w:ilvl w:val="0"/>
          <w:numId w:val="0"/>
        </w:numPr>
        <w:suppressLineNumbers w:val="0"/>
        <w:shd w:val="clear" w:fill="FFFFFF"/>
        <w:spacing w:before="0" w:after="0" w:line="560" w:lineRule="exact"/>
        <w:ind w:left="0" w:firstLine="560" w:firstLineChars="200"/>
        <w:jc w:val="left"/>
        <w:rPr>
          <w:rFonts w:hint="default" w:ascii="Segoe UI" w:hAnsi="Segoe UI" w:eastAsia="Segoe UI" w:cs="Segoe UI"/>
          <w:i w:val="0"/>
          <w:iCs w:val="0"/>
          <w:caps w:val="0"/>
          <w:color w:val="auto"/>
          <w:spacing w:val="0"/>
          <w:kern w:val="0"/>
          <w:sz w:val="24"/>
          <w:szCs w:val="24"/>
          <w:highlight w:val="none"/>
          <w:shd w:val="clear" w:fill="FFFFFF"/>
          <w:lang w:val="en-US" w:eastAsia="zh-CN" w:bidi="ar"/>
        </w:rPr>
      </w:pPr>
      <w:r>
        <w:rPr>
          <w:rFonts w:hint="eastAsia" w:ascii="楷体_GB2312" w:hAnsi="楷体_GB2312" w:eastAsia="楷体_GB2312" w:cs="楷体_GB2312"/>
          <w:color w:val="auto"/>
          <w:sz w:val="28"/>
          <w:szCs w:val="28"/>
          <w:highlight w:val="none"/>
          <w:lang w:eastAsia="zh-CN"/>
        </w:rPr>
        <w:drawing>
          <wp:anchor distT="0" distB="0" distL="114300" distR="114300" simplePos="0" relativeHeight="251665408" behindDoc="0" locked="0" layoutInCell="1" allowOverlap="1">
            <wp:simplePos x="0" y="0"/>
            <wp:positionH relativeFrom="column">
              <wp:posOffset>131445</wp:posOffset>
            </wp:positionH>
            <wp:positionV relativeFrom="paragraph">
              <wp:posOffset>47625</wp:posOffset>
            </wp:positionV>
            <wp:extent cx="5610860" cy="3343275"/>
            <wp:effectExtent l="0" t="0" r="8890" b="9525"/>
            <wp:wrapNone/>
            <wp:docPr id="1" name="图片 1" descr="图片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true"/>
                    </pic:cNvPicPr>
                  </pic:nvPicPr>
                  <pic:blipFill>
                    <a:blip r:embed="rId11"/>
                    <a:stretch>
                      <a:fillRect/>
                    </a:stretch>
                  </pic:blipFill>
                  <pic:spPr>
                    <a:xfrm>
                      <a:off x="0" y="0"/>
                      <a:ext cx="5610860" cy="3343275"/>
                    </a:xfrm>
                    <a:prstGeom prst="rect">
                      <a:avLst/>
                    </a:prstGeom>
                  </pic:spPr>
                </pic:pic>
              </a:graphicData>
            </a:graphic>
          </wp:anchor>
        </w:drawing>
      </w:r>
    </w:p>
    <w:p>
      <w:pPr>
        <w:keepNext w:val="0"/>
        <w:keepLines w:val="0"/>
        <w:pageBreakBefore w:val="0"/>
        <w:kinsoku/>
        <w:wordWrap/>
        <w:overflowPunct/>
        <w:topLinePunct w:val="0"/>
        <w:autoSpaceDE/>
        <w:autoSpaceDN/>
        <w:bidi w:val="0"/>
        <w:adjustRightInd/>
        <w:spacing w:line="560" w:lineRule="exact"/>
        <w:ind w:firstLine="0"/>
        <w:jc w:val="center"/>
        <w:textAlignment w:val="auto"/>
        <w:rPr>
          <w:rFonts w:hint="eastAsia" w:ascii="楷体_GB2312" w:hAnsi="楷体_GB2312" w:eastAsia="楷体_GB2312" w:cs="楷体_GB2312"/>
          <w:color w:val="auto"/>
          <w:sz w:val="28"/>
          <w:szCs w:val="28"/>
          <w:highlight w:val="none"/>
        </w:rPr>
      </w:pPr>
    </w:p>
    <w:p>
      <w:pPr>
        <w:keepNext w:val="0"/>
        <w:keepLines w:val="0"/>
        <w:pageBreakBefore w:val="0"/>
        <w:kinsoku/>
        <w:wordWrap/>
        <w:overflowPunct/>
        <w:topLinePunct w:val="0"/>
        <w:autoSpaceDE/>
        <w:autoSpaceDN/>
        <w:bidi w:val="0"/>
        <w:adjustRightInd/>
        <w:spacing w:line="560" w:lineRule="exact"/>
        <w:ind w:firstLine="0"/>
        <w:jc w:val="center"/>
        <w:textAlignment w:val="auto"/>
        <w:rPr>
          <w:rFonts w:hint="eastAsia" w:ascii="楷体_GB2312" w:hAnsi="楷体_GB2312" w:eastAsia="楷体_GB2312" w:cs="楷体_GB2312"/>
          <w:color w:val="auto"/>
          <w:sz w:val="28"/>
          <w:szCs w:val="28"/>
          <w:highlight w:val="none"/>
        </w:rPr>
      </w:pPr>
    </w:p>
    <w:p>
      <w:pPr>
        <w:keepNext w:val="0"/>
        <w:keepLines w:val="0"/>
        <w:pageBreakBefore w:val="0"/>
        <w:kinsoku/>
        <w:wordWrap/>
        <w:overflowPunct/>
        <w:topLinePunct w:val="0"/>
        <w:autoSpaceDE/>
        <w:autoSpaceDN/>
        <w:bidi w:val="0"/>
        <w:adjustRightInd/>
        <w:spacing w:line="560" w:lineRule="exact"/>
        <w:ind w:firstLine="0"/>
        <w:jc w:val="center"/>
        <w:textAlignment w:val="auto"/>
        <w:rPr>
          <w:rFonts w:hint="eastAsia" w:ascii="楷体_GB2312" w:hAnsi="楷体_GB2312" w:eastAsia="楷体_GB2312" w:cs="楷体_GB2312"/>
          <w:color w:val="auto"/>
          <w:sz w:val="28"/>
          <w:szCs w:val="28"/>
          <w:highlight w:val="none"/>
        </w:rPr>
      </w:pPr>
    </w:p>
    <w:p>
      <w:pPr>
        <w:keepNext w:val="0"/>
        <w:keepLines w:val="0"/>
        <w:pageBreakBefore w:val="0"/>
        <w:kinsoku/>
        <w:wordWrap/>
        <w:overflowPunct/>
        <w:topLinePunct w:val="0"/>
        <w:autoSpaceDE/>
        <w:autoSpaceDN/>
        <w:bidi w:val="0"/>
        <w:adjustRightInd/>
        <w:spacing w:line="560" w:lineRule="exact"/>
        <w:ind w:firstLine="0"/>
        <w:jc w:val="center"/>
        <w:textAlignment w:val="auto"/>
        <w:rPr>
          <w:rFonts w:hint="eastAsia" w:ascii="楷体_GB2312" w:hAnsi="楷体_GB2312" w:eastAsia="楷体_GB2312" w:cs="楷体_GB2312"/>
          <w:color w:val="auto"/>
          <w:sz w:val="28"/>
          <w:szCs w:val="28"/>
          <w:highlight w:val="none"/>
        </w:rPr>
      </w:pPr>
    </w:p>
    <w:p>
      <w:pPr>
        <w:keepNext w:val="0"/>
        <w:keepLines w:val="0"/>
        <w:pageBreakBefore w:val="0"/>
        <w:kinsoku/>
        <w:wordWrap/>
        <w:overflowPunct/>
        <w:topLinePunct w:val="0"/>
        <w:autoSpaceDE/>
        <w:autoSpaceDN/>
        <w:bidi w:val="0"/>
        <w:adjustRightInd/>
        <w:spacing w:line="560" w:lineRule="exact"/>
        <w:ind w:firstLine="0"/>
        <w:jc w:val="center"/>
        <w:textAlignment w:val="auto"/>
        <w:rPr>
          <w:rFonts w:hint="eastAsia" w:ascii="楷体_GB2312" w:hAnsi="楷体_GB2312" w:eastAsia="楷体_GB2312" w:cs="楷体_GB2312"/>
          <w:color w:val="auto"/>
          <w:sz w:val="28"/>
          <w:szCs w:val="28"/>
          <w:highlight w:val="none"/>
        </w:rPr>
      </w:pPr>
    </w:p>
    <w:p>
      <w:pPr>
        <w:keepNext w:val="0"/>
        <w:keepLines w:val="0"/>
        <w:pageBreakBefore w:val="0"/>
        <w:kinsoku/>
        <w:wordWrap/>
        <w:overflowPunct/>
        <w:topLinePunct w:val="0"/>
        <w:autoSpaceDE/>
        <w:autoSpaceDN/>
        <w:bidi w:val="0"/>
        <w:adjustRightInd/>
        <w:spacing w:line="560" w:lineRule="exact"/>
        <w:ind w:firstLine="0"/>
        <w:jc w:val="both"/>
        <w:textAlignment w:val="auto"/>
        <w:rPr>
          <w:rFonts w:hint="eastAsia" w:ascii="楷体_GB2312" w:hAnsi="楷体_GB2312" w:eastAsia="楷体_GB2312" w:cs="楷体_GB2312"/>
          <w:color w:val="auto"/>
          <w:sz w:val="28"/>
          <w:szCs w:val="28"/>
          <w:highlight w:val="none"/>
          <w:lang w:eastAsia="zh-CN"/>
        </w:rPr>
      </w:pPr>
    </w:p>
    <w:p>
      <w:pPr>
        <w:keepNext w:val="0"/>
        <w:keepLines w:val="0"/>
        <w:pageBreakBefore w:val="0"/>
        <w:kinsoku/>
        <w:wordWrap/>
        <w:overflowPunct/>
        <w:topLinePunct w:val="0"/>
        <w:autoSpaceDE/>
        <w:autoSpaceDN/>
        <w:bidi w:val="0"/>
        <w:adjustRightInd/>
        <w:spacing w:line="560" w:lineRule="exact"/>
        <w:ind w:firstLine="0"/>
        <w:jc w:val="center"/>
        <w:textAlignment w:val="auto"/>
        <w:rPr>
          <w:rFonts w:hint="eastAsia" w:ascii="楷体_GB2312" w:hAnsi="楷体_GB2312" w:eastAsia="楷体_GB2312" w:cs="楷体_GB2312"/>
          <w:color w:val="auto"/>
          <w:sz w:val="28"/>
          <w:szCs w:val="28"/>
          <w:highlight w:val="none"/>
        </w:rPr>
      </w:pPr>
    </w:p>
    <w:p>
      <w:pPr>
        <w:keepNext w:val="0"/>
        <w:keepLines w:val="0"/>
        <w:pageBreakBefore w:val="0"/>
        <w:kinsoku/>
        <w:wordWrap/>
        <w:overflowPunct/>
        <w:topLinePunct w:val="0"/>
        <w:autoSpaceDE/>
        <w:autoSpaceDN/>
        <w:bidi w:val="0"/>
        <w:adjustRightInd/>
        <w:spacing w:line="560" w:lineRule="exact"/>
        <w:ind w:firstLine="0"/>
        <w:jc w:val="center"/>
        <w:textAlignment w:val="auto"/>
        <w:rPr>
          <w:rFonts w:hint="eastAsia" w:ascii="楷体_GB2312" w:hAnsi="楷体_GB2312" w:eastAsia="楷体_GB2312" w:cs="楷体_GB2312"/>
          <w:color w:val="auto"/>
          <w:sz w:val="28"/>
          <w:szCs w:val="28"/>
          <w:highlight w:val="none"/>
        </w:rPr>
      </w:pPr>
    </w:p>
    <w:p>
      <w:pPr>
        <w:keepNext w:val="0"/>
        <w:keepLines w:val="0"/>
        <w:pageBreakBefore w:val="0"/>
        <w:kinsoku/>
        <w:wordWrap/>
        <w:overflowPunct/>
        <w:topLinePunct w:val="0"/>
        <w:autoSpaceDE/>
        <w:autoSpaceDN/>
        <w:bidi w:val="0"/>
        <w:adjustRightInd/>
        <w:spacing w:line="560" w:lineRule="exact"/>
        <w:ind w:firstLine="0"/>
        <w:jc w:val="center"/>
        <w:textAlignment w:val="auto"/>
        <w:rPr>
          <w:rFonts w:hint="eastAsia" w:ascii="楷体_GB2312" w:hAnsi="楷体_GB2312" w:eastAsia="楷体_GB2312" w:cs="楷体_GB2312"/>
          <w:color w:val="auto"/>
          <w:sz w:val="28"/>
          <w:szCs w:val="28"/>
          <w:highlight w:val="none"/>
        </w:rPr>
      </w:pPr>
    </w:p>
    <w:p>
      <w:pPr>
        <w:keepNext w:val="0"/>
        <w:keepLines w:val="0"/>
        <w:pageBreakBefore w:val="0"/>
        <w:kinsoku/>
        <w:wordWrap/>
        <w:overflowPunct/>
        <w:topLinePunct w:val="0"/>
        <w:autoSpaceDE/>
        <w:autoSpaceDN/>
        <w:bidi w:val="0"/>
        <w:adjustRightInd/>
        <w:spacing w:line="560" w:lineRule="exact"/>
        <w:ind w:left="0" w:leftChars="0" w:firstLine="0" w:firstLineChars="0"/>
        <w:jc w:val="both"/>
        <w:textAlignment w:val="auto"/>
        <w:rPr>
          <w:rFonts w:hint="eastAsia" w:ascii="楷体_GB2312" w:hAnsi="楷体_GB2312" w:eastAsia="楷体_GB2312" w:cs="楷体_GB2312"/>
          <w:b w:val="0"/>
          <w:bCs w:val="0"/>
          <w:color w:val="auto"/>
          <w:sz w:val="28"/>
          <w:szCs w:val="28"/>
          <w:highlight w:val="none"/>
          <w:lang w:eastAsia="zh-CN"/>
        </w:rPr>
      </w:pPr>
      <w:r>
        <w:rPr>
          <w:rFonts w:hint="eastAsia" w:ascii="楷体_GB2312" w:hAnsi="楷体_GB2312" w:eastAsia="楷体_GB2312" w:cs="楷体_GB2312"/>
          <w:color w:val="auto"/>
          <w:sz w:val="28"/>
          <w:szCs w:val="28"/>
          <w:highlight w:val="none"/>
        </w:rPr>
        <w:t>图示1：</w:t>
      </w:r>
      <w:r>
        <w:rPr>
          <w:rFonts w:hint="eastAsia" w:ascii="楷体_GB2312" w:hAnsi="楷体_GB2312" w:eastAsia="楷体_GB2312" w:cs="楷体_GB2312"/>
          <w:b w:val="0"/>
          <w:bCs w:val="0"/>
          <w:color w:val="auto"/>
          <w:sz w:val="28"/>
          <w:szCs w:val="28"/>
          <w:highlight w:val="none"/>
        </w:rPr>
        <w:t>现代化产业体系构建</w:t>
      </w:r>
      <w:r>
        <w:rPr>
          <w:rFonts w:hint="eastAsia" w:ascii="楷体_GB2312" w:hAnsi="楷体_GB2312" w:eastAsia="楷体_GB2312" w:cs="楷体_GB2312"/>
          <w:b w:val="0"/>
          <w:bCs w:val="0"/>
          <w:color w:val="auto"/>
          <w:sz w:val="28"/>
          <w:szCs w:val="28"/>
          <w:highlight w:val="none"/>
          <w:lang w:val="en-US" w:eastAsia="zh-CN"/>
        </w:rPr>
        <w:t>与股权投资、资本招商</w:t>
      </w:r>
      <w:r>
        <w:rPr>
          <w:rFonts w:hint="eastAsia" w:ascii="楷体_GB2312" w:hAnsi="楷体_GB2312" w:eastAsia="楷体_GB2312" w:cs="楷体_GB2312"/>
          <w:b w:val="0"/>
          <w:bCs w:val="0"/>
          <w:color w:val="auto"/>
          <w:sz w:val="28"/>
          <w:szCs w:val="28"/>
          <w:highlight w:val="none"/>
        </w:rPr>
        <w:t>的协同</w:t>
      </w:r>
      <w:r>
        <w:rPr>
          <w:rFonts w:hint="eastAsia" w:ascii="楷体_GB2312" w:hAnsi="楷体_GB2312" w:eastAsia="楷体_GB2312" w:cs="楷体_GB2312"/>
          <w:b w:val="0"/>
          <w:bCs w:val="0"/>
          <w:color w:val="auto"/>
          <w:sz w:val="28"/>
          <w:szCs w:val="28"/>
          <w:highlight w:val="none"/>
          <w:lang w:eastAsia="zh-CN"/>
        </w:rPr>
        <w:t>（</w:t>
      </w:r>
      <w:r>
        <w:rPr>
          <w:rFonts w:hint="eastAsia" w:ascii="楷体_GB2312" w:hAnsi="楷体_GB2312" w:eastAsia="楷体_GB2312" w:cs="楷体_GB2312"/>
          <w:b w:val="0"/>
          <w:bCs w:val="0"/>
          <w:color w:val="auto"/>
          <w:sz w:val="28"/>
          <w:szCs w:val="28"/>
          <w:highlight w:val="none"/>
          <w:lang w:val="en-US" w:eastAsia="zh-CN"/>
        </w:rPr>
        <w:t>思路框架</w:t>
      </w:r>
      <w:r>
        <w:rPr>
          <w:rFonts w:hint="eastAsia" w:ascii="楷体_GB2312" w:hAnsi="楷体_GB2312" w:eastAsia="楷体_GB2312" w:cs="楷体_GB2312"/>
          <w:b w:val="0"/>
          <w:bCs w:val="0"/>
          <w:color w:val="auto"/>
          <w:sz w:val="28"/>
          <w:szCs w:val="28"/>
          <w:highlight w:val="none"/>
          <w:lang w:eastAsia="zh-CN"/>
        </w:rPr>
        <w:t>）</w:t>
      </w:r>
    </w:p>
    <w:p>
      <w:pPr>
        <w:pStyle w:val="8"/>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CESI楷体-GB2312" w:hAnsi="CESI楷体-GB2312" w:eastAsia="CESI楷体-GB2312" w:cs="CESI楷体-GB2312"/>
          <w:b w:val="0"/>
          <w:bCs w:val="0"/>
          <w:color w:val="auto"/>
          <w:sz w:val="32"/>
          <w:szCs w:val="32"/>
          <w:highlight w:val="none"/>
          <w:shd w:val="clear" w:color="auto" w:fill="FFFFFF"/>
          <w:lang w:val="en-US" w:eastAsia="zh-CN"/>
        </w:rPr>
      </w:pPr>
      <w:r>
        <w:rPr>
          <w:rFonts w:hint="eastAsia" w:ascii="CESI楷体-GB2312" w:hAnsi="CESI楷体-GB2312" w:eastAsia="CESI楷体-GB2312" w:cs="CESI楷体-GB2312"/>
          <w:b w:val="0"/>
          <w:bCs w:val="0"/>
          <w:color w:val="auto"/>
          <w:sz w:val="32"/>
          <w:szCs w:val="32"/>
          <w:highlight w:val="none"/>
          <w:shd w:val="clear" w:color="auto" w:fill="FFFFFF"/>
          <w:lang w:eastAsia="zh-CN"/>
        </w:rPr>
        <w:t>（</w:t>
      </w:r>
      <w:r>
        <w:rPr>
          <w:rFonts w:hint="eastAsia" w:ascii="CESI楷体-GB2312" w:hAnsi="CESI楷体-GB2312" w:eastAsia="CESI楷体-GB2312" w:cs="CESI楷体-GB2312"/>
          <w:b w:val="0"/>
          <w:bCs w:val="0"/>
          <w:color w:val="auto"/>
          <w:sz w:val="32"/>
          <w:szCs w:val="32"/>
          <w:highlight w:val="none"/>
          <w:shd w:val="clear" w:color="auto" w:fill="FFFFFF"/>
          <w:lang w:val="en-US" w:eastAsia="zh-CN"/>
        </w:rPr>
        <w:t>二</w:t>
      </w:r>
      <w:r>
        <w:rPr>
          <w:rFonts w:hint="eastAsia" w:ascii="CESI楷体-GB2312" w:hAnsi="CESI楷体-GB2312" w:eastAsia="CESI楷体-GB2312" w:cs="CESI楷体-GB2312"/>
          <w:b w:val="0"/>
          <w:bCs w:val="0"/>
          <w:color w:val="auto"/>
          <w:sz w:val="32"/>
          <w:szCs w:val="32"/>
          <w:highlight w:val="none"/>
          <w:shd w:val="clear" w:color="auto" w:fill="FFFFFF"/>
          <w:lang w:eastAsia="zh-CN"/>
        </w:rPr>
        <w:t>）</w:t>
      </w:r>
      <w:r>
        <w:rPr>
          <w:rFonts w:hint="eastAsia" w:ascii="CESI楷体-GB2312" w:hAnsi="CESI楷体-GB2312" w:eastAsia="CESI楷体-GB2312" w:cs="CESI楷体-GB2312"/>
          <w:b w:val="0"/>
          <w:bCs w:val="0"/>
          <w:color w:val="auto"/>
          <w:sz w:val="32"/>
          <w:szCs w:val="32"/>
          <w:highlight w:val="none"/>
          <w:shd w:val="clear" w:color="auto" w:fill="FFFFFF"/>
          <w:lang w:val="en-US" w:eastAsia="zh-CN"/>
        </w:rPr>
        <w:t>股权投资与资本招商的理论基础与作用机制</w:t>
      </w:r>
    </w:p>
    <w:p>
      <w:pPr>
        <w:widowControl w:val="0"/>
        <w:spacing w:line="560" w:lineRule="exact"/>
        <w:ind w:left="0" w:firstLine="640" w:firstLineChars="200"/>
        <w:rPr>
          <w:color w:val="auto"/>
          <w:highlight w:val="none"/>
        </w:rPr>
      </w:pPr>
      <w:r>
        <w:rPr>
          <w:rFonts w:hint="eastAsia" w:ascii="仿宋_GB2312" w:hAnsi="仿宋_GB2312" w:eastAsia="仿宋_GB2312" w:cs="仿宋_GB2312"/>
          <w:color w:val="auto"/>
          <w:sz w:val="32"/>
          <w:szCs w:val="40"/>
          <w:highlight w:val="none"/>
        </w:rPr>
        <w:t>股权</w:t>
      </w:r>
      <w:r>
        <w:rPr>
          <w:rFonts w:hint="eastAsia" w:ascii="仿宋_GB2312" w:hAnsi="仿宋_GB2312" w:eastAsia="仿宋_GB2312" w:cs="仿宋_GB2312"/>
          <w:color w:val="auto"/>
          <w:sz w:val="32"/>
          <w:szCs w:val="40"/>
          <w:highlight w:val="none"/>
          <w:lang w:val="en-US" w:eastAsia="zh-CN"/>
        </w:rPr>
        <w:t>投资/融资</w:t>
      </w:r>
      <w:r>
        <w:rPr>
          <w:rFonts w:hint="eastAsia" w:ascii="仿宋_GB2312" w:hAnsi="仿宋_GB2312" w:eastAsia="仿宋_GB2312" w:cs="仿宋_GB2312"/>
          <w:color w:val="auto"/>
          <w:sz w:val="32"/>
          <w:szCs w:val="40"/>
          <w:highlight w:val="none"/>
        </w:rPr>
        <w:t>是企业通过出让部分股权，获得投资者资金的</w:t>
      </w:r>
      <w:r>
        <w:rPr>
          <w:rFonts w:hint="eastAsia" w:ascii="仿宋_GB2312" w:hAnsi="仿宋_GB2312" w:eastAsia="仿宋_GB2312" w:cs="仿宋_GB2312"/>
          <w:color w:val="auto"/>
          <w:sz w:val="32"/>
          <w:szCs w:val="40"/>
          <w:highlight w:val="none"/>
          <w:lang w:val="en-US" w:eastAsia="zh-CN"/>
        </w:rPr>
        <w:t>投资/</w:t>
      </w:r>
      <w:r>
        <w:rPr>
          <w:rFonts w:hint="eastAsia" w:ascii="仿宋_GB2312" w:hAnsi="仿宋_GB2312" w:eastAsia="仿宋_GB2312" w:cs="仿宋_GB2312"/>
          <w:color w:val="auto"/>
          <w:sz w:val="32"/>
          <w:szCs w:val="40"/>
          <w:highlight w:val="none"/>
        </w:rPr>
        <w:t>融资</w:t>
      </w:r>
      <w:r>
        <w:rPr>
          <w:rFonts w:hint="eastAsia" w:ascii="仿宋_GB2312" w:hAnsi="仿宋_GB2312" w:eastAsia="仿宋_GB2312" w:cs="仿宋_GB2312"/>
          <w:color w:val="auto"/>
          <w:sz w:val="32"/>
          <w:szCs w:val="40"/>
          <w:highlight w:val="none"/>
          <w:lang w:val="en-US" w:eastAsia="zh-CN"/>
        </w:rPr>
        <w:t>的</w:t>
      </w:r>
      <w:r>
        <w:rPr>
          <w:rFonts w:hint="eastAsia" w:ascii="仿宋_GB2312" w:hAnsi="仿宋_GB2312" w:eastAsia="仿宋_GB2312" w:cs="仿宋_GB2312"/>
          <w:color w:val="auto"/>
          <w:sz w:val="32"/>
          <w:szCs w:val="40"/>
          <w:highlight w:val="none"/>
        </w:rPr>
        <w:t>方式。</w:t>
      </w:r>
      <w:r>
        <w:rPr>
          <w:rFonts w:hint="eastAsia" w:ascii="仿宋_GB2312" w:hAnsi="仿宋_GB2312" w:eastAsia="仿宋_GB2312" w:cs="仿宋_GB2312"/>
          <w:color w:val="auto"/>
          <w:sz w:val="32"/>
          <w:szCs w:val="40"/>
          <w:highlight w:val="none"/>
          <w:lang w:val="en-US" w:eastAsia="zh-CN"/>
        </w:rPr>
        <w:t>通过股权投资，</w:t>
      </w:r>
      <w:r>
        <w:rPr>
          <w:rFonts w:hint="eastAsia" w:ascii="仿宋_GB2312" w:hAnsi="仿宋_GB2312" w:eastAsia="仿宋_GB2312" w:cs="仿宋_GB2312"/>
          <w:color w:val="auto"/>
          <w:sz w:val="32"/>
          <w:szCs w:val="40"/>
          <w:highlight w:val="none"/>
        </w:rPr>
        <w:t>企业</w:t>
      </w:r>
      <w:r>
        <w:rPr>
          <w:rFonts w:hint="eastAsia" w:ascii="仿宋_GB2312" w:hAnsi="仿宋_GB2312" w:eastAsia="仿宋_GB2312" w:cs="仿宋_GB2312"/>
          <w:color w:val="auto"/>
          <w:sz w:val="32"/>
          <w:szCs w:val="40"/>
          <w:highlight w:val="none"/>
          <w:lang w:val="en-US" w:eastAsia="zh-CN"/>
        </w:rPr>
        <w:t>可以</w:t>
      </w:r>
      <w:r>
        <w:rPr>
          <w:rFonts w:hint="eastAsia" w:ascii="仿宋_GB2312" w:hAnsi="仿宋_GB2312" w:eastAsia="仿宋_GB2312" w:cs="仿宋_GB2312"/>
          <w:color w:val="auto"/>
          <w:sz w:val="32"/>
          <w:szCs w:val="40"/>
          <w:highlight w:val="none"/>
        </w:rPr>
        <w:t>补充运营资金、扩大生产规模、投入研发创新。对于投资</w:t>
      </w:r>
      <w:r>
        <w:rPr>
          <w:rFonts w:hint="eastAsia" w:ascii="仿宋_GB2312" w:hAnsi="仿宋_GB2312" w:eastAsia="仿宋_GB2312" w:cs="仿宋_GB2312"/>
          <w:color w:val="auto"/>
          <w:sz w:val="32"/>
          <w:szCs w:val="40"/>
          <w:highlight w:val="none"/>
          <w:lang w:val="en-US" w:eastAsia="zh-CN"/>
        </w:rPr>
        <w:t>机构</w:t>
      </w:r>
      <w:r>
        <w:rPr>
          <w:rFonts w:hint="eastAsia" w:ascii="仿宋_GB2312" w:hAnsi="仿宋_GB2312" w:eastAsia="仿宋_GB2312" w:cs="仿宋_GB2312"/>
          <w:color w:val="auto"/>
          <w:sz w:val="32"/>
          <w:szCs w:val="40"/>
          <w:highlight w:val="none"/>
        </w:rPr>
        <w:t>而言，可借此分享企业成长带来的股权增值收益。资本招商是地方政府或园区以资本为媒介，吸引外部优质企业和项目落户本地的招商策略。通过设立产业引导基金、股权投资基金等方式，政府将资金投入到具有发展潜力的企业</w:t>
      </w:r>
      <w:r>
        <w:rPr>
          <w:rFonts w:hint="eastAsia" w:ascii="仿宋_GB2312" w:hAnsi="仿宋_GB2312" w:eastAsia="仿宋_GB2312" w:cs="仿宋_GB2312"/>
          <w:color w:val="auto"/>
          <w:sz w:val="32"/>
          <w:szCs w:val="40"/>
          <w:highlight w:val="none"/>
          <w:lang w:eastAsia="zh-CN"/>
        </w:rPr>
        <w:t>、</w:t>
      </w:r>
      <w:r>
        <w:rPr>
          <w:rFonts w:hint="eastAsia" w:ascii="仿宋_GB2312" w:hAnsi="仿宋_GB2312" w:eastAsia="仿宋_GB2312" w:cs="仿宋_GB2312"/>
          <w:color w:val="auto"/>
          <w:sz w:val="32"/>
          <w:szCs w:val="40"/>
          <w:highlight w:val="none"/>
          <w:lang w:val="en-US" w:eastAsia="zh-CN"/>
        </w:rPr>
        <w:t>关键科技创新领域</w:t>
      </w:r>
      <w:r>
        <w:rPr>
          <w:rFonts w:hint="eastAsia" w:ascii="仿宋_GB2312" w:hAnsi="仿宋_GB2312" w:eastAsia="仿宋_GB2312" w:cs="仿宋_GB2312"/>
          <w:color w:val="auto"/>
          <w:sz w:val="32"/>
          <w:szCs w:val="40"/>
          <w:highlight w:val="none"/>
        </w:rPr>
        <w:t>，同时引导社会资本跟进，实现“以投促引”，促进地方产业发展。</w:t>
      </w:r>
      <w:r>
        <w:rPr>
          <w:rFonts w:hint="eastAsia" w:ascii="仿宋_GB2312" w:hAnsi="仿宋_GB2312" w:eastAsia="仿宋_GB2312" w:cs="仿宋_GB2312"/>
          <w:b w:val="0"/>
          <w:bCs w:val="0"/>
          <w:color w:val="auto"/>
          <w:kern w:val="2"/>
          <w:sz w:val="32"/>
          <w:szCs w:val="40"/>
          <w:highlight w:val="none"/>
          <w:lang w:val="en-US" w:eastAsia="zh-CN" w:bidi="ar-SA"/>
        </w:rPr>
        <w:t>课题将</w:t>
      </w:r>
      <w:r>
        <w:rPr>
          <w:rFonts w:hint="eastAsia" w:ascii="仿宋_GB2312" w:hAnsi="仿宋_GB2312" w:eastAsia="仿宋_GB2312" w:cs="仿宋_GB2312"/>
          <w:color w:val="auto"/>
          <w:sz w:val="32"/>
          <w:szCs w:val="40"/>
          <w:highlight w:val="none"/>
        </w:rPr>
        <w:t>梳理股权</w:t>
      </w:r>
      <w:r>
        <w:rPr>
          <w:rFonts w:hint="eastAsia" w:ascii="仿宋_GB2312" w:hAnsi="仿宋_GB2312" w:eastAsia="仿宋_GB2312" w:cs="仿宋_GB2312"/>
          <w:color w:val="auto"/>
          <w:kern w:val="2"/>
          <w:sz w:val="32"/>
          <w:szCs w:val="40"/>
          <w:highlight w:val="none"/>
          <w:lang w:val="en-US" w:eastAsia="zh-CN" w:bidi="ar-SA"/>
        </w:rPr>
        <w:t>投</w:t>
      </w:r>
      <w:r>
        <w:rPr>
          <w:rFonts w:hint="eastAsia" w:ascii="仿宋_GB2312" w:hAnsi="仿宋_GB2312" w:eastAsia="仿宋_GB2312" w:cs="仿宋_GB2312"/>
          <w:color w:val="auto"/>
          <w:sz w:val="32"/>
          <w:szCs w:val="40"/>
          <w:highlight w:val="none"/>
        </w:rPr>
        <w:t>资和资本招商的相关理论，分析国内外股权</w:t>
      </w:r>
      <w:r>
        <w:rPr>
          <w:rFonts w:hint="eastAsia" w:ascii="仿宋_GB2312" w:hAnsi="仿宋_GB2312" w:eastAsia="仿宋_GB2312" w:cs="仿宋_GB2312"/>
          <w:color w:val="auto"/>
          <w:kern w:val="2"/>
          <w:sz w:val="32"/>
          <w:szCs w:val="40"/>
          <w:highlight w:val="none"/>
          <w:lang w:val="en-US" w:eastAsia="zh-CN" w:bidi="ar-SA"/>
        </w:rPr>
        <w:t>投</w:t>
      </w:r>
      <w:r>
        <w:rPr>
          <w:rFonts w:hint="eastAsia" w:ascii="仿宋_GB2312" w:hAnsi="仿宋_GB2312" w:eastAsia="仿宋_GB2312" w:cs="仿宋_GB2312"/>
          <w:color w:val="auto"/>
          <w:sz w:val="32"/>
          <w:szCs w:val="40"/>
          <w:highlight w:val="none"/>
        </w:rPr>
        <w:t>资和资本招商的发展现状和趋势，总结成功经验和模式</w:t>
      </w:r>
      <w:r>
        <w:rPr>
          <w:rFonts w:hint="eastAsia" w:ascii="仿宋_GB2312" w:hAnsi="仿宋_GB2312" w:eastAsia="仿宋_GB2312" w:cs="仿宋_GB2312"/>
          <w:color w:val="auto"/>
          <w:kern w:val="2"/>
          <w:sz w:val="32"/>
          <w:szCs w:val="40"/>
          <w:highlight w:val="none"/>
          <w:lang w:val="en-US" w:eastAsia="zh-CN" w:bidi="ar-SA"/>
        </w:rPr>
        <w:t>，从而深入研究</w:t>
      </w:r>
      <w:r>
        <w:rPr>
          <w:rFonts w:hint="eastAsia" w:ascii="仿宋_GB2312" w:hAnsi="仿宋_GB2312" w:eastAsia="仿宋_GB2312" w:cs="仿宋_GB2312"/>
          <w:color w:val="auto"/>
          <w:sz w:val="32"/>
          <w:szCs w:val="40"/>
          <w:highlight w:val="none"/>
        </w:rPr>
        <w:t>股权</w:t>
      </w:r>
      <w:r>
        <w:rPr>
          <w:rFonts w:hint="eastAsia" w:ascii="仿宋_GB2312" w:hAnsi="仿宋_GB2312" w:eastAsia="仿宋_GB2312" w:cs="仿宋_GB2312"/>
          <w:color w:val="auto"/>
          <w:sz w:val="32"/>
          <w:szCs w:val="40"/>
          <w:highlight w:val="none"/>
          <w:lang w:val="en-US" w:eastAsia="zh-CN"/>
        </w:rPr>
        <w:t>投资</w:t>
      </w:r>
      <w:r>
        <w:rPr>
          <w:rFonts w:hint="eastAsia" w:ascii="仿宋_GB2312" w:hAnsi="仿宋_GB2312" w:eastAsia="仿宋_GB2312" w:cs="仿宋_GB2312"/>
          <w:color w:val="auto"/>
          <w:sz w:val="32"/>
          <w:szCs w:val="40"/>
          <w:highlight w:val="none"/>
        </w:rPr>
        <w:t>如何驱动资本招商，</w:t>
      </w:r>
      <w:r>
        <w:rPr>
          <w:rFonts w:hint="eastAsia" w:ascii="仿宋_GB2312" w:hAnsi="仿宋_GB2312" w:eastAsia="仿宋_GB2312" w:cs="仿宋_GB2312"/>
          <w:color w:val="auto"/>
          <w:sz w:val="32"/>
          <w:szCs w:val="40"/>
          <w:highlight w:val="none"/>
          <w:lang w:val="en-US" w:eastAsia="zh-CN"/>
        </w:rPr>
        <w:t>探讨</w:t>
      </w:r>
      <w:r>
        <w:rPr>
          <w:rFonts w:hint="eastAsia" w:ascii="仿宋_GB2312" w:hAnsi="仿宋_GB2312" w:eastAsia="仿宋_GB2312" w:cs="仿宋_GB2312"/>
          <w:color w:val="auto"/>
          <w:sz w:val="32"/>
          <w:szCs w:val="40"/>
          <w:highlight w:val="none"/>
        </w:rPr>
        <w:t>股权</w:t>
      </w:r>
      <w:r>
        <w:rPr>
          <w:rFonts w:hint="eastAsia" w:ascii="仿宋_GB2312" w:hAnsi="仿宋_GB2312" w:eastAsia="仿宋_GB2312" w:cs="仿宋_GB2312"/>
          <w:color w:val="auto"/>
          <w:sz w:val="32"/>
          <w:szCs w:val="40"/>
          <w:highlight w:val="none"/>
          <w:lang w:val="en-US" w:eastAsia="zh-CN"/>
        </w:rPr>
        <w:t>投资</w:t>
      </w:r>
      <w:r>
        <w:rPr>
          <w:rFonts w:hint="eastAsia" w:ascii="仿宋_GB2312" w:hAnsi="仿宋_GB2312" w:eastAsia="仿宋_GB2312" w:cs="仿宋_GB2312"/>
          <w:color w:val="auto"/>
          <w:sz w:val="32"/>
          <w:szCs w:val="40"/>
          <w:highlight w:val="none"/>
        </w:rPr>
        <w:t>在资本招商中的具体应用策略。</w:t>
      </w:r>
    </w:p>
    <w:p>
      <w:pPr>
        <w:keepNext w:val="0"/>
        <w:keepLines w:val="0"/>
        <w:pageBreakBefore w:val="0"/>
        <w:kinsoku/>
        <w:wordWrap/>
        <w:overflowPunct/>
        <w:topLinePunct w:val="0"/>
        <w:autoSpaceDE/>
        <w:autoSpaceDN/>
        <w:bidi w:val="0"/>
        <w:adjustRightInd/>
        <w:spacing w:line="560" w:lineRule="exact"/>
        <w:ind w:firstLine="0"/>
        <w:jc w:val="center"/>
        <w:textAlignment w:val="auto"/>
        <w:rPr>
          <w:rFonts w:hint="eastAsia" w:ascii="楷体_GB2312" w:hAnsi="楷体_GB2312" w:eastAsia="楷体_GB2312" w:cs="楷体_GB2312"/>
          <w:b w:val="0"/>
          <w:bCs w:val="0"/>
          <w:color w:val="auto"/>
          <w:sz w:val="28"/>
          <w:szCs w:val="28"/>
          <w:highlight w:val="none"/>
          <w:lang w:eastAsia="zh-CN"/>
        </w:rPr>
      </w:pPr>
    </w:p>
    <w:p>
      <w:pPr>
        <w:keepNext w:val="0"/>
        <w:keepLines w:val="0"/>
        <w:pageBreakBefore w:val="0"/>
        <w:kinsoku/>
        <w:wordWrap/>
        <w:overflowPunct/>
        <w:topLinePunct w:val="0"/>
        <w:autoSpaceDE/>
        <w:autoSpaceDN/>
        <w:bidi w:val="0"/>
        <w:adjustRightInd/>
        <w:spacing w:line="240" w:lineRule="auto"/>
        <w:ind w:firstLine="0"/>
        <w:jc w:val="center"/>
        <w:textAlignment w:val="auto"/>
        <w:rPr>
          <w:rFonts w:hint="eastAsia" w:ascii="楷体_GB2312" w:hAnsi="楷体_GB2312" w:eastAsia="楷体_GB2312" w:cs="楷体_GB2312"/>
          <w:b w:val="0"/>
          <w:bCs w:val="0"/>
          <w:color w:val="auto"/>
          <w:sz w:val="28"/>
          <w:szCs w:val="28"/>
          <w:highlight w:val="none"/>
          <w:lang w:eastAsia="zh-CN"/>
        </w:rPr>
      </w:pPr>
      <w:r>
        <w:rPr>
          <w:rFonts w:hint="eastAsia" w:ascii="楷体_GB2312" w:hAnsi="楷体_GB2312" w:eastAsia="楷体_GB2312" w:cs="楷体_GB2312"/>
          <w:b w:val="0"/>
          <w:bCs w:val="0"/>
          <w:color w:val="auto"/>
          <w:sz w:val="28"/>
          <w:szCs w:val="28"/>
          <w:highlight w:val="none"/>
          <w:lang w:eastAsia="zh-CN"/>
        </w:rPr>
        <w:drawing>
          <wp:anchor distT="0" distB="0" distL="114300" distR="114300" simplePos="0" relativeHeight="251666432" behindDoc="0" locked="0" layoutInCell="1" allowOverlap="1">
            <wp:simplePos x="0" y="0"/>
            <wp:positionH relativeFrom="column">
              <wp:posOffset>0</wp:posOffset>
            </wp:positionH>
            <wp:positionV relativeFrom="paragraph">
              <wp:posOffset>47625</wp:posOffset>
            </wp:positionV>
            <wp:extent cx="5615305" cy="890905"/>
            <wp:effectExtent l="0" t="0" r="4445" b="4445"/>
            <wp:wrapNone/>
            <wp:docPr id="2" name="图片 2" descr="图片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true"/>
                    </pic:cNvPicPr>
                  </pic:nvPicPr>
                  <pic:blipFill>
                    <a:blip r:embed="rId12"/>
                    <a:stretch>
                      <a:fillRect/>
                    </a:stretch>
                  </pic:blipFill>
                  <pic:spPr>
                    <a:xfrm>
                      <a:off x="0" y="0"/>
                      <a:ext cx="5615305" cy="890905"/>
                    </a:xfrm>
                    <a:prstGeom prst="rect">
                      <a:avLst/>
                    </a:prstGeom>
                  </pic:spPr>
                </pic:pic>
              </a:graphicData>
            </a:graphic>
          </wp:anchor>
        </w:drawing>
      </w:r>
    </w:p>
    <w:p>
      <w:pPr>
        <w:keepNext w:val="0"/>
        <w:keepLines w:val="0"/>
        <w:pageBreakBefore w:val="0"/>
        <w:kinsoku/>
        <w:wordWrap/>
        <w:overflowPunct/>
        <w:topLinePunct w:val="0"/>
        <w:autoSpaceDE/>
        <w:autoSpaceDN/>
        <w:bidi w:val="0"/>
        <w:adjustRightInd/>
        <w:spacing w:line="560" w:lineRule="exact"/>
        <w:ind w:firstLine="0"/>
        <w:jc w:val="center"/>
        <w:textAlignment w:val="auto"/>
        <w:rPr>
          <w:rFonts w:hint="eastAsia" w:ascii="楷体_GB2312" w:hAnsi="楷体_GB2312" w:eastAsia="楷体_GB2312" w:cs="楷体_GB2312"/>
          <w:b w:val="0"/>
          <w:bCs w:val="0"/>
          <w:color w:val="auto"/>
          <w:sz w:val="28"/>
          <w:szCs w:val="28"/>
          <w:highlight w:val="none"/>
          <w:lang w:eastAsia="zh-CN"/>
        </w:rPr>
      </w:pPr>
    </w:p>
    <w:p>
      <w:pPr>
        <w:keepNext w:val="0"/>
        <w:keepLines w:val="0"/>
        <w:pageBreakBefore w:val="0"/>
        <w:kinsoku/>
        <w:wordWrap/>
        <w:overflowPunct/>
        <w:topLinePunct w:val="0"/>
        <w:autoSpaceDE/>
        <w:autoSpaceDN/>
        <w:bidi w:val="0"/>
        <w:adjustRightInd/>
        <w:spacing w:line="560" w:lineRule="exact"/>
        <w:ind w:firstLine="0"/>
        <w:jc w:val="center"/>
        <w:textAlignment w:val="auto"/>
        <w:rPr>
          <w:rFonts w:hint="eastAsia" w:ascii="楷体_GB2312" w:hAnsi="楷体_GB2312" w:eastAsia="楷体_GB2312" w:cs="楷体_GB2312"/>
          <w:b w:val="0"/>
          <w:bCs w:val="0"/>
          <w:color w:val="auto"/>
          <w:sz w:val="28"/>
          <w:szCs w:val="28"/>
          <w:highlight w:val="none"/>
          <w:lang w:eastAsia="zh-CN"/>
        </w:rPr>
      </w:pPr>
    </w:p>
    <w:p>
      <w:pPr>
        <w:keepNext w:val="0"/>
        <w:keepLines w:val="0"/>
        <w:pageBreakBefore w:val="0"/>
        <w:kinsoku/>
        <w:wordWrap/>
        <w:overflowPunct/>
        <w:topLinePunct w:val="0"/>
        <w:autoSpaceDE/>
        <w:autoSpaceDN/>
        <w:bidi w:val="0"/>
        <w:adjustRightInd/>
        <w:spacing w:line="240" w:lineRule="auto"/>
        <w:ind w:firstLine="0"/>
        <w:jc w:val="center"/>
        <w:textAlignment w:val="auto"/>
        <w:rPr>
          <w:rFonts w:hint="eastAsia" w:ascii="楷体_GB2312" w:hAnsi="楷体_GB2312" w:eastAsia="楷体_GB2312" w:cs="楷体_GB2312"/>
          <w:b w:val="0"/>
          <w:bCs w:val="0"/>
          <w:color w:val="auto"/>
          <w:sz w:val="28"/>
          <w:szCs w:val="28"/>
          <w:highlight w:val="none"/>
          <w:lang w:eastAsia="zh-CN"/>
        </w:rPr>
      </w:pPr>
      <w:r>
        <w:rPr>
          <w:rFonts w:hint="eastAsia" w:ascii="楷体_GB2312" w:hAnsi="楷体_GB2312" w:eastAsia="楷体_GB2312" w:cs="楷体_GB2312"/>
          <w:color w:val="auto"/>
          <w:sz w:val="28"/>
          <w:szCs w:val="28"/>
          <w:highlight w:val="none"/>
        </w:rPr>
        <w:t>图示</w:t>
      </w:r>
      <w:r>
        <w:rPr>
          <w:rFonts w:hint="eastAsia" w:ascii="楷体_GB2312" w:hAnsi="楷体_GB2312" w:eastAsia="楷体_GB2312" w:cs="楷体_GB2312"/>
          <w:color w:val="auto"/>
          <w:sz w:val="28"/>
          <w:szCs w:val="28"/>
          <w:highlight w:val="none"/>
          <w:lang w:val="en-US" w:eastAsia="zh-CN"/>
        </w:rPr>
        <w:t>2</w:t>
      </w:r>
      <w:r>
        <w:rPr>
          <w:rFonts w:hint="eastAsia" w:ascii="楷体_GB2312" w:hAnsi="楷体_GB2312" w:eastAsia="楷体_GB2312" w:cs="楷体_GB2312"/>
          <w:color w:val="auto"/>
          <w:sz w:val="28"/>
          <w:szCs w:val="28"/>
          <w:highlight w:val="none"/>
        </w:rPr>
        <w:t>：</w:t>
      </w:r>
      <w:r>
        <w:rPr>
          <w:rFonts w:hint="eastAsia" w:ascii="楷体_GB2312" w:hAnsi="楷体_GB2312" w:eastAsia="楷体_GB2312" w:cs="楷体_GB2312"/>
          <w:b w:val="0"/>
          <w:bCs w:val="0"/>
          <w:color w:val="auto"/>
          <w:sz w:val="28"/>
          <w:szCs w:val="28"/>
          <w:highlight w:val="none"/>
          <w:shd w:val="clear" w:color="auto" w:fill="auto"/>
          <w:lang w:val="en-US" w:eastAsia="zh-CN"/>
        </w:rPr>
        <w:t>股权投资与资本招商的理论基础与作用机制</w:t>
      </w:r>
    </w:p>
    <w:p>
      <w:pPr>
        <w:keepNext w:val="0"/>
        <w:keepLines w:val="0"/>
        <w:pageBreakBefore w:val="0"/>
        <w:numPr>
          <w:ilvl w:val="-1"/>
          <w:numId w:val="0"/>
        </w:numPr>
        <w:kinsoku/>
        <w:wordWrap/>
        <w:overflowPunct/>
        <w:topLinePunct w:val="0"/>
        <w:autoSpaceDE/>
        <w:autoSpaceDN/>
        <w:bidi w:val="0"/>
        <w:adjustRightInd/>
        <w:spacing w:line="560" w:lineRule="exact"/>
        <w:ind w:firstLine="640" w:firstLineChars="200"/>
        <w:textAlignment w:val="auto"/>
        <w:rPr>
          <w:rFonts w:hint="eastAsia" w:ascii="CESI楷体-GB2312" w:hAnsi="CESI楷体-GB2312" w:eastAsia="CESI楷体-GB2312" w:cs="CESI楷体-GB2312"/>
          <w:b w:val="0"/>
          <w:bCs w:val="0"/>
          <w:color w:val="auto"/>
          <w:sz w:val="32"/>
          <w:szCs w:val="32"/>
          <w:highlight w:val="none"/>
          <w:lang w:val="en-US" w:eastAsia="zh-CN"/>
        </w:rPr>
      </w:pPr>
      <w:r>
        <w:rPr>
          <w:rFonts w:hint="eastAsia" w:ascii="CESI楷体-GB2312" w:hAnsi="CESI楷体-GB2312" w:eastAsia="CESI楷体-GB2312" w:cs="CESI楷体-GB2312"/>
          <w:b w:val="0"/>
          <w:bCs w:val="0"/>
          <w:color w:val="auto"/>
          <w:sz w:val="32"/>
          <w:szCs w:val="32"/>
          <w:highlight w:val="none"/>
          <w:lang w:val="en-US" w:eastAsia="zh-CN"/>
        </w:rPr>
        <w:t>（三）龙华区现代化产业体系发展现状梳理分析（以重点产业为例）</w:t>
      </w:r>
    </w:p>
    <w:p>
      <w:pPr>
        <w:keepNext w:val="0"/>
        <w:keepLines w:val="0"/>
        <w:pageBreakBefore w:val="0"/>
        <w:numPr>
          <w:ilvl w:val="-1"/>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i w:val="0"/>
          <w:iCs w:val="0"/>
          <w:caps w:val="0"/>
          <w:color w:val="auto"/>
          <w:spacing w:val="0"/>
          <w:sz w:val="32"/>
          <w:szCs w:val="32"/>
          <w:highlight w:val="none"/>
          <w:lang w:val="en-US" w:eastAsia="zh-CN"/>
        </w:rPr>
        <w:t>近年来，</w:t>
      </w:r>
      <w:r>
        <w:rPr>
          <w:rFonts w:hint="eastAsia" w:ascii="仿宋_GB2312" w:hAnsi="仿宋_GB2312" w:eastAsia="仿宋_GB2312" w:cs="仿宋_GB2312"/>
          <w:i w:val="0"/>
          <w:iCs w:val="0"/>
          <w:caps w:val="0"/>
          <w:color w:val="auto"/>
          <w:spacing w:val="0"/>
          <w:sz w:val="32"/>
          <w:szCs w:val="32"/>
          <w:highlight w:val="none"/>
        </w:rPr>
        <w:t>深圳市龙华区在现代化产业体系发展方面取得了显著进展。作为深圳市的产业重镇之一，龙华区依托深圳市的科技创新优势和产业基础，积极推动产业升级和高质量发展。</w:t>
      </w:r>
      <w:r>
        <w:rPr>
          <w:rFonts w:hint="eastAsia" w:ascii="仿宋_GB2312" w:hAnsi="仿宋_GB2312" w:eastAsia="仿宋_GB2312" w:cs="仿宋_GB2312"/>
          <w:i w:val="0"/>
          <w:iCs w:val="0"/>
          <w:caps w:val="0"/>
          <w:color w:val="auto"/>
          <w:spacing w:val="0"/>
          <w:sz w:val="32"/>
          <w:szCs w:val="32"/>
          <w:highlight w:val="none"/>
          <w:lang w:val="en-US" w:eastAsia="zh-CN"/>
        </w:rPr>
        <w:t>课题将梳理分析当前龙华区现代化产业体系中关于产业布局、技术创新、政策支持、空间保障、资本运作、人才支撑等方面的</w:t>
      </w:r>
      <w:r>
        <w:rPr>
          <w:rFonts w:hint="eastAsia" w:ascii="仿宋_GB2312" w:hAnsi="仿宋_GB2312" w:eastAsia="仿宋_GB2312" w:cs="仿宋_GB2312"/>
          <w:b w:val="0"/>
          <w:bCs w:val="0"/>
          <w:color w:val="auto"/>
          <w:sz w:val="32"/>
          <w:szCs w:val="32"/>
          <w:highlight w:val="none"/>
          <w:lang w:val="en-US" w:eastAsia="zh-CN"/>
        </w:rPr>
        <w:t>情况，重点分析研究高端医疗器械产业、新能源、储能</w:t>
      </w:r>
      <w:r>
        <w:rPr>
          <w:rFonts w:hint="eastAsia" w:hAnsi="仿宋_GB2312" w:cs="仿宋_GB2312"/>
          <w:b w:val="0"/>
          <w:bCs w:val="0"/>
          <w:color w:val="auto"/>
          <w:sz w:val="32"/>
          <w:szCs w:val="32"/>
          <w:highlight w:val="none"/>
          <w:lang w:val="en-US" w:eastAsia="zh-CN"/>
        </w:rPr>
        <w:t>等</w:t>
      </w:r>
      <w:r>
        <w:rPr>
          <w:rFonts w:hint="eastAsia" w:ascii="仿宋_GB2312" w:hAnsi="仿宋_GB2312" w:eastAsia="仿宋_GB2312" w:cs="仿宋_GB2312"/>
          <w:b w:val="0"/>
          <w:bCs w:val="0"/>
          <w:color w:val="auto"/>
          <w:sz w:val="32"/>
          <w:szCs w:val="32"/>
          <w:highlight w:val="none"/>
          <w:lang w:val="en-US" w:eastAsia="zh-CN"/>
        </w:rPr>
        <w:t>产业领域</w:t>
      </w:r>
      <w:r>
        <w:rPr>
          <w:rFonts w:hint="eastAsia" w:ascii="仿宋_GB2312" w:hAnsi="仿宋_GB2312" w:eastAsia="仿宋_GB2312" w:cs="仿宋_GB2312"/>
          <w:i w:val="0"/>
          <w:iCs w:val="0"/>
          <w:caps w:val="0"/>
          <w:color w:val="auto"/>
          <w:spacing w:val="0"/>
          <w:sz w:val="32"/>
          <w:szCs w:val="32"/>
          <w:highlight w:val="none"/>
        </w:rPr>
        <w:t>的发展现状、问题及未来方向，为制定科学合理的产业政策提供依据。</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CESI楷体-GB2312" w:hAnsi="CESI楷体-GB2312" w:eastAsia="CESI楷体-GB2312" w:cs="CESI楷体-GB2312"/>
          <w:b w:val="0"/>
          <w:bCs w:val="0"/>
          <w:color w:val="auto"/>
          <w:sz w:val="32"/>
          <w:szCs w:val="32"/>
          <w:highlight w:val="none"/>
          <w:lang w:val="en-US" w:eastAsia="zh-CN"/>
        </w:rPr>
      </w:pPr>
      <w:r>
        <w:rPr>
          <w:rFonts w:hint="eastAsia" w:ascii="CESI楷体-GB2312" w:hAnsi="CESI楷体-GB2312" w:eastAsia="CESI楷体-GB2312" w:cs="CESI楷体-GB2312"/>
          <w:b w:val="0"/>
          <w:bCs w:val="0"/>
          <w:color w:val="auto"/>
          <w:sz w:val="32"/>
          <w:szCs w:val="32"/>
          <w:highlight w:val="none"/>
          <w:lang w:eastAsia="zh-CN"/>
        </w:rPr>
        <w:t>（</w:t>
      </w:r>
      <w:r>
        <w:rPr>
          <w:rFonts w:hint="eastAsia" w:ascii="CESI楷体-GB2312" w:hAnsi="CESI楷体-GB2312" w:eastAsia="CESI楷体-GB2312" w:cs="CESI楷体-GB2312"/>
          <w:b w:val="0"/>
          <w:bCs w:val="0"/>
          <w:color w:val="auto"/>
          <w:sz w:val="32"/>
          <w:szCs w:val="32"/>
          <w:highlight w:val="none"/>
          <w:lang w:val="en-US" w:eastAsia="zh-CN"/>
        </w:rPr>
        <w:t>四</w:t>
      </w:r>
      <w:r>
        <w:rPr>
          <w:rFonts w:hint="eastAsia" w:ascii="CESI楷体-GB2312" w:hAnsi="CESI楷体-GB2312" w:eastAsia="CESI楷体-GB2312" w:cs="CESI楷体-GB2312"/>
          <w:b w:val="0"/>
          <w:bCs w:val="0"/>
          <w:color w:val="auto"/>
          <w:sz w:val="32"/>
          <w:szCs w:val="32"/>
          <w:highlight w:val="none"/>
          <w:lang w:eastAsia="zh-CN"/>
        </w:rPr>
        <w:t>）龙华区</w:t>
      </w:r>
      <w:r>
        <w:rPr>
          <w:rFonts w:hint="eastAsia" w:ascii="CESI楷体-GB2312" w:hAnsi="CESI楷体-GB2312" w:eastAsia="CESI楷体-GB2312" w:cs="CESI楷体-GB2312"/>
          <w:b w:val="0"/>
          <w:bCs w:val="0"/>
          <w:color w:val="auto"/>
          <w:sz w:val="32"/>
          <w:szCs w:val="32"/>
          <w:highlight w:val="none"/>
          <w:lang w:val="en-US" w:eastAsia="zh-CN"/>
        </w:rPr>
        <w:t>股权投资和资本招商现状与问题分析</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针对</w:t>
      </w:r>
      <w:r>
        <w:rPr>
          <w:rFonts w:hint="eastAsia" w:ascii="仿宋_GB2312" w:hAnsi="仿宋_GB2312" w:eastAsia="仿宋_GB2312" w:cs="仿宋_GB2312"/>
          <w:color w:val="auto"/>
          <w:sz w:val="32"/>
          <w:szCs w:val="32"/>
          <w:highlight w:val="none"/>
        </w:rPr>
        <w:t>龙华区目前的资本招商情况进行全面调研，分析存在的问题和不足，找出制约因素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并在</w:t>
      </w:r>
      <w:r>
        <w:rPr>
          <w:rFonts w:hint="eastAsia" w:ascii="仿宋_GB2312" w:hAnsi="仿宋_GB2312" w:eastAsia="仿宋_GB2312" w:cs="仿宋_GB2312"/>
          <w:color w:val="auto"/>
          <w:sz w:val="32"/>
          <w:szCs w:val="32"/>
          <w:highlight w:val="none"/>
        </w:rPr>
        <w:t>政策环境、服务平台、产业</w:t>
      </w:r>
      <w:r>
        <w:rPr>
          <w:rFonts w:hint="eastAsia" w:ascii="仿宋_GB2312" w:hAnsi="仿宋_GB2312" w:eastAsia="仿宋_GB2312" w:cs="仿宋_GB2312"/>
          <w:color w:val="auto"/>
          <w:sz w:val="32"/>
          <w:szCs w:val="32"/>
          <w:highlight w:val="none"/>
          <w:lang w:val="en-US" w:eastAsia="zh-CN"/>
        </w:rPr>
        <w:t>选择</w:t>
      </w:r>
      <w:r>
        <w:rPr>
          <w:rFonts w:hint="eastAsia" w:ascii="仿宋_GB2312" w:hAnsi="仿宋_GB2312" w:eastAsia="仿宋_GB2312" w:cs="仿宋_GB2312"/>
          <w:color w:val="auto"/>
          <w:sz w:val="32"/>
          <w:szCs w:val="32"/>
          <w:highlight w:val="none"/>
        </w:rPr>
        <w:t>、空间布局、人才培养和引进以及完善退出机制等</w:t>
      </w:r>
      <w:r>
        <w:rPr>
          <w:rFonts w:hint="eastAsia" w:ascii="仿宋_GB2312" w:hAnsi="仿宋_GB2312" w:eastAsia="仿宋_GB2312" w:cs="仿宋_GB2312"/>
          <w:color w:val="auto"/>
          <w:sz w:val="32"/>
          <w:szCs w:val="32"/>
          <w:highlight w:val="none"/>
          <w:lang w:val="en-US" w:eastAsia="zh-CN"/>
        </w:rPr>
        <w:t>方面提出</w:t>
      </w:r>
      <w:r>
        <w:rPr>
          <w:rFonts w:hint="eastAsia" w:ascii="仿宋_GB2312" w:hAnsi="仿宋_GB2312" w:eastAsia="仿宋_GB2312" w:cs="仿宋_GB2312"/>
          <w:color w:val="auto"/>
          <w:sz w:val="32"/>
          <w:szCs w:val="32"/>
          <w:highlight w:val="none"/>
        </w:rPr>
        <w:t>集聚建议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color w:val="auto"/>
          <w:sz w:val="32"/>
          <w:szCs w:val="32"/>
          <w:highlight w:val="none"/>
          <w:lang w:val="en-US" w:eastAsia="zh-CN"/>
        </w:rPr>
        <w:t>课题将</w:t>
      </w:r>
      <w:r>
        <w:rPr>
          <w:rFonts w:hint="eastAsia" w:ascii="仿宋_GB2312" w:hAnsi="仿宋_GB2312" w:eastAsia="仿宋_GB2312" w:cs="仿宋_GB2312"/>
          <w:color w:val="auto"/>
          <w:sz w:val="32"/>
          <w:szCs w:val="32"/>
          <w:highlight w:val="none"/>
        </w:rPr>
        <w:t>系统梳理</w:t>
      </w:r>
      <w:r>
        <w:rPr>
          <w:rFonts w:hint="eastAsia" w:ascii="仿宋_GB2312" w:hAnsi="仿宋_GB2312" w:eastAsia="仿宋_GB2312" w:cs="仿宋_GB2312"/>
          <w:color w:val="auto"/>
          <w:sz w:val="32"/>
          <w:szCs w:val="32"/>
          <w:highlight w:val="none"/>
          <w:lang w:val="en-US" w:eastAsia="zh-CN"/>
        </w:rPr>
        <w:t>我区股权投资</w:t>
      </w:r>
      <w:r>
        <w:rPr>
          <w:rFonts w:hint="eastAsia" w:ascii="仿宋_GB2312" w:hAnsi="仿宋_GB2312" w:eastAsia="仿宋_GB2312" w:cs="仿宋_GB2312"/>
          <w:color w:val="auto"/>
          <w:sz w:val="32"/>
          <w:szCs w:val="32"/>
          <w:highlight w:val="none"/>
        </w:rPr>
        <w:t>基金发展现状，在与全国、深圳</w:t>
      </w:r>
      <w:r>
        <w:rPr>
          <w:rFonts w:hint="eastAsia" w:ascii="仿宋_GB2312" w:hAnsi="仿宋_GB2312" w:eastAsia="仿宋_GB2312" w:cs="仿宋_GB2312"/>
          <w:color w:val="auto"/>
          <w:sz w:val="32"/>
          <w:szCs w:val="32"/>
          <w:highlight w:val="none"/>
          <w:lang w:eastAsia="zh-CN"/>
        </w:rPr>
        <w:t>兄弟区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其他地区</w:t>
      </w:r>
      <w:r>
        <w:rPr>
          <w:rFonts w:hint="eastAsia" w:ascii="仿宋_GB2312" w:hAnsi="仿宋_GB2312" w:eastAsia="仿宋_GB2312" w:cs="仿宋_GB2312"/>
          <w:color w:val="auto"/>
          <w:sz w:val="32"/>
          <w:szCs w:val="32"/>
          <w:highlight w:val="none"/>
        </w:rPr>
        <w:t>先进城区综合对比中，理清发展基础，分析优劣势，确立龙华区</w:t>
      </w:r>
      <w:r>
        <w:rPr>
          <w:rFonts w:hint="eastAsia" w:ascii="仿宋_GB2312" w:hAnsi="仿宋_GB2312" w:eastAsia="仿宋_GB2312" w:cs="仿宋_GB2312"/>
          <w:color w:val="auto"/>
          <w:sz w:val="32"/>
          <w:szCs w:val="32"/>
          <w:highlight w:val="none"/>
          <w:lang w:val="en-US" w:eastAsia="zh-CN"/>
        </w:rPr>
        <w:t>股权投资</w:t>
      </w:r>
      <w:r>
        <w:rPr>
          <w:rFonts w:hint="eastAsia" w:ascii="仿宋_GB2312" w:hAnsi="仿宋_GB2312" w:eastAsia="仿宋_GB2312" w:cs="仿宋_GB2312"/>
          <w:color w:val="auto"/>
          <w:sz w:val="32"/>
          <w:szCs w:val="32"/>
          <w:highlight w:val="none"/>
        </w:rPr>
        <w:t>基金发展定位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发展方向</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color w:val="auto"/>
          <w:sz w:val="32"/>
          <w:szCs w:val="32"/>
          <w:highlight w:val="none"/>
        </w:rPr>
        <w:t>梳理</w:t>
      </w:r>
      <w:r>
        <w:rPr>
          <w:rFonts w:hint="eastAsia" w:ascii="仿宋_GB2312" w:hAnsi="仿宋_GB2312" w:eastAsia="仿宋_GB2312" w:cs="仿宋_GB2312"/>
          <w:color w:val="auto"/>
          <w:sz w:val="32"/>
          <w:szCs w:val="32"/>
          <w:highlight w:val="none"/>
          <w:lang w:val="en-US" w:eastAsia="zh-CN"/>
        </w:rPr>
        <w:t>并研究我区企业在股权投资基金方面的投融资情况，包括市场出资人类型、投资阶段、标的公司所在行业、投资金额和期限等因素。</w:t>
      </w: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eastAsia="仿宋_GB2312" w:cs="仿宋_GB2312"/>
          <w:color w:val="auto"/>
          <w:sz w:val="32"/>
          <w:szCs w:val="32"/>
          <w:highlight w:val="none"/>
          <w:lang w:val="en-US" w:eastAsia="zh-CN"/>
        </w:rPr>
        <w:t>梳理我区</w:t>
      </w:r>
      <w:r>
        <w:rPr>
          <w:rFonts w:hint="eastAsia" w:ascii="仿宋_GB2312" w:hAnsi="仿宋_GB2312" w:eastAsia="仿宋_GB2312" w:cs="仿宋_GB2312"/>
          <w:color w:val="auto"/>
          <w:sz w:val="32"/>
          <w:szCs w:val="32"/>
          <w:highlight w:val="none"/>
        </w:rPr>
        <w:t>上市公司近年来开展并购重组以及被其他上市公司并购的企业标的名单，分析被并购企业类型、交易模式、市场环境、外部政策、行业事件等因素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结合案例研究，系统分析龙华</w:t>
      </w:r>
      <w:r>
        <w:rPr>
          <w:rFonts w:hint="eastAsia" w:hAnsi="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lang w:val="en-US" w:eastAsia="zh-CN"/>
        </w:rPr>
        <w:t>企业在股权投融资或在企业</w:t>
      </w:r>
      <w:r>
        <w:rPr>
          <w:rFonts w:hint="eastAsia" w:ascii="仿宋_GB2312" w:hAnsi="仿宋_GB2312" w:eastAsia="仿宋_GB2312" w:cs="仿宋_GB2312"/>
          <w:color w:val="auto"/>
          <w:sz w:val="32"/>
          <w:szCs w:val="32"/>
          <w:highlight w:val="none"/>
        </w:rPr>
        <w:t>并购重组</w:t>
      </w:r>
      <w:r>
        <w:rPr>
          <w:rFonts w:hint="eastAsia" w:ascii="仿宋_GB2312" w:hAnsi="仿宋_GB2312" w:eastAsia="仿宋_GB2312" w:cs="仿宋_GB2312"/>
          <w:color w:val="auto"/>
          <w:sz w:val="32"/>
          <w:szCs w:val="32"/>
          <w:highlight w:val="none"/>
          <w:lang w:val="en-US" w:eastAsia="zh-CN"/>
        </w:rPr>
        <w:t>方面的优劣势</w:t>
      </w:r>
      <w:r>
        <w:rPr>
          <w:rFonts w:hint="eastAsia" w:ascii="仿宋_GB2312" w:hAnsi="仿宋_GB2312" w:eastAsia="仿宋_GB2312" w:cs="仿宋_GB2312"/>
          <w:color w:val="auto"/>
          <w:sz w:val="32"/>
          <w:szCs w:val="32"/>
          <w:highlight w:val="none"/>
        </w:rPr>
        <w:t>。</w:t>
      </w:r>
    </w:p>
    <w:p>
      <w:pPr>
        <w:numPr>
          <w:ilvl w:val="0"/>
          <w:numId w:val="0"/>
        </w:numPr>
        <w:spacing w:line="560" w:lineRule="exact"/>
        <w:ind w:firstLine="640" w:firstLineChars="200"/>
        <w:rPr>
          <w:rFonts w:hint="eastAsia" w:ascii="CESI楷体-GB2312" w:hAnsi="CESI楷体-GB2312" w:eastAsia="CESI楷体-GB2312" w:cs="CESI楷体-GB2312"/>
          <w:b w:val="0"/>
          <w:bCs w:val="0"/>
          <w:color w:val="auto"/>
          <w:sz w:val="32"/>
          <w:szCs w:val="32"/>
          <w:highlight w:val="none"/>
        </w:rPr>
      </w:pPr>
      <w:r>
        <w:rPr>
          <w:rFonts w:hint="eastAsia" w:ascii="CESI楷体-GB2312" w:hAnsi="CESI楷体-GB2312" w:eastAsia="CESI楷体-GB2312" w:cs="CESI楷体-GB2312"/>
          <w:b w:val="0"/>
          <w:bCs w:val="0"/>
          <w:color w:val="auto"/>
          <w:sz w:val="32"/>
          <w:szCs w:val="32"/>
          <w:highlight w:val="none"/>
          <w:lang w:eastAsia="zh-CN"/>
        </w:rPr>
        <w:t>（</w:t>
      </w:r>
      <w:r>
        <w:rPr>
          <w:rFonts w:hint="eastAsia" w:ascii="CESI楷体-GB2312" w:hAnsi="CESI楷体-GB2312" w:eastAsia="CESI楷体-GB2312" w:cs="CESI楷体-GB2312"/>
          <w:b w:val="0"/>
          <w:bCs w:val="0"/>
          <w:color w:val="auto"/>
          <w:sz w:val="32"/>
          <w:szCs w:val="32"/>
          <w:highlight w:val="none"/>
          <w:lang w:val="en-US" w:eastAsia="zh-CN"/>
        </w:rPr>
        <w:t>五</w:t>
      </w:r>
      <w:r>
        <w:rPr>
          <w:rFonts w:hint="eastAsia" w:ascii="CESI楷体-GB2312" w:hAnsi="CESI楷体-GB2312" w:eastAsia="CESI楷体-GB2312" w:cs="CESI楷体-GB2312"/>
          <w:b w:val="0"/>
          <w:bCs w:val="0"/>
          <w:color w:val="auto"/>
          <w:sz w:val="32"/>
          <w:szCs w:val="32"/>
          <w:highlight w:val="none"/>
          <w:lang w:eastAsia="zh-CN"/>
        </w:rPr>
        <w:t>）</w:t>
      </w:r>
      <w:r>
        <w:rPr>
          <w:rFonts w:hint="eastAsia" w:ascii="CESI楷体-GB2312" w:hAnsi="CESI楷体-GB2312" w:eastAsia="CESI楷体-GB2312" w:cs="CESI楷体-GB2312"/>
          <w:b w:val="0"/>
          <w:bCs w:val="0"/>
          <w:color w:val="auto"/>
          <w:sz w:val="32"/>
          <w:szCs w:val="32"/>
          <w:highlight w:val="none"/>
        </w:rPr>
        <w:t>龙华区现代化产业体系构建路径</w:t>
      </w:r>
      <w:r>
        <w:rPr>
          <w:rFonts w:hint="eastAsia" w:ascii="CESI楷体-GB2312" w:hAnsi="CESI楷体-GB2312" w:eastAsia="CESI楷体-GB2312" w:cs="CESI楷体-GB2312"/>
          <w:b w:val="0"/>
          <w:bCs w:val="0"/>
          <w:color w:val="auto"/>
          <w:sz w:val="32"/>
          <w:szCs w:val="32"/>
          <w:highlight w:val="none"/>
          <w:lang w:val="en-US" w:eastAsia="zh-CN"/>
        </w:rPr>
        <w:t>下股权投资和资本招商策略研究</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楷体_GB2312" w:hAnsi="楷体_GB2312" w:eastAsia="楷体_GB2312" w:cs="楷体_GB2312"/>
          <w:color w:val="auto"/>
          <w:sz w:val="28"/>
          <w:szCs w:val="28"/>
          <w:highlight w:val="none"/>
        </w:rPr>
      </w:pPr>
      <w:r>
        <w:rPr>
          <w:rFonts w:hint="eastAsia" w:ascii="仿宋_GB2312" w:hAnsi="仿宋_GB2312" w:eastAsia="仿宋_GB2312" w:cs="仿宋_GB2312"/>
          <w:b w:val="0"/>
          <w:bCs w:val="0"/>
          <w:color w:val="auto"/>
          <w:kern w:val="2"/>
          <w:sz w:val="32"/>
          <w:szCs w:val="32"/>
          <w:highlight w:val="none"/>
          <w:lang w:val="en-US" w:eastAsia="zh-CN"/>
        </w:rPr>
        <w:t>以现代化产业体系构建路径为核心，课题</w:t>
      </w:r>
      <w:r>
        <w:rPr>
          <w:rFonts w:hint="eastAsia" w:ascii="仿宋_GB2312" w:hAnsi="仿宋_GB2312" w:eastAsia="仿宋_GB2312" w:cs="仿宋_GB2312"/>
          <w:color w:val="auto"/>
          <w:sz w:val="32"/>
          <w:szCs w:val="32"/>
          <w:highlight w:val="none"/>
          <w:lang w:val="en-US" w:eastAsia="zh-CN"/>
        </w:rPr>
        <w:t>将在</w:t>
      </w:r>
      <w:r>
        <w:rPr>
          <w:rFonts w:hint="eastAsia" w:ascii="仿宋_GB2312" w:hAnsi="仿宋_GB2312" w:eastAsia="仿宋_GB2312" w:cs="仿宋_GB2312"/>
          <w:color w:val="auto"/>
          <w:sz w:val="32"/>
          <w:szCs w:val="32"/>
          <w:highlight w:val="none"/>
          <w:lang w:eastAsia="zh-CN"/>
        </w:rPr>
        <w:t>我</w:t>
      </w:r>
      <w:r>
        <w:rPr>
          <w:rFonts w:hint="eastAsia" w:ascii="仿宋_GB2312" w:hAnsi="仿宋_GB2312" w:eastAsia="仿宋_GB2312" w:cs="仿宋_GB2312"/>
          <w:color w:val="auto"/>
          <w:sz w:val="32"/>
          <w:szCs w:val="32"/>
          <w:highlight w:val="none"/>
        </w:rPr>
        <w:t>区</w:t>
      </w:r>
      <w:r>
        <w:rPr>
          <w:rFonts w:hint="eastAsia" w:ascii="仿宋_GB2312" w:hAnsi="仿宋_GB2312" w:eastAsia="仿宋_GB2312" w:cs="仿宋_GB2312"/>
          <w:color w:val="auto"/>
          <w:sz w:val="32"/>
          <w:szCs w:val="32"/>
          <w:highlight w:val="none"/>
          <w:lang w:val="en-US" w:eastAsia="zh-CN"/>
        </w:rPr>
        <w:t>现代化产业体系发展现状分析的基础上</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以股权投资和资本招商的角度，将</w:t>
      </w:r>
      <w:r>
        <w:rPr>
          <w:rFonts w:hint="eastAsia" w:ascii="仿宋_GB2312" w:hAnsi="仿宋_GB2312" w:eastAsia="仿宋_GB2312" w:cs="仿宋_GB2312"/>
          <w:b w:val="0"/>
          <w:bCs w:val="0"/>
          <w:color w:val="auto"/>
          <w:sz w:val="32"/>
          <w:szCs w:val="32"/>
          <w:highlight w:val="none"/>
          <w:lang w:val="en-US" w:eastAsia="zh-CN"/>
        </w:rPr>
        <w:t>高端医疗器械产业、新能源、储能</w:t>
      </w:r>
      <w:r>
        <w:rPr>
          <w:rFonts w:hint="eastAsia" w:hAnsi="仿宋_GB2312" w:cs="仿宋_GB2312"/>
          <w:b w:val="0"/>
          <w:bCs w:val="0"/>
          <w:color w:val="auto"/>
          <w:sz w:val="32"/>
          <w:szCs w:val="32"/>
          <w:highlight w:val="none"/>
          <w:lang w:val="en-US" w:eastAsia="zh-CN"/>
        </w:rPr>
        <w:t>等</w:t>
      </w:r>
      <w:r>
        <w:rPr>
          <w:rFonts w:hint="eastAsia" w:ascii="仿宋_GB2312" w:hAnsi="仿宋_GB2312" w:eastAsia="仿宋_GB2312" w:cs="仿宋_GB2312"/>
          <w:b w:val="0"/>
          <w:bCs w:val="0"/>
          <w:color w:val="auto"/>
          <w:sz w:val="32"/>
          <w:szCs w:val="32"/>
          <w:highlight w:val="none"/>
          <w:lang w:val="en-US" w:eastAsia="zh-CN"/>
        </w:rPr>
        <w:t>产业领域</w:t>
      </w:r>
      <w:r>
        <w:rPr>
          <w:rFonts w:hint="eastAsia" w:ascii="仿宋_GB2312" w:hAnsi="仿宋_GB2312" w:eastAsia="仿宋_GB2312" w:cs="仿宋_GB2312"/>
          <w:b w:val="0"/>
          <w:bCs w:val="0"/>
          <w:color w:val="auto"/>
          <w:kern w:val="2"/>
          <w:sz w:val="32"/>
          <w:szCs w:val="32"/>
          <w:highlight w:val="none"/>
          <w:lang w:val="en-US" w:eastAsia="zh-CN" w:bidi="ar-SA"/>
        </w:rPr>
        <w:t>等作为重点对象，分析研究如何实现重点产业领域优化布局，强化企业主体培育，在</w:t>
      </w:r>
      <w:r>
        <w:rPr>
          <w:rFonts w:hint="eastAsia" w:ascii="仿宋_GB2312" w:hAnsi="仿宋_GB2312" w:eastAsia="仿宋_GB2312" w:cs="仿宋_GB2312"/>
          <w:color w:val="auto"/>
          <w:sz w:val="32"/>
          <w:szCs w:val="32"/>
          <w:highlight w:val="none"/>
        </w:rPr>
        <w:t>产业协同发展、创新能力提升等方面</w:t>
      </w:r>
      <w:r>
        <w:rPr>
          <w:rFonts w:hint="eastAsia" w:ascii="仿宋_GB2312" w:hAnsi="仿宋_GB2312" w:eastAsia="仿宋_GB2312" w:cs="仿宋_GB2312"/>
          <w:color w:val="auto"/>
          <w:sz w:val="32"/>
          <w:szCs w:val="32"/>
          <w:highlight w:val="none"/>
          <w:lang w:val="en-US" w:eastAsia="zh-CN"/>
        </w:rPr>
        <w:t>进行专业化、差异化和特色化改造和建设。</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CESI楷体-GB2312" w:hAnsi="CESI楷体-GB2312" w:eastAsia="CESI楷体-GB2312" w:cs="CESI楷体-GB2312"/>
          <w:color w:val="auto"/>
          <w:sz w:val="32"/>
          <w:szCs w:val="32"/>
          <w:highlight w:val="none"/>
          <w:lang w:val="en-US" w:eastAsia="zh-CN"/>
        </w:rPr>
      </w:pPr>
      <w:r>
        <w:rPr>
          <w:rFonts w:hint="eastAsia" w:ascii="CESI楷体-GB2312" w:hAnsi="CESI楷体-GB2312" w:eastAsia="CESI楷体-GB2312" w:cs="CESI楷体-GB2312"/>
          <w:color w:val="auto"/>
          <w:sz w:val="32"/>
          <w:szCs w:val="32"/>
          <w:highlight w:val="none"/>
          <w:lang w:eastAsia="zh-CN"/>
        </w:rPr>
        <w:t>（</w:t>
      </w:r>
      <w:r>
        <w:rPr>
          <w:rFonts w:hint="eastAsia" w:ascii="CESI楷体-GB2312" w:hAnsi="CESI楷体-GB2312" w:eastAsia="CESI楷体-GB2312" w:cs="CESI楷体-GB2312"/>
          <w:color w:val="auto"/>
          <w:sz w:val="32"/>
          <w:szCs w:val="32"/>
          <w:highlight w:val="none"/>
          <w:lang w:val="en-US" w:eastAsia="zh-CN"/>
        </w:rPr>
        <w:t>六</w:t>
      </w:r>
      <w:r>
        <w:rPr>
          <w:rFonts w:hint="eastAsia" w:ascii="CESI楷体-GB2312" w:hAnsi="CESI楷体-GB2312" w:eastAsia="CESI楷体-GB2312" w:cs="CESI楷体-GB2312"/>
          <w:color w:val="auto"/>
          <w:sz w:val="32"/>
          <w:szCs w:val="32"/>
          <w:highlight w:val="none"/>
          <w:lang w:eastAsia="zh-CN"/>
        </w:rPr>
        <w:t>）</w:t>
      </w:r>
      <w:r>
        <w:rPr>
          <w:rFonts w:hint="eastAsia" w:ascii="CESI楷体-GB2312" w:hAnsi="CESI楷体-GB2312" w:eastAsia="CESI楷体-GB2312" w:cs="CESI楷体-GB2312"/>
          <w:color w:val="auto"/>
          <w:sz w:val="32"/>
          <w:szCs w:val="32"/>
          <w:highlight w:val="none"/>
          <w:lang w:val="en-US" w:eastAsia="zh-CN"/>
        </w:rPr>
        <w:t>依据课题研究成果</w:t>
      </w:r>
      <w:r>
        <w:rPr>
          <w:rFonts w:hint="eastAsia" w:ascii="CESI楷体-GB2312" w:hAnsi="CESI楷体-GB2312" w:eastAsia="CESI楷体-GB2312" w:cs="CESI楷体-GB2312"/>
          <w:color w:val="auto"/>
          <w:sz w:val="32"/>
          <w:szCs w:val="32"/>
          <w:highlight w:val="none"/>
          <w:lang w:eastAsia="zh-CN"/>
        </w:rPr>
        <w:t>提出</w:t>
      </w:r>
      <w:r>
        <w:rPr>
          <w:rFonts w:hint="eastAsia" w:ascii="CESI楷体-GB2312" w:hAnsi="CESI楷体-GB2312" w:eastAsia="CESI楷体-GB2312" w:cs="CESI楷体-GB2312"/>
          <w:color w:val="auto"/>
          <w:sz w:val="32"/>
          <w:szCs w:val="32"/>
          <w:highlight w:val="none"/>
          <w:lang w:val="en-US" w:eastAsia="zh-CN"/>
        </w:rPr>
        <w:t>下一步工作思路</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color w:val="auto"/>
          <w:sz w:val="32"/>
          <w:szCs w:val="32"/>
          <w:highlight w:val="none"/>
        </w:rPr>
        <w:t>根据</w:t>
      </w:r>
      <w:r>
        <w:rPr>
          <w:rFonts w:hint="eastAsia" w:ascii="仿宋_GB2312" w:hAnsi="仿宋_GB2312" w:eastAsia="仿宋_GB2312" w:cs="仿宋_GB2312"/>
          <w:color w:val="auto"/>
          <w:sz w:val="32"/>
          <w:szCs w:val="32"/>
          <w:highlight w:val="none"/>
          <w:lang w:val="en-US" w:eastAsia="zh-CN"/>
        </w:rPr>
        <w:t>课题</w:t>
      </w:r>
      <w:r>
        <w:rPr>
          <w:rFonts w:hint="eastAsia" w:ascii="仿宋_GB2312" w:hAnsi="仿宋_GB2312" w:eastAsia="仿宋_GB2312" w:cs="仿宋_GB2312"/>
          <w:color w:val="auto"/>
          <w:sz w:val="32"/>
          <w:szCs w:val="32"/>
          <w:highlight w:val="none"/>
        </w:rPr>
        <w:t>研究成果，从政策保障、组织保障、空间保障、资金保障、服务保障、市区联动等角度提出</w:t>
      </w:r>
      <w:r>
        <w:rPr>
          <w:rFonts w:hint="eastAsia" w:ascii="仿宋_GB2312" w:hAnsi="仿宋_GB2312" w:eastAsia="仿宋_GB2312" w:cs="仿宋_GB2312"/>
          <w:color w:val="auto"/>
          <w:sz w:val="32"/>
          <w:szCs w:val="32"/>
          <w:highlight w:val="none"/>
          <w:lang w:val="en-US" w:eastAsia="zh-CN"/>
        </w:rPr>
        <w:t>下一步工作思路，为区领导决策提供参考。</w:t>
      </w:r>
    </w:p>
    <w:p>
      <w:pPr>
        <w:ind w:firstLine="640"/>
        <w:rPr>
          <w:rFonts w:hint="eastAsia" w:ascii="黑体" w:hAnsi="黑体" w:eastAsia="黑体"/>
          <w:color w:val="auto"/>
          <w:highlight w:val="none"/>
        </w:rPr>
      </w:pPr>
      <w:r>
        <w:rPr>
          <w:rFonts w:hint="eastAsia" w:ascii="黑体" w:hAnsi="黑体" w:eastAsia="黑体"/>
          <w:color w:val="auto"/>
          <w:highlight w:val="none"/>
        </w:rPr>
        <w:t>三、项目技术要求</w:t>
      </w:r>
    </w:p>
    <w:p>
      <w:pPr>
        <w:ind w:firstLine="640"/>
        <w:rPr>
          <w:rFonts w:hAnsi="Times New Roman"/>
          <w:b/>
          <w:bCs/>
          <w:color w:val="auto"/>
          <w:highlight w:val="none"/>
        </w:rPr>
      </w:pPr>
      <w:r>
        <w:rPr>
          <w:rFonts w:hint="eastAsia" w:hAnsi="Times New Roman"/>
          <w:bCs/>
          <w:color w:val="auto"/>
          <w:highlight w:val="none"/>
        </w:rPr>
        <w:t>（一）项目成果应遵循国家颁布的有关法律、法规及政策要求。</w:t>
      </w:r>
    </w:p>
    <w:p>
      <w:pPr>
        <w:ind w:firstLine="640"/>
        <w:rPr>
          <w:rFonts w:hAnsi="Times New Roman"/>
          <w:b/>
          <w:bCs/>
          <w:color w:val="auto"/>
          <w:highlight w:val="none"/>
        </w:rPr>
      </w:pPr>
      <w:r>
        <w:rPr>
          <w:rFonts w:hint="eastAsia" w:hAnsi="Times New Roman"/>
          <w:bCs/>
          <w:color w:val="auto"/>
          <w:highlight w:val="none"/>
        </w:rPr>
        <w:t>（二）研究过程中应当进行深入调查研究，充分把握龙华区</w:t>
      </w:r>
      <w:r>
        <w:rPr>
          <w:rFonts w:hint="eastAsia"/>
          <w:color w:val="auto"/>
          <w:highlight w:val="none"/>
          <w:lang w:eastAsia="zh-CN"/>
        </w:rPr>
        <w:t>风投创投基金行业</w:t>
      </w:r>
      <w:r>
        <w:rPr>
          <w:rFonts w:hint="eastAsia" w:hAnsi="Times New Roman"/>
          <w:bCs/>
          <w:color w:val="auto"/>
          <w:highlight w:val="none"/>
        </w:rPr>
        <w:t>发展现状、存在问题等相关信息和基础资料。</w:t>
      </w:r>
    </w:p>
    <w:p>
      <w:pPr>
        <w:ind w:firstLine="640"/>
        <w:rPr>
          <w:rFonts w:hAnsi="Times New Roman"/>
          <w:b/>
          <w:bCs/>
          <w:color w:val="auto"/>
          <w:highlight w:val="none"/>
        </w:rPr>
      </w:pPr>
      <w:r>
        <w:rPr>
          <w:rFonts w:hint="eastAsia" w:hAnsi="Times New Roman"/>
          <w:bCs/>
          <w:color w:val="auto"/>
          <w:highlight w:val="none"/>
        </w:rPr>
        <w:t>（三）</w:t>
      </w:r>
      <w:r>
        <w:rPr>
          <w:rFonts w:hAnsi="仿宋_GB2312" w:cs="仿宋_GB2312"/>
          <w:color w:val="auto"/>
          <w:highlight w:val="none"/>
          <w:lang w:bidi="ar"/>
        </w:rPr>
        <w:t>项目研究</w:t>
      </w:r>
      <w:r>
        <w:rPr>
          <w:rFonts w:hint="eastAsia" w:hAnsi="仿宋_GB2312" w:cs="仿宋_GB2312"/>
          <w:color w:val="auto"/>
          <w:highlight w:val="none"/>
          <w:lang w:bidi="ar"/>
        </w:rPr>
        <w:t>成果要具有前瞻性，为龙华区资本招商</w:t>
      </w:r>
      <w:r>
        <w:rPr>
          <w:rFonts w:hint="eastAsia" w:hAnsi="仿宋_GB2312" w:cs="仿宋_GB2312"/>
          <w:color w:val="auto"/>
          <w:highlight w:val="none"/>
          <w:lang w:eastAsia="zh-CN" w:bidi="ar"/>
        </w:rPr>
        <w:t>、</w:t>
      </w:r>
      <w:r>
        <w:rPr>
          <w:rFonts w:hint="eastAsia" w:hAnsi="仿宋_GB2312" w:cs="仿宋_GB2312"/>
          <w:color w:val="auto"/>
          <w:highlight w:val="none"/>
          <w:lang w:bidi="ar"/>
        </w:rPr>
        <w:t>风投创投基金行业发展</w:t>
      </w:r>
      <w:r>
        <w:rPr>
          <w:rFonts w:hint="eastAsia" w:hAnsi="仿宋_GB2312" w:cs="仿宋_GB2312"/>
          <w:color w:val="auto"/>
          <w:highlight w:val="none"/>
          <w:lang w:eastAsia="zh-CN" w:bidi="ar"/>
        </w:rPr>
        <w:t>、龙华区现代化产业体系发展</w:t>
      </w:r>
      <w:r>
        <w:rPr>
          <w:rFonts w:hint="eastAsia" w:hAnsi="仿宋_GB2312" w:cs="仿宋_GB2312"/>
          <w:color w:val="auto"/>
          <w:highlight w:val="none"/>
          <w:lang w:bidi="ar"/>
        </w:rPr>
        <w:t>提供</w:t>
      </w:r>
      <w:r>
        <w:rPr>
          <w:rFonts w:hint="eastAsia" w:hAnsi="仿宋_GB2312" w:cs="仿宋_GB2312"/>
          <w:color w:val="auto"/>
          <w:highlight w:val="none"/>
          <w:lang w:eastAsia="zh-CN" w:bidi="ar"/>
        </w:rPr>
        <w:t>理论</w:t>
      </w:r>
      <w:r>
        <w:rPr>
          <w:rFonts w:hint="eastAsia" w:hAnsi="仿宋_GB2312" w:cs="仿宋_GB2312"/>
          <w:color w:val="auto"/>
          <w:highlight w:val="none"/>
          <w:lang w:bidi="ar"/>
        </w:rPr>
        <w:t>支撑；具有系统性，研究成果要体系完整、内容全面、材料丰富；具有实用性，研究成果符合深圳市、龙华区实际，针对性和可操作性强。</w:t>
      </w:r>
    </w:p>
    <w:p>
      <w:pPr>
        <w:ind w:firstLine="640"/>
        <w:rPr>
          <w:rFonts w:hint="eastAsia" w:ascii="黑体" w:hAnsi="黑体" w:eastAsia="黑体"/>
          <w:color w:val="auto"/>
          <w:highlight w:val="none"/>
        </w:rPr>
      </w:pPr>
      <w:r>
        <w:rPr>
          <w:rFonts w:hint="eastAsia" w:ascii="黑体" w:hAnsi="黑体" w:eastAsia="黑体"/>
          <w:color w:val="auto"/>
          <w:highlight w:val="none"/>
        </w:rPr>
        <w:t>四、项目成果交付要求</w:t>
      </w:r>
    </w:p>
    <w:p>
      <w:pPr>
        <w:ind w:firstLine="640"/>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1、主报告：《龙华区现代化产业体系构建路径下的股权投资与资本招商策略研究报告》</w:t>
      </w:r>
    </w:p>
    <w:p>
      <w:pPr>
        <w:ind w:firstLine="640"/>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2、子报告:《龙华区股权投资基金行业发展情况报告》</w:t>
      </w:r>
    </w:p>
    <w:p>
      <w:pPr>
        <w:ind w:firstLine="640"/>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3、子报告：《龙华区高端医疗器械产业发展情况报告》《龙华区新能源产业发展情况报告》《龙华区储能产业发展情况报告》</w:t>
      </w:r>
    </w:p>
    <w:p>
      <w:pPr>
        <w:ind w:firstLine="640"/>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4、《龙华区企业股权投资案例及企业并购案例汇编》</w:t>
      </w:r>
    </w:p>
    <w:p>
      <w:pPr>
        <w:ind w:firstLine="640"/>
        <w:rPr>
          <w:rFonts w:hint="eastAsia" w:ascii="黑体" w:hAnsi="黑体" w:eastAsia="黑体"/>
          <w:color w:val="auto"/>
          <w:highlight w:val="none"/>
        </w:rPr>
      </w:pPr>
      <w:r>
        <w:rPr>
          <w:rFonts w:hint="eastAsia" w:ascii="黑体" w:hAnsi="黑体" w:eastAsia="黑体"/>
          <w:color w:val="auto"/>
          <w:highlight w:val="none"/>
        </w:rPr>
        <w:t>五、项目保密要求</w:t>
      </w:r>
    </w:p>
    <w:p>
      <w:pPr>
        <w:adjustRightInd/>
        <w:snapToGrid/>
        <w:ind w:firstLine="640"/>
        <w:rPr>
          <w:rFonts w:hint="eastAsia" w:hAnsi="仿宋_GB2312" w:cs="仿宋_GB2312"/>
          <w:bCs/>
          <w:color w:val="auto"/>
          <w:highlight w:val="none"/>
        </w:rPr>
      </w:pPr>
      <w:r>
        <w:rPr>
          <w:rFonts w:hint="eastAsia" w:hAnsi="仿宋_GB2312" w:cs="仿宋_GB2312"/>
          <w:bCs/>
          <w:color w:val="auto"/>
          <w:highlight w:val="none"/>
        </w:rPr>
        <w:t>中标人应当对其在项目开展过程中所知悉的国家秘密、商业秘密和技术秘密负有保密责任，建立并实施相应的保密措施，具体保密要求如下：</w:t>
      </w:r>
    </w:p>
    <w:p>
      <w:pPr>
        <w:ind w:firstLine="640"/>
        <w:rPr>
          <w:rFonts w:hAnsi="Times New Roman"/>
          <w:bCs/>
          <w:color w:val="auto"/>
          <w:highlight w:val="none"/>
        </w:rPr>
      </w:pPr>
      <w:r>
        <w:rPr>
          <w:rFonts w:hint="eastAsia" w:hAnsi="Times New Roman"/>
          <w:bCs/>
          <w:color w:val="auto"/>
          <w:highlight w:val="none"/>
        </w:rPr>
        <w:t>（一）中标人不得利用所获取、掌握的采购人及其他政府部门的任何保密内容从事采购人及其他政府部门授权工作以外的任何事情，不得披露、允许第三方使用。</w:t>
      </w:r>
    </w:p>
    <w:p>
      <w:pPr>
        <w:ind w:firstLine="640"/>
        <w:rPr>
          <w:rFonts w:hAnsi="Times New Roman"/>
          <w:b/>
          <w:bCs/>
          <w:color w:val="auto"/>
          <w:highlight w:val="none"/>
        </w:rPr>
      </w:pPr>
      <w:r>
        <w:rPr>
          <w:rFonts w:hint="eastAsia" w:hAnsi="Times New Roman"/>
          <w:bCs/>
          <w:color w:val="auto"/>
          <w:highlight w:val="none"/>
        </w:rPr>
        <w:t>（二）中标人按照采购人要求完成项目后，须立即将项目成果提交采购人存档，未经采购人许可，不得向第三方披露。</w:t>
      </w:r>
    </w:p>
    <w:p>
      <w:pPr>
        <w:ind w:firstLine="640"/>
        <w:rPr>
          <w:rFonts w:hAnsi="Times New Roman"/>
          <w:b/>
          <w:bCs/>
          <w:color w:val="auto"/>
          <w:highlight w:val="none"/>
        </w:rPr>
      </w:pPr>
      <w:r>
        <w:rPr>
          <w:rFonts w:hint="eastAsia" w:hAnsi="Times New Roman"/>
          <w:bCs/>
          <w:color w:val="auto"/>
          <w:highlight w:val="none"/>
        </w:rPr>
        <w:t>（三）中标人应建立相应的保密制度，明确项目开展过程中各环节的保密性要求，确保相关资料和信息的保密性。</w:t>
      </w:r>
    </w:p>
    <w:p>
      <w:pPr>
        <w:ind w:firstLine="640"/>
        <w:rPr>
          <w:rFonts w:hint="eastAsia" w:ascii="黑体" w:hAnsi="黑体" w:eastAsia="黑体"/>
          <w:color w:val="auto"/>
          <w:highlight w:val="none"/>
        </w:rPr>
      </w:pPr>
      <w:r>
        <w:rPr>
          <w:rFonts w:hint="eastAsia" w:ascii="黑体" w:hAnsi="黑体" w:eastAsia="黑体"/>
          <w:color w:val="auto"/>
          <w:highlight w:val="none"/>
        </w:rPr>
        <w:t>六、投标资格要求</w:t>
      </w:r>
    </w:p>
    <w:p>
      <w:pPr>
        <w:ind w:firstLine="640"/>
        <w:rPr>
          <w:rFonts w:hint="eastAsia" w:eastAsia="仿宋_GB2312"/>
          <w:color w:val="auto"/>
          <w:highlight w:val="none"/>
          <w:lang w:eastAsia="zh-CN"/>
        </w:rPr>
      </w:pPr>
      <w:r>
        <w:rPr>
          <w:color w:val="auto"/>
          <w:highlight w:val="none"/>
        </w:rPr>
        <w:t>（一）具有独立承担民事责任能力的在中华人民共和国境内注册的法人</w:t>
      </w:r>
      <w:r>
        <w:rPr>
          <w:rFonts w:hint="eastAsia"/>
          <w:color w:val="auto"/>
          <w:highlight w:val="none"/>
          <w:lang w:eastAsia="zh-CN"/>
        </w:rPr>
        <w:t>。</w:t>
      </w:r>
    </w:p>
    <w:p>
      <w:pPr>
        <w:ind w:firstLine="640"/>
        <w:rPr>
          <w:color w:val="auto"/>
          <w:highlight w:val="none"/>
        </w:rPr>
      </w:pPr>
      <w:r>
        <w:rPr>
          <w:color w:val="auto"/>
          <w:highlight w:val="none"/>
        </w:rPr>
        <w:t>（二）投标人必须具备相关经营范围</w:t>
      </w:r>
      <w:r>
        <w:rPr>
          <w:rFonts w:hint="eastAsia"/>
          <w:color w:val="auto"/>
          <w:highlight w:val="none"/>
        </w:rPr>
        <w:t>（咨询服务等）</w:t>
      </w:r>
      <w:r>
        <w:rPr>
          <w:color w:val="auto"/>
          <w:highlight w:val="none"/>
        </w:rPr>
        <w:t>，</w:t>
      </w:r>
      <w:r>
        <w:rPr>
          <w:rFonts w:hint="eastAsia"/>
          <w:color w:val="auto"/>
          <w:highlight w:val="none"/>
        </w:rPr>
        <w:t>具备开展本项目研究的基本条件和研究能力。</w:t>
      </w:r>
    </w:p>
    <w:p>
      <w:pPr>
        <w:ind w:firstLine="640"/>
        <w:rPr>
          <w:color w:val="auto"/>
          <w:highlight w:val="none"/>
        </w:rPr>
      </w:pPr>
      <w:r>
        <w:rPr>
          <w:color w:val="auto"/>
          <w:highlight w:val="none"/>
        </w:rPr>
        <w:t>（三）参加本次政府采购活动前3年内在经营活动中没有重大违法记录（提供声明函，格式自拟）。</w:t>
      </w:r>
    </w:p>
    <w:p>
      <w:pPr>
        <w:ind w:firstLine="640"/>
        <w:rPr>
          <w:color w:val="auto"/>
          <w:highlight w:val="none"/>
        </w:rPr>
      </w:pPr>
      <w:r>
        <w:rPr>
          <w:color w:val="auto"/>
          <w:highlight w:val="none"/>
        </w:rPr>
        <w:t>（四）本项目</w:t>
      </w:r>
      <w:r>
        <w:rPr>
          <w:rFonts w:hint="eastAsia"/>
          <w:color w:val="auto"/>
          <w:highlight w:val="none"/>
        </w:rPr>
        <w:t>不</w:t>
      </w:r>
      <w:r>
        <w:rPr>
          <w:color w:val="auto"/>
          <w:highlight w:val="none"/>
        </w:rPr>
        <w:t>接受联合体投标。</w:t>
      </w:r>
    </w:p>
    <w:p>
      <w:pPr>
        <w:ind w:firstLine="640"/>
        <w:rPr>
          <w:rFonts w:hint="eastAsia" w:ascii="黑体" w:hAnsi="黑体" w:eastAsia="黑体"/>
          <w:color w:val="auto"/>
          <w:highlight w:val="none"/>
        </w:rPr>
      </w:pPr>
      <w:r>
        <w:rPr>
          <w:rFonts w:hint="eastAsia" w:ascii="黑体" w:hAnsi="黑体" w:eastAsia="黑体"/>
          <w:color w:val="auto"/>
          <w:highlight w:val="none"/>
        </w:rPr>
        <w:t>七、投标时间、地点及联系人</w:t>
      </w:r>
    </w:p>
    <w:p>
      <w:pPr>
        <w:ind w:firstLine="640"/>
        <w:rPr>
          <w:rFonts w:hAnsi="Times New Roman"/>
          <w:b/>
          <w:bCs/>
          <w:color w:val="auto"/>
          <w:highlight w:val="none"/>
        </w:rPr>
      </w:pPr>
      <w:r>
        <w:rPr>
          <w:rFonts w:hint="eastAsia" w:hAnsi="Times New Roman"/>
          <w:bCs/>
          <w:color w:val="auto"/>
          <w:highlight w:val="none"/>
        </w:rPr>
        <w:t>（一）投标时间：</w:t>
      </w:r>
      <w:r>
        <w:rPr>
          <w:rFonts w:hAnsi="Times New Roman"/>
          <w:bCs/>
          <w:color w:val="auto"/>
          <w:highlight w:val="none"/>
        </w:rPr>
        <w:t>202</w:t>
      </w:r>
      <w:r>
        <w:rPr>
          <w:rFonts w:hint="default" w:hAnsi="Times New Roman"/>
          <w:bCs/>
          <w:color w:val="auto"/>
          <w:highlight w:val="none"/>
        </w:rPr>
        <w:t>5</w:t>
      </w:r>
      <w:r>
        <w:rPr>
          <w:rFonts w:hint="eastAsia" w:hAnsi="Times New Roman"/>
          <w:bCs/>
          <w:color w:val="auto"/>
          <w:highlight w:val="none"/>
        </w:rPr>
        <w:t>年</w:t>
      </w:r>
      <w:r>
        <w:rPr>
          <w:rFonts w:hint="default" w:hAnsi="Times New Roman"/>
          <w:bCs/>
          <w:color w:val="auto"/>
          <w:highlight w:val="none"/>
          <w:lang w:val="en"/>
        </w:rPr>
        <w:t>3</w:t>
      </w:r>
      <w:r>
        <w:rPr>
          <w:rFonts w:hint="eastAsia" w:hAnsi="Times New Roman"/>
          <w:bCs/>
          <w:color w:val="auto"/>
          <w:highlight w:val="none"/>
        </w:rPr>
        <w:t>月</w:t>
      </w:r>
      <w:r>
        <w:rPr>
          <w:rFonts w:hint="default" w:hAnsi="Times New Roman"/>
          <w:bCs/>
          <w:color w:val="auto"/>
          <w:highlight w:val="none"/>
          <w:lang w:eastAsia="zh-CN"/>
        </w:rPr>
        <w:t>31</w:t>
      </w:r>
      <w:r>
        <w:rPr>
          <w:rFonts w:hint="eastAsia" w:hAnsi="Times New Roman"/>
          <w:bCs/>
          <w:color w:val="auto"/>
          <w:highlight w:val="none"/>
        </w:rPr>
        <w:t>日至</w:t>
      </w:r>
      <w:r>
        <w:rPr>
          <w:rFonts w:hAnsi="Times New Roman"/>
          <w:bCs/>
          <w:color w:val="auto"/>
          <w:highlight w:val="none"/>
        </w:rPr>
        <w:t>202</w:t>
      </w:r>
      <w:r>
        <w:rPr>
          <w:rFonts w:hint="default" w:hAnsi="Times New Roman"/>
          <w:bCs/>
          <w:color w:val="auto"/>
          <w:highlight w:val="none"/>
        </w:rPr>
        <w:t>5</w:t>
      </w:r>
      <w:r>
        <w:rPr>
          <w:rFonts w:hint="eastAsia" w:hAnsi="Times New Roman"/>
          <w:bCs/>
          <w:color w:val="auto"/>
          <w:highlight w:val="none"/>
        </w:rPr>
        <w:t>年</w:t>
      </w:r>
      <w:r>
        <w:rPr>
          <w:rFonts w:hint="default" w:hAnsi="Times New Roman"/>
          <w:bCs/>
          <w:color w:val="auto"/>
          <w:highlight w:val="none"/>
        </w:rPr>
        <w:t>4</w:t>
      </w:r>
      <w:r>
        <w:rPr>
          <w:rFonts w:hint="eastAsia" w:hAnsi="Times New Roman"/>
          <w:bCs/>
          <w:color w:val="auto"/>
          <w:highlight w:val="none"/>
        </w:rPr>
        <w:t>月</w:t>
      </w:r>
      <w:r>
        <w:rPr>
          <w:rFonts w:hint="default" w:hAnsi="Times New Roman"/>
          <w:bCs/>
          <w:color w:val="auto"/>
          <w:highlight w:val="none"/>
          <w:lang w:eastAsia="zh-CN"/>
        </w:rPr>
        <w:t>3</w:t>
      </w:r>
      <w:r>
        <w:rPr>
          <w:rFonts w:hint="eastAsia" w:hAnsi="Times New Roman"/>
          <w:bCs/>
          <w:color w:val="auto"/>
          <w:highlight w:val="none"/>
        </w:rPr>
        <w:t>日，每日上午</w:t>
      </w:r>
      <w:r>
        <w:rPr>
          <w:rFonts w:hAnsi="Times New Roman"/>
          <w:bCs/>
          <w:color w:val="auto"/>
          <w:highlight w:val="none"/>
        </w:rPr>
        <w:t>9:00-12:00，下午2:00-</w:t>
      </w:r>
      <w:r>
        <w:rPr>
          <w:rFonts w:hint="eastAsia" w:hAnsi="Times New Roman"/>
          <w:bCs/>
          <w:color w:val="auto"/>
          <w:highlight w:val="none"/>
        </w:rPr>
        <w:t>6：00</w:t>
      </w:r>
      <w:r>
        <w:rPr>
          <w:rFonts w:hAnsi="Times New Roman"/>
          <w:bCs/>
          <w:color w:val="auto"/>
          <w:highlight w:val="none"/>
        </w:rPr>
        <w:t>（节假日除外）。逾期未投标将不再受理。</w:t>
      </w:r>
    </w:p>
    <w:p>
      <w:pPr>
        <w:shd w:val="clear"/>
        <w:ind w:firstLine="640"/>
        <w:rPr>
          <w:rFonts w:hAnsi="Times New Roman"/>
          <w:b/>
          <w:bCs/>
          <w:color w:val="auto"/>
          <w:highlight w:val="none"/>
        </w:rPr>
      </w:pPr>
      <w:r>
        <w:rPr>
          <w:rFonts w:hint="eastAsia" w:hAnsi="Times New Roman"/>
          <w:bCs/>
          <w:color w:val="auto"/>
          <w:highlight w:val="none"/>
        </w:rPr>
        <w:t>（二）投标地点：深圳市龙华区龙华街道清泉路7号富康行政服务办公区</w:t>
      </w:r>
      <w:r>
        <w:rPr>
          <w:rFonts w:hint="eastAsia"/>
          <w:color w:val="auto"/>
          <w:highlight w:val="none"/>
          <w:lang w:val="en-US" w:eastAsia="zh-CN"/>
        </w:rPr>
        <w:t>20</w:t>
      </w:r>
      <w:r>
        <w:rPr>
          <w:color w:val="auto"/>
          <w:highlight w:val="none"/>
        </w:rPr>
        <w:t>楼</w:t>
      </w:r>
      <w:r>
        <w:rPr>
          <w:rFonts w:hint="eastAsia"/>
          <w:color w:val="auto"/>
          <w:highlight w:val="none"/>
          <w:lang w:val="en-US" w:eastAsia="zh-CN"/>
        </w:rPr>
        <w:t>B2003</w:t>
      </w:r>
      <w:r>
        <w:rPr>
          <w:rFonts w:hint="eastAsia" w:hAnsi="Times New Roman"/>
          <w:bCs/>
          <w:color w:val="auto"/>
          <w:highlight w:val="none"/>
        </w:rPr>
        <w:t>，深圳市龙华区发展和改革局</w:t>
      </w:r>
      <w:r>
        <w:rPr>
          <w:rFonts w:hint="eastAsia" w:hAnsi="Times New Roman"/>
          <w:bCs/>
          <w:color w:val="auto"/>
          <w:highlight w:val="none"/>
          <w:lang w:eastAsia="zh-CN"/>
        </w:rPr>
        <w:t>金融协调科</w:t>
      </w:r>
      <w:r>
        <w:rPr>
          <w:rFonts w:hAnsi="Times New Roman"/>
          <w:bCs/>
          <w:color w:val="auto"/>
          <w:highlight w:val="none"/>
        </w:rPr>
        <w:t>（可邮寄，以送达日期为投标日期）。</w:t>
      </w:r>
    </w:p>
    <w:p>
      <w:pPr>
        <w:shd w:val="clear"/>
        <w:ind w:firstLine="640"/>
        <w:rPr>
          <w:rFonts w:hint="default" w:hAnsi="Times New Roman" w:eastAsia="仿宋_GB2312"/>
          <w:bCs/>
          <w:color w:val="auto"/>
          <w:highlight w:val="none"/>
          <w:lang w:val="en-US" w:eastAsia="zh-CN"/>
        </w:rPr>
      </w:pPr>
      <w:r>
        <w:rPr>
          <w:rFonts w:hint="eastAsia" w:hAnsi="Times New Roman"/>
          <w:bCs/>
          <w:color w:val="auto"/>
          <w:highlight w:val="none"/>
        </w:rPr>
        <w:t>（三）联系人及电</w:t>
      </w:r>
      <w:r>
        <w:rPr>
          <w:rFonts w:hint="eastAsia" w:hAnsi="Times New Roman"/>
          <w:bCs/>
          <w:color w:val="auto"/>
          <w:highlight w:val="none"/>
          <w:shd w:val="clear"/>
        </w:rPr>
        <w:t>话：</w:t>
      </w:r>
      <w:r>
        <w:rPr>
          <w:rFonts w:hint="eastAsia" w:hAnsi="Times New Roman"/>
          <w:bCs/>
          <w:color w:val="auto"/>
          <w:highlight w:val="none"/>
          <w:shd w:val="clear"/>
          <w:lang w:eastAsia="zh-CN"/>
        </w:rPr>
        <w:t>张先生</w:t>
      </w:r>
      <w:r>
        <w:rPr>
          <w:rFonts w:hint="eastAsia" w:hAnsi="Times New Roman"/>
          <w:bCs/>
          <w:color w:val="auto"/>
          <w:highlight w:val="none"/>
          <w:shd w:val="clear"/>
        </w:rPr>
        <w:t>，0755-</w:t>
      </w:r>
      <w:r>
        <w:rPr>
          <w:rFonts w:hint="eastAsia" w:hAnsi="Times New Roman"/>
          <w:bCs/>
          <w:color w:val="auto"/>
          <w:highlight w:val="none"/>
          <w:shd w:val="clear"/>
          <w:lang w:val="en-US" w:eastAsia="zh-CN"/>
        </w:rPr>
        <w:t>28198162</w:t>
      </w:r>
    </w:p>
    <w:p>
      <w:pPr>
        <w:ind w:firstLine="640"/>
        <w:rPr>
          <w:rFonts w:hint="eastAsia" w:ascii="黑体" w:hAnsi="黑体" w:eastAsia="黑体"/>
          <w:color w:val="auto"/>
          <w:highlight w:val="none"/>
        </w:rPr>
      </w:pPr>
      <w:r>
        <w:rPr>
          <w:rFonts w:hint="eastAsia" w:ascii="黑体" w:hAnsi="黑体" w:eastAsia="黑体"/>
          <w:color w:val="auto"/>
          <w:highlight w:val="none"/>
        </w:rPr>
        <w:t>八、投标文件递交内容</w:t>
      </w:r>
    </w:p>
    <w:p>
      <w:pPr>
        <w:ind w:firstLine="640"/>
        <w:rPr>
          <w:rFonts w:hint="eastAsia" w:hAnsi="仿宋" w:cs="仿宋_GB2312"/>
          <w:color w:val="auto"/>
          <w:highlight w:val="none"/>
        </w:rPr>
      </w:pPr>
      <w:r>
        <w:rPr>
          <w:rFonts w:hint="eastAsia" w:hAnsi="仿宋" w:cs="仿宋_GB2312"/>
          <w:color w:val="auto"/>
          <w:highlight w:val="none"/>
        </w:rPr>
        <w:t>（一）投标单位简介、投标人营业执照及相关证照（提供加盖公章的复印件，原件备查）。</w:t>
      </w:r>
    </w:p>
    <w:p>
      <w:pPr>
        <w:ind w:firstLine="640"/>
        <w:rPr>
          <w:rFonts w:hint="eastAsia" w:hAnsi="仿宋" w:cs="仿宋_GB2312"/>
          <w:color w:val="auto"/>
          <w:highlight w:val="none"/>
        </w:rPr>
      </w:pPr>
      <w:r>
        <w:rPr>
          <w:rFonts w:hint="eastAsia" w:hAnsi="仿宋" w:cs="仿宋_GB2312"/>
          <w:color w:val="auto"/>
          <w:highlight w:val="none"/>
        </w:rPr>
        <w:t>（二）法定代表人证明书及授权委托书（原件加盖公章）。</w:t>
      </w:r>
    </w:p>
    <w:p>
      <w:pPr>
        <w:ind w:firstLine="640"/>
        <w:rPr>
          <w:rFonts w:hint="eastAsia" w:hAnsi="仿宋" w:cs="仿宋_GB2312"/>
          <w:color w:val="auto"/>
          <w:highlight w:val="none"/>
        </w:rPr>
      </w:pPr>
      <w:r>
        <w:rPr>
          <w:rFonts w:hint="eastAsia" w:hAnsi="仿宋" w:cs="仿宋_GB2312"/>
          <w:color w:val="auto"/>
          <w:highlight w:val="none"/>
        </w:rPr>
        <w:t>（三）法定代表人及受委托人身份证复印件（复印件加盖公章）。</w:t>
      </w:r>
    </w:p>
    <w:p>
      <w:pPr>
        <w:ind w:firstLine="640"/>
        <w:rPr>
          <w:rFonts w:hint="eastAsia" w:hAnsi="仿宋" w:cs="仿宋_GB2312"/>
          <w:color w:val="auto"/>
          <w:highlight w:val="none"/>
        </w:rPr>
      </w:pPr>
      <w:r>
        <w:rPr>
          <w:rFonts w:hint="eastAsia" w:hAnsi="仿宋" w:cs="仿宋_GB2312"/>
          <w:color w:val="auto"/>
          <w:highlight w:val="none"/>
        </w:rPr>
        <w:t>（四）项目方案及报价单（原件加盖公章）。</w:t>
      </w:r>
    </w:p>
    <w:p>
      <w:pPr>
        <w:ind w:firstLine="640"/>
        <w:rPr>
          <w:rFonts w:hint="eastAsia" w:hAnsi="仿宋" w:cs="仿宋_GB2312"/>
          <w:color w:val="auto"/>
          <w:highlight w:val="none"/>
        </w:rPr>
      </w:pPr>
      <w:r>
        <w:rPr>
          <w:rFonts w:hint="eastAsia" w:hAnsi="仿宋" w:cs="仿宋_GB2312"/>
          <w:color w:val="auto"/>
          <w:highlight w:val="none"/>
        </w:rPr>
        <w:t>（五）投标人相关领域/项目经验证明材料（复印件加盖公章）。</w:t>
      </w:r>
    </w:p>
    <w:p>
      <w:pPr>
        <w:ind w:firstLine="640"/>
        <w:rPr>
          <w:rFonts w:hint="eastAsia" w:hAnsi="仿宋" w:cs="仿宋_GB2312"/>
          <w:color w:val="auto"/>
          <w:highlight w:val="none"/>
        </w:rPr>
      </w:pPr>
      <w:r>
        <w:rPr>
          <w:rFonts w:hint="eastAsia" w:hAnsi="仿宋" w:cs="仿宋_GB2312"/>
          <w:color w:val="auto"/>
          <w:highlight w:val="none"/>
        </w:rPr>
        <w:t>（六）投标人无重大违法记录声明函（原件加盖公章，格式自拟）。</w:t>
      </w:r>
    </w:p>
    <w:p>
      <w:pPr>
        <w:ind w:firstLine="640"/>
        <w:rPr>
          <w:rFonts w:hint="eastAsia" w:hAnsi="仿宋" w:cs="仿宋_GB2312"/>
          <w:color w:val="auto"/>
          <w:highlight w:val="none"/>
        </w:rPr>
      </w:pPr>
      <w:r>
        <w:rPr>
          <w:rFonts w:hint="eastAsia" w:hAnsi="仿宋" w:cs="仿宋_GB2312"/>
          <w:color w:val="auto"/>
          <w:highlight w:val="none"/>
        </w:rPr>
        <w:t>（七）投标及履约承诺函原件（格式见附件）。</w:t>
      </w:r>
    </w:p>
    <w:p>
      <w:pPr>
        <w:ind w:firstLine="640"/>
        <w:rPr>
          <w:rFonts w:hint="eastAsia" w:hAnsi="仿宋" w:cs="仿宋_GB2312"/>
          <w:color w:val="auto"/>
          <w:highlight w:val="none"/>
        </w:rPr>
      </w:pPr>
      <w:r>
        <w:rPr>
          <w:rFonts w:hint="eastAsia" w:hAnsi="仿宋" w:cs="仿宋_GB2312"/>
          <w:color w:val="auto"/>
          <w:highlight w:val="none"/>
        </w:rPr>
        <w:t>（</w:t>
      </w:r>
      <w:r>
        <w:rPr>
          <w:rFonts w:hint="eastAsia" w:hAnsi="仿宋" w:cs="仿宋_GB2312"/>
          <w:color w:val="auto"/>
          <w:highlight w:val="none"/>
          <w:lang w:val="en-US" w:eastAsia="zh-CN"/>
        </w:rPr>
        <w:t>八</w:t>
      </w:r>
      <w:r>
        <w:rPr>
          <w:rFonts w:hint="eastAsia" w:hAnsi="仿宋" w:cs="仿宋_GB2312"/>
          <w:color w:val="auto"/>
          <w:highlight w:val="none"/>
        </w:rPr>
        <w:t>）投标人认为有必要提供的其它材料。</w:t>
      </w:r>
    </w:p>
    <w:p>
      <w:pPr>
        <w:ind w:firstLine="640"/>
        <w:rPr>
          <w:rFonts w:hint="eastAsia" w:ascii="仿宋" w:hAnsi="仿宋" w:eastAsia="仿宋" w:cs="仿宋_GB2312"/>
          <w:color w:val="auto"/>
          <w:highlight w:val="none"/>
        </w:rPr>
      </w:pPr>
      <w:r>
        <w:rPr>
          <w:rFonts w:hint="eastAsia" w:hAnsi="仿宋" w:cs="仿宋_GB2312"/>
          <w:color w:val="auto"/>
          <w:highlight w:val="none"/>
        </w:rPr>
        <w:t>投标文件一式五份，整套纸质材料密封并加盖骑缝章，封面注明</w:t>
      </w:r>
      <w:r>
        <w:rPr>
          <w:rFonts w:hAnsi="仿宋" w:cs="仿宋_GB2312"/>
          <w:color w:val="auto"/>
          <w:highlight w:val="none"/>
        </w:rPr>
        <w:t>项目名称</w:t>
      </w:r>
      <w:r>
        <w:rPr>
          <w:rFonts w:hint="eastAsia" w:hAnsi="仿宋" w:cs="仿宋_GB2312"/>
          <w:color w:val="auto"/>
          <w:highlight w:val="none"/>
          <w:lang w:eastAsia="zh-CN"/>
        </w:rPr>
        <w:t>、</w:t>
      </w:r>
      <w:r>
        <w:rPr>
          <w:rFonts w:hint="eastAsia" w:hAnsi="仿宋" w:cs="仿宋_GB2312"/>
          <w:color w:val="auto"/>
          <w:highlight w:val="none"/>
        </w:rPr>
        <w:t>投标人的名称、地址、联系人及手机号码。</w:t>
      </w:r>
    </w:p>
    <w:p>
      <w:pPr>
        <w:ind w:firstLine="640"/>
        <w:rPr>
          <w:rFonts w:hint="eastAsia" w:ascii="黑体" w:hAnsi="黑体" w:eastAsia="黑体"/>
          <w:color w:val="auto"/>
          <w:highlight w:val="none"/>
        </w:rPr>
      </w:pPr>
      <w:r>
        <w:rPr>
          <w:rFonts w:hint="eastAsia" w:ascii="黑体" w:hAnsi="黑体" w:eastAsia="黑体"/>
          <w:color w:val="auto"/>
          <w:highlight w:val="none"/>
        </w:rPr>
        <w:t>九、重要提示</w:t>
      </w:r>
    </w:p>
    <w:p>
      <w:pPr>
        <w:ind w:firstLine="640"/>
        <w:rPr>
          <w:rFonts w:hint="eastAsia" w:hAnsi="仿宋" w:cs="仿宋_GB2312"/>
          <w:color w:val="auto"/>
          <w:highlight w:val="none"/>
        </w:rPr>
      </w:pPr>
      <w:r>
        <w:rPr>
          <w:rFonts w:hint="eastAsia" w:hAnsi="仿宋" w:cs="仿宋_GB2312"/>
          <w:color w:val="auto"/>
          <w:highlight w:val="none"/>
        </w:rPr>
        <w:t>投标单位有下列情况之一的，其投标将被拒绝或作无效投标处理：</w:t>
      </w:r>
    </w:p>
    <w:p>
      <w:pPr>
        <w:ind w:firstLine="640"/>
        <w:rPr>
          <w:rFonts w:hint="eastAsia" w:hAnsi="仿宋" w:cs="仿宋_GB2312"/>
          <w:color w:val="auto"/>
          <w:highlight w:val="none"/>
        </w:rPr>
      </w:pPr>
      <w:r>
        <w:rPr>
          <w:rFonts w:hint="eastAsia" w:hAnsi="仿宋" w:cs="仿宋_GB2312"/>
          <w:color w:val="auto"/>
          <w:highlight w:val="none"/>
        </w:rPr>
        <w:t>（一）未在规定时间内将投标文件送达规定地点的。</w:t>
      </w:r>
    </w:p>
    <w:p>
      <w:pPr>
        <w:ind w:firstLine="640"/>
        <w:rPr>
          <w:rFonts w:hint="eastAsia" w:hAnsi="仿宋" w:cs="仿宋_GB2312"/>
          <w:color w:val="auto"/>
          <w:highlight w:val="none"/>
        </w:rPr>
      </w:pPr>
      <w:r>
        <w:rPr>
          <w:rFonts w:hint="eastAsia" w:hAnsi="仿宋" w:cs="仿宋_GB2312"/>
          <w:color w:val="auto"/>
          <w:highlight w:val="none"/>
        </w:rPr>
        <w:t>（二）投标人不具备投标资格要求，或未提交相应资格证明材料。</w:t>
      </w:r>
    </w:p>
    <w:p>
      <w:pPr>
        <w:ind w:firstLine="640"/>
        <w:rPr>
          <w:rFonts w:hint="eastAsia" w:hAnsi="仿宋" w:cs="仿宋_GB2312"/>
          <w:color w:val="auto"/>
          <w:highlight w:val="none"/>
        </w:rPr>
      </w:pPr>
      <w:r>
        <w:rPr>
          <w:rFonts w:hint="eastAsia" w:hAnsi="仿宋" w:cs="仿宋_GB2312"/>
          <w:color w:val="auto"/>
          <w:highlight w:val="none"/>
        </w:rPr>
        <w:t>（三）投标文件未按规定密封、签字、盖章。</w:t>
      </w:r>
    </w:p>
    <w:p>
      <w:pPr>
        <w:ind w:firstLine="640"/>
        <w:rPr>
          <w:rFonts w:hint="eastAsia" w:hAnsi="仿宋" w:cs="仿宋_GB2312"/>
          <w:color w:val="auto"/>
          <w:highlight w:val="none"/>
        </w:rPr>
      </w:pPr>
      <w:r>
        <w:rPr>
          <w:rFonts w:hint="eastAsia" w:hAnsi="仿宋" w:cs="仿宋_GB2312"/>
          <w:color w:val="auto"/>
          <w:highlight w:val="none"/>
        </w:rPr>
        <w:t>（四）投标文件无法定代表人签字或无法定代表人有效授权委托的。</w:t>
      </w:r>
    </w:p>
    <w:p>
      <w:pPr>
        <w:ind w:firstLine="640"/>
        <w:rPr>
          <w:rFonts w:hint="eastAsia" w:hAnsi="仿宋" w:cs="仿宋_GB2312"/>
          <w:color w:val="auto"/>
          <w:highlight w:val="none"/>
        </w:rPr>
      </w:pPr>
      <w:r>
        <w:rPr>
          <w:rFonts w:hint="eastAsia" w:hAnsi="仿宋" w:cs="仿宋_GB2312"/>
          <w:color w:val="auto"/>
          <w:highlight w:val="none"/>
        </w:rPr>
        <w:t>（五）分项报价或投标总价高于预算金额（最高投标限价）的。</w:t>
      </w:r>
    </w:p>
    <w:p>
      <w:pPr>
        <w:ind w:firstLine="640"/>
        <w:rPr>
          <w:rFonts w:hint="eastAsia" w:hAnsi="仿宋" w:cs="仿宋_GB2312"/>
          <w:color w:val="auto"/>
          <w:highlight w:val="none"/>
        </w:rPr>
      </w:pPr>
      <w:r>
        <w:rPr>
          <w:rFonts w:hint="eastAsia" w:hAnsi="仿宋" w:cs="仿宋_GB2312"/>
          <w:color w:val="auto"/>
          <w:highlight w:val="none"/>
        </w:rPr>
        <w:t>（六）同一项目出现两个及以上报价，且按规定无法确定哪个是有效报价。</w:t>
      </w:r>
    </w:p>
    <w:p>
      <w:pPr>
        <w:ind w:firstLine="640"/>
        <w:rPr>
          <w:rFonts w:hint="eastAsia" w:hAnsi="仿宋" w:cs="仿宋_GB2312"/>
          <w:color w:val="auto"/>
          <w:highlight w:val="none"/>
        </w:rPr>
      </w:pPr>
      <w:r>
        <w:rPr>
          <w:rFonts w:hint="eastAsia" w:hAnsi="仿宋" w:cs="仿宋_GB2312"/>
          <w:color w:val="auto"/>
          <w:highlight w:val="none"/>
        </w:rPr>
        <w: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pPr>
        <w:ind w:firstLine="640"/>
        <w:rPr>
          <w:rFonts w:hint="eastAsia" w:hAnsi="仿宋" w:cs="仿宋_GB2312"/>
          <w:color w:val="auto"/>
          <w:highlight w:val="none"/>
        </w:rPr>
      </w:pPr>
      <w:r>
        <w:rPr>
          <w:rFonts w:hint="eastAsia" w:hAnsi="仿宋" w:cs="仿宋_GB2312"/>
          <w:color w:val="auto"/>
          <w:highlight w:val="none"/>
        </w:rPr>
        <w:t>（八）所投服务在质量、技术、方案等方面没有实质性满足招标文件要求。</w:t>
      </w:r>
    </w:p>
    <w:p>
      <w:pPr>
        <w:ind w:firstLine="640"/>
        <w:rPr>
          <w:rFonts w:hint="eastAsia" w:hAnsi="仿宋" w:cs="仿宋_GB2312"/>
          <w:color w:val="auto"/>
          <w:highlight w:val="none"/>
        </w:rPr>
      </w:pPr>
      <w:r>
        <w:rPr>
          <w:rFonts w:hint="eastAsia" w:hAnsi="仿宋" w:cs="仿宋_GB2312"/>
          <w:color w:val="auto"/>
          <w:highlight w:val="none"/>
        </w:rPr>
        <w:t>（九）法律、法规规定的其他情形。</w:t>
      </w:r>
    </w:p>
    <w:p>
      <w:pPr>
        <w:ind w:firstLine="640"/>
        <w:rPr>
          <w:rFonts w:hint="eastAsia" w:ascii="黑体" w:hAnsi="黑体" w:eastAsia="黑体"/>
          <w:color w:val="auto"/>
          <w:highlight w:val="none"/>
        </w:rPr>
      </w:pPr>
      <w:r>
        <w:rPr>
          <w:rFonts w:hint="eastAsia" w:ascii="黑体" w:hAnsi="黑体" w:eastAsia="黑体"/>
          <w:color w:val="auto"/>
          <w:highlight w:val="none"/>
        </w:rPr>
        <w:t>十、评标方法</w:t>
      </w:r>
    </w:p>
    <w:p>
      <w:pPr>
        <w:widowControl/>
        <w:adjustRightInd/>
        <w:snapToGrid/>
        <w:ind w:firstLine="640"/>
        <w:rPr>
          <w:rFonts w:hint="eastAsia" w:ascii="楷体_GB2312" w:hAnsi="黑体" w:eastAsia="楷体_GB2312" w:cs="黑体"/>
          <w:color w:val="auto"/>
          <w:highlight w:val="none"/>
        </w:rPr>
      </w:pPr>
      <w:r>
        <w:rPr>
          <w:rFonts w:hint="eastAsia" w:ascii="楷体_GB2312" w:hAnsi="黑体" w:eastAsia="楷体_GB2312" w:cs="黑体"/>
          <w:color w:val="auto"/>
          <w:highlight w:val="none"/>
        </w:rPr>
        <w:t>（一）评分规则</w:t>
      </w:r>
    </w:p>
    <w:p>
      <w:pPr>
        <w:ind w:firstLine="640"/>
        <w:rPr>
          <w:rFonts w:hint="eastAsia" w:ascii="黑体" w:hAnsi="黑体" w:eastAsia="黑体" w:cs="仿宋_GB2312"/>
          <w:bCs/>
          <w:color w:val="auto"/>
          <w:highlight w:val="none"/>
        </w:rPr>
      </w:pPr>
      <w:r>
        <w:rPr>
          <w:rFonts w:hint="eastAsia"/>
          <w:color w:val="auto"/>
          <w:highlight w:val="none"/>
        </w:rPr>
        <w:t>评标采用综合评分法。确定中标供应商按评审后得分由高到低顺序排列。得分相同的，按投标报价由低到高顺序排列。得分且投标报价相同的，按技术或服务方案优劣顺序排列。</w:t>
      </w:r>
    </w:p>
    <w:p>
      <w:pPr>
        <w:widowControl/>
        <w:adjustRightInd/>
        <w:snapToGrid/>
        <w:ind w:firstLine="640"/>
        <w:rPr>
          <w:rFonts w:hint="eastAsia" w:ascii="楷体_GB2312" w:hAnsi="黑体" w:eastAsia="楷体_GB2312" w:cs="黑体"/>
          <w:color w:val="auto"/>
          <w:highlight w:val="none"/>
        </w:rPr>
      </w:pPr>
      <w:r>
        <w:rPr>
          <w:rFonts w:hint="eastAsia" w:ascii="楷体_GB2312" w:hAnsi="黑体" w:eastAsia="楷体_GB2312" w:cs="黑体"/>
          <w:color w:val="auto"/>
          <w:highlight w:val="none"/>
        </w:rPr>
        <w:t>（二）评分权重</w:t>
      </w:r>
    </w:p>
    <w:tbl>
      <w:tblPr>
        <w:tblStyle w:val="14"/>
        <w:tblW w:w="9360"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883"/>
        <w:gridCol w:w="1681"/>
        <w:gridCol w:w="1724"/>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pStyle w:val="18"/>
              <w:spacing w:line="360" w:lineRule="auto"/>
              <w:ind w:firstLine="0" w:firstLineChars="0"/>
              <w:jc w:val="center"/>
              <w:rPr>
                <w:rFonts w:hint="eastAsia" w:ascii="仿宋_GB2312" w:hAnsi="仿宋_GB2312" w:cs="仿宋_GB2312"/>
                <w:bCs/>
                <w:color w:val="auto"/>
                <w:szCs w:val="24"/>
                <w:highlight w:val="none"/>
              </w:rPr>
            </w:pPr>
            <w:r>
              <w:rPr>
                <w:rFonts w:hint="eastAsia" w:ascii="仿宋_GB2312" w:hAnsi="仿宋_GB2312" w:cs="仿宋_GB2312"/>
                <w:bCs/>
                <w:color w:val="auto"/>
                <w:szCs w:val="24"/>
                <w:highlight w:val="none"/>
              </w:rPr>
              <w:t>评分内容</w:t>
            </w:r>
          </w:p>
        </w:tc>
        <w:tc>
          <w:tcPr>
            <w:tcW w:w="1883" w:type="dxa"/>
            <w:vAlign w:val="center"/>
          </w:tcPr>
          <w:p>
            <w:pPr>
              <w:pStyle w:val="18"/>
              <w:spacing w:line="360" w:lineRule="auto"/>
              <w:ind w:firstLine="0" w:firstLineChars="0"/>
              <w:jc w:val="center"/>
              <w:rPr>
                <w:rFonts w:hint="eastAsia" w:ascii="仿宋_GB2312" w:hAnsi="仿宋_GB2312" w:cs="仿宋_GB2312"/>
                <w:bCs/>
                <w:color w:val="auto"/>
                <w:szCs w:val="24"/>
                <w:highlight w:val="none"/>
              </w:rPr>
            </w:pPr>
            <w:r>
              <w:rPr>
                <w:rFonts w:hint="eastAsia" w:ascii="仿宋_GB2312" w:hAnsi="仿宋_GB2312" w:cs="仿宋_GB2312"/>
                <w:bCs/>
                <w:color w:val="auto"/>
                <w:szCs w:val="24"/>
                <w:highlight w:val="none"/>
              </w:rPr>
              <w:t>商务能力</w:t>
            </w:r>
          </w:p>
        </w:tc>
        <w:tc>
          <w:tcPr>
            <w:tcW w:w="1681" w:type="dxa"/>
            <w:vAlign w:val="center"/>
          </w:tcPr>
          <w:p>
            <w:pPr>
              <w:pStyle w:val="18"/>
              <w:spacing w:line="360" w:lineRule="auto"/>
              <w:ind w:firstLine="0" w:firstLineChars="0"/>
              <w:jc w:val="center"/>
              <w:rPr>
                <w:rFonts w:hint="eastAsia" w:ascii="仿宋_GB2312" w:hAnsi="仿宋_GB2312" w:cs="仿宋_GB2312"/>
                <w:bCs/>
                <w:color w:val="auto"/>
                <w:szCs w:val="24"/>
                <w:highlight w:val="none"/>
              </w:rPr>
            </w:pPr>
            <w:r>
              <w:rPr>
                <w:rFonts w:hint="eastAsia" w:ascii="仿宋_GB2312" w:hAnsi="仿宋_GB2312" w:cs="仿宋_GB2312"/>
                <w:bCs/>
                <w:color w:val="auto"/>
                <w:szCs w:val="24"/>
                <w:highlight w:val="none"/>
              </w:rPr>
              <w:t>技术能力</w:t>
            </w:r>
          </w:p>
        </w:tc>
        <w:tc>
          <w:tcPr>
            <w:tcW w:w="1724" w:type="dxa"/>
            <w:vAlign w:val="center"/>
          </w:tcPr>
          <w:p>
            <w:pPr>
              <w:pStyle w:val="18"/>
              <w:spacing w:line="360" w:lineRule="auto"/>
              <w:ind w:firstLine="0" w:firstLineChars="0"/>
              <w:jc w:val="center"/>
              <w:rPr>
                <w:rFonts w:hint="eastAsia" w:ascii="仿宋_GB2312" w:hAnsi="仿宋_GB2312" w:cs="仿宋_GB2312"/>
                <w:bCs/>
                <w:color w:val="auto"/>
                <w:szCs w:val="24"/>
                <w:highlight w:val="none"/>
              </w:rPr>
            </w:pPr>
            <w:r>
              <w:rPr>
                <w:rFonts w:hint="eastAsia" w:ascii="仿宋_GB2312" w:hAnsi="仿宋_GB2312" w:cs="仿宋_GB2312"/>
                <w:bCs/>
                <w:color w:val="auto"/>
                <w:szCs w:val="24"/>
                <w:highlight w:val="none"/>
              </w:rPr>
              <w:t>人员配备</w:t>
            </w:r>
          </w:p>
        </w:tc>
        <w:tc>
          <w:tcPr>
            <w:tcW w:w="1979" w:type="dxa"/>
            <w:vAlign w:val="center"/>
          </w:tcPr>
          <w:p>
            <w:pPr>
              <w:pStyle w:val="18"/>
              <w:spacing w:line="360" w:lineRule="auto"/>
              <w:ind w:firstLine="0" w:firstLineChars="0"/>
              <w:jc w:val="center"/>
              <w:rPr>
                <w:rFonts w:hint="eastAsia" w:ascii="仿宋_GB2312" w:hAnsi="仿宋_GB2312" w:cs="仿宋_GB2312"/>
                <w:bCs/>
                <w:color w:val="auto"/>
                <w:szCs w:val="24"/>
                <w:highlight w:val="none"/>
              </w:rPr>
            </w:pPr>
            <w:r>
              <w:rPr>
                <w:rFonts w:hint="eastAsia" w:ascii="仿宋_GB2312" w:hAnsi="仿宋_GB2312" w:cs="仿宋_GB2312"/>
                <w:bCs/>
                <w:color w:val="auto"/>
                <w:szCs w:val="24"/>
                <w:highlight w:val="none"/>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pStyle w:val="18"/>
              <w:spacing w:line="360" w:lineRule="auto"/>
              <w:ind w:firstLine="0" w:firstLineChars="0"/>
              <w:jc w:val="center"/>
              <w:rPr>
                <w:rFonts w:hint="eastAsia" w:ascii="仿宋_GB2312" w:hAnsi="仿宋_GB2312" w:cs="仿宋_GB2312"/>
                <w:b w:val="0"/>
                <w:bCs/>
                <w:color w:val="auto"/>
                <w:szCs w:val="24"/>
                <w:highlight w:val="none"/>
              </w:rPr>
            </w:pPr>
            <w:r>
              <w:rPr>
                <w:rFonts w:hint="eastAsia" w:ascii="仿宋_GB2312" w:hAnsi="仿宋_GB2312" w:cs="仿宋_GB2312"/>
                <w:b w:val="0"/>
                <w:bCs/>
                <w:color w:val="auto"/>
                <w:szCs w:val="24"/>
                <w:highlight w:val="none"/>
              </w:rPr>
              <w:t>分值</w:t>
            </w:r>
          </w:p>
        </w:tc>
        <w:tc>
          <w:tcPr>
            <w:tcW w:w="1883" w:type="dxa"/>
            <w:vAlign w:val="center"/>
          </w:tcPr>
          <w:p>
            <w:pPr>
              <w:pStyle w:val="18"/>
              <w:spacing w:line="360" w:lineRule="auto"/>
              <w:ind w:firstLine="0" w:firstLineChars="0"/>
              <w:jc w:val="center"/>
              <w:rPr>
                <w:rFonts w:hint="eastAsia" w:ascii="仿宋_GB2312" w:hAnsi="仿宋_GB2312" w:cs="仿宋_GB2312"/>
                <w:b w:val="0"/>
                <w:bCs/>
                <w:color w:val="auto"/>
                <w:szCs w:val="24"/>
                <w:highlight w:val="none"/>
              </w:rPr>
            </w:pPr>
            <w:r>
              <w:rPr>
                <w:rFonts w:hint="eastAsia" w:ascii="仿宋_GB2312" w:hAnsi="仿宋_GB2312" w:cs="仿宋_GB2312"/>
                <w:b w:val="0"/>
                <w:bCs/>
                <w:color w:val="auto"/>
                <w:szCs w:val="24"/>
                <w:highlight w:val="none"/>
              </w:rPr>
              <w:t>25分</w:t>
            </w:r>
          </w:p>
        </w:tc>
        <w:tc>
          <w:tcPr>
            <w:tcW w:w="1681" w:type="dxa"/>
            <w:vAlign w:val="center"/>
          </w:tcPr>
          <w:p>
            <w:pPr>
              <w:pStyle w:val="18"/>
              <w:spacing w:line="360" w:lineRule="auto"/>
              <w:ind w:firstLine="0" w:firstLineChars="0"/>
              <w:jc w:val="center"/>
              <w:rPr>
                <w:rFonts w:hint="eastAsia" w:ascii="仿宋_GB2312" w:hAnsi="仿宋_GB2312" w:cs="仿宋_GB2312"/>
                <w:b w:val="0"/>
                <w:bCs/>
                <w:color w:val="auto"/>
                <w:szCs w:val="24"/>
                <w:highlight w:val="none"/>
              </w:rPr>
            </w:pPr>
            <w:r>
              <w:rPr>
                <w:rFonts w:hint="eastAsia" w:ascii="仿宋_GB2312" w:hAnsi="仿宋_GB2312" w:cs="仿宋_GB2312"/>
                <w:b w:val="0"/>
                <w:bCs/>
                <w:color w:val="auto"/>
                <w:szCs w:val="24"/>
                <w:highlight w:val="none"/>
              </w:rPr>
              <w:t>35分</w:t>
            </w:r>
          </w:p>
        </w:tc>
        <w:tc>
          <w:tcPr>
            <w:tcW w:w="1724" w:type="dxa"/>
            <w:vAlign w:val="center"/>
          </w:tcPr>
          <w:p>
            <w:pPr>
              <w:pStyle w:val="18"/>
              <w:spacing w:line="360" w:lineRule="auto"/>
              <w:ind w:firstLine="0" w:firstLineChars="0"/>
              <w:jc w:val="center"/>
              <w:rPr>
                <w:rFonts w:hint="eastAsia" w:ascii="仿宋_GB2312" w:hAnsi="仿宋_GB2312" w:cs="仿宋_GB2312"/>
                <w:b w:val="0"/>
                <w:bCs/>
                <w:color w:val="auto"/>
                <w:szCs w:val="24"/>
                <w:highlight w:val="none"/>
              </w:rPr>
            </w:pPr>
            <w:r>
              <w:rPr>
                <w:rFonts w:hint="eastAsia" w:ascii="仿宋_GB2312" w:hAnsi="仿宋_GB2312" w:cs="仿宋_GB2312"/>
                <w:b w:val="0"/>
                <w:bCs/>
                <w:color w:val="auto"/>
                <w:szCs w:val="24"/>
                <w:highlight w:val="none"/>
              </w:rPr>
              <w:t>20分</w:t>
            </w:r>
          </w:p>
        </w:tc>
        <w:tc>
          <w:tcPr>
            <w:tcW w:w="1979" w:type="dxa"/>
            <w:vAlign w:val="center"/>
          </w:tcPr>
          <w:p>
            <w:pPr>
              <w:pStyle w:val="18"/>
              <w:spacing w:line="360" w:lineRule="auto"/>
              <w:ind w:firstLine="0" w:firstLineChars="0"/>
              <w:jc w:val="center"/>
              <w:rPr>
                <w:rFonts w:hint="eastAsia" w:ascii="仿宋_GB2312" w:hAnsi="仿宋_GB2312" w:cs="仿宋_GB2312"/>
                <w:b w:val="0"/>
                <w:bCs/>
                <w:color w:val="auto"/>
                <w:szCs w:val="24"/>
                <w:highlight w:val="none"/>
              </w:rPr>
            </w:pPr>
            <w:r>
              <w:rPr>
                <w:rFonts w:hint="eastAsia" w:ascii="仿宋_GB2312" w:hAnsi="仿宋_GB2312" w:cs="仿宋_GB2312"/>
                <w:b w:val="0"/>
                <w:bCs/>
                <w:color w:val="auto"/>
                <w:szCs w:val="24"/>
                <w:highlight w:val="none"/>
              </w:rPr>
              <w:t>20分</w:t>
            </w:r>
          </w:p>
        </w:tc>
      </w:tr>
    </w:tbl>
    <w:p>
      <w:pPr>
        <w:widowControl/>
        <w:adjustRightInd/>
        <w:snapToGrid/>
        <w:ind w:firstLine="0"/>
        <w:rPr>
          <w:rFonts w:hint="eastAsia" w:ascii="楷体_GB2312" w:hAnsi="黑体" w:eastAsia="楷体_GB2312" w:cs="黑体"/>
          <w:color w:val="auto"/>
          <w:highlight w:val="none"/>
        </w:rPr>
      </w:pPr>
      <w:r>
        <w:rPr>
          <w:rFonts w:hint="eastAsia" w:ascii="楷体_GB2312" w:hAnsi="黑体" w:eastAsia="楷体_GB2312" w:cs="黑体"/>
          <w:color w:val="auto"/>
          <w:highlight w:val="none"/>
        </w:rPr>
        <w:br w:type="page"/>
      </w:r>
    </w:p>
    <w:p>
      <w:pPr>
        <w:widowControl/>
        <w:adjustRightInd/>
        <w:snapToGrid/>
        <w:ind w:firstLine="640"/>
        <w:rPr>
          <w:rFonts w:hint="eastAsia" w:ascii="楷体_GB2312" w:hAnsi="黑体" w:eastAsia="楷体_GB2312" w:cs="黑体"/>
          <w:color w:val="auto"/>
          <w:highlight w:val="none"/>
        </w:rPr>
      </w:pPr>
      <w:r>
        <w:rPr>
          <w:rFonts w:hint="eastAsia" w:ascii="楷体_GB2312" w:hAnsi="黑体" w:eastAsia="楷体_GB2312" w:cs="黑体"/>
          <w:color w:val="auto"/>
          <w:highlight w:val="none"/>
        </w:rPr>
        <w:t>（三）评分标准</w:t>
      </w:r>
    </w:p>
    <w:p>
      <w:pPr>
        <w:ind w:firstLine="640"/>
        <w:rPr>
          <w:rFonts w:hint="eastAsia"/>
          <w:color w:val="auto"/>
          <w:highlight w:val="none"/>
        </w:rPr>
      </w:pPr>
      <w:r>
        <w:rPr>
          <w:rFonts w:hint="eastAsia"/>
          <w:color w:val="auto"/>
          <w:highlight w:val="none"/>
        </w:rPr>
        <w:t>1.商务能力</w:t>
      </w:r>
    </w:p>
    <w:tbl>
      <w:tblPr>
        <w:tblStyle w:val="14"/>
        <w:tblW w:w="9360"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200"/>
        <w:gridCol w:w="3870"/>
        <w:gridCol w:w="3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926" w:type="dxa"/>
            <w:gridSpan w:val="3"/>
            <w:vAlign w:val="center"/>
          </w:tcPr>
          <w:p>
            <w:pPr>
              <w:widowControl/>
              <w:ind w:firstLine="0" w:firstLineChars="0"/>
              <w:jc w:val="center"/>
              <w:rPr>
                <w:rFonts w:cs="仿宋_GB2312"/>
                <w:b/>
                <w:bCs/>
                <w:color w:val="auto"/>
                <w:kern w:val="0"/>
                <w:sz w:val="24"/>
                <w:highlight w:val="none"/>
              </w:rPr>
            </w:pPr>
            <w:r>
              <w:rPr>
                <w:rFonts w:hint="eastAsia" w:cs="仿宋_GB2312"/>
                <w:b/>
                <w:bCs/>
                <w:color w:val="auto"/>
                <w:kern w:val="0"/>
                <w:sz w:val="24"/>
                <w:highlight w:val="none"/>
              </w:rPr>
              <w:t>项目</w:t>
            </w:r>
          </w:p>
        </w:tc>
        <w:tc>
          <w:tcPr>
            <w:tcW w:w="3434" w:type="dxa"/>
            <w:vAlign w:val="center"/>
          </w:tcPr>
          <w:p>
            <w:pPr>
              <w:widowControl/>
              <w:ind w:firstLine="0" w:firstLineChars="0"/>
              <w:jc w:val="center"/>
              <w:rPr>
                <w:rFonts w:cs="仿宋_GB2312"/>
                <w:b/>
                <w:bCs/>
                <w:color w:val="auto"/>
                <w:kern w:val="0"/>
                <w:sz w:val="24"/>
                <w:highlight w:val="none"/>
              </w:rPr>
            </w:pPr>
            <w:r>
              <w:rPr>
                <w:rFonts w:hint="eastAsia" w:cs="仿宋_GB2312"/>
                <w:b/>
                <w:bCs/>
                <w:color w:val="auto"/>
                <w:kern w:val="0"/>
                <w:sz w:val="24"/>
                <w:highlight w:val="none"/>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3" w:hRule="atLeast"/>
        </w:trPr>
        <w:tc>
          <w:tcPr>
            <w:tcW w:w="856" w:type="dxa"/>
            <w:vMerge w:val="restart"/>
            <w:vAlign w:val="center"/>
          </w:tcPr>
          <w:p>
            <w:pPr>
              <w:ind w:firstLine="0" w:firstLineChars="0"/>
              <w:rPr>
                <w:rFonts w:cs="仿宋_GB2312"/>
                <w:bCs/>
                <w:color w:val="auto"/>
                <w:sz w:val="24"/>
                <w:szCs w:val="24"/>
                <w:highlight w:val="none"/>
              </w:rPr>
            </w:pPr>
            <w:r>
              <w:rPr>
                <w:rFonts w:hint="eastAsia" w:cs="仿宋_GB2312"/>
                <w:bCs/>
                <w:color w:val="auto"/>
                <w:sz w:val="24"/>
                <w:szCs w:val="24"/>
                <w:highlight w:val="none"/>
              </w:rPr>
              <w:t>商务能力评分25分</w:t>
            </w:r>
          </w:p>
        </w:tc>
        <w:tc>
          <w:tcPr>
            <w:tcW w:w="1200" w:type="dxa"/>
            <w:vAlign w:val="center"/>
          </w:tcPr>
          <w:p>
            <w:pPr>
              <w:spacing w:line="312" w:lineRule="auto"/>
              <w:ind w:firstLine="0" w:firstLineChars="0"/>
              <w:jc w:val="center"/>
              <w:rPr>
                <w:rFonts w:cs="仿宋_GB2312"/>
                <w:bCs/>
                <w:color w:val="auto"/>
                <w:sz w:val="24"/>
                <w:szCs w:val="24"/>
                <w:highlight w:val="none"/>
              </w:rPr>
            </w:pPr>
            <w:r>
              <w:rPr>
                <w:rFonts w:hint="eastAsia" w:cs="仿宋_GB2312"/>
                <w:bCs/>
                <w:color w:val="auto"/>
                <w:sz w:val="24"/>
                <w:szCs w:val="24"/>
                <w:highlight w:val="none"/>
              </w:rPr>
              <w:t>经验</w:t>
            </w:r>
          </w:p>
          <w:p>
            <w:pPr>
              <w:spacing w:line="312" w:lineRule="auto"/>
              <w:ind w:firstLine="0" w:firstLineChars="0"/>
              <w:jc w:val="center"/>
              <w:rPr>
                <w:rFonts w:cs="仿宋_GB2312"/>
                <w:bCs/>
                <w:color w:val="auto"/>
                <w:kern w:val="0"/>
                <w:sz w:val="24"/>
                <w:szCs w:val="24"/>
                <w:highlight w:val="none"/>
              </w:rPr>
            </w:pPr>
            <w:r>
              <w:rPr>
                <w:rFonts w:hint="eastAsia" w:cs="仿宋_GB2312"/>
                <w:bCs/>
                <w:color w:val="auto"/>
                <w:sz w:val="24"/>
                <w:szCs w:val="24"/>
                <w:highlight w:val="none"/>
              </w:rPr>
              <w:t>（10分）</w:t>
            </w:r>
          </w:p>
        </w:tc>
        <w:tc>
          <w:tcPr>
            <w:tcW w:w="3870" w:type="dxa"/>
            <w:vAlign w:val="center"/>
          </w:tcPr>
          <w:p>
            <w:pPr>
              <w:spacing w:line="240" w:lineRule="auto"/>
              <w:ind w:firstLine="0" w:firstLineChars="0"/>
              <w:rPr>
                <w:rFonts w:cs="仿宋_GB2312"/>
                <w:bCs/>
                <w:color w:val="auto"/>
                <w:sz w:val="24"/>
                <w:szCs w:val="24"/>
                <w:highlight w:val="none"/>
              </w:rPr>
            </w:pPr>
            <w:r>
              <w:rPr>
                <w:rFonts w:hint="eastAsia" w:cs="仿宋_GB2312"/>
                <w:bCs/>
                <w:color w:val="auto"/>
                <w:sz w:val="24"/>
                <w:szCs w:val="24"/>
                <w:highlight w:val="none"/>
              </w:rPr>
              <w:t>自</w:t>
            </w:r>
            <w:r>
              <w:rPr>
                <w:rFonts w:cs="仿宋_GB2312"/>
                <w:bCs/>
                <w:color w:val="auto"/>
                <w:sz w:val="24"/>
                <w:szCs w:val="24"/>
                <w:highlight w:val="none"/>
              </w:rPr>
              <w:t>20</w:t>
            </w:r>
            <w:r>
              <w:rPr>
                <w:rFonts w:hint="eastAsia" w:cs="仿宋_GB2312"/>
                <w:bCs/>
                <w:color w:val="auto"/>
                <w:sz w:val="24"/>
                <w:szCs w:val="24"/>
                <w:highlight w:val="none"/>
              </w:rPr>
              <w:t>18</w:t>
            </w:r>
            <w:r>
              <w:rPr>
                <w:rFonts w:cs="仿宋_GB2312"/>
                <w:bCs/>
                <w:color w:val="auto"/>
                <w:sz w:val="24"/>
                <w:szCs w:val="24"/>
                <w:highlight w:val="none"/>
              </w:rPr>
              <w:t>年1月1日至今（以合同签订时间或中标通知书落款时间为准），承担过类似项目：</w:t>
            </w:r>
          </w:p>
          <w:p>
            <w:pPr>
              <w:spacing w:line="240" w:lineRule="auto"/>
              <w:ind w:firstLine="0" w:firstLineChars="0"/>
              <w:rPr>
                <w:rFonts w:cs="仿宋_GB2312"/>
                <w:bCs/>
                <w:color w:val="auto"/>
                <w:sz w:val="24"/>
                <w:szCs w:val="24"/>
                <w:highlight w:val="none"/>
              </w:rPr>
            </w:pPr>
            <w:r>
              <w:rPr>
                <w:rFonts w:cs="仿宋_GB2312"/>
                <w:bCs/>
                <w:color w:val="auto"/>
                <w:sz w:val="24"/>
                <w:szCs w:val="24"/>
                <w:highlight w:val="none"/>
              </w:rPr>
              <w:t>1.</w:t>
            </w:r>
            <w:r>
              <w:rPr>
                <w:rFonts w:hint="eastAsia" w:cs="仿宋_GB2312"/>
                <w:bCs/>
                <w:color w:val="auto"/>
                <w:sz w:val="24"/>
                <w:szCs w:val="24"/>
                <w:highlight w:val="none"/>
              </w:rPr>
              <w:t>承担过市、区经济、产业领域相关项目，每个项目得2分，同一项业绩仅计算一个方向。</w:t>
            </w:r>
          </w:p>
          <w:p>
            <w:pPr>
              <w:spacing w:line="240" w:lineRule="auto"/>
              <w:ind w:firstLine="0" w:firstLineChars="0"/>
              <w:rPr>
                <w:rFonts w:cs="仿宋_GB2312"/>
                <w:bCs/>
                <w:color w:val="auto"/>
                <w:sz w:val="24"/>
                <w:szCs w:val="24"/>
                <w:highlight w:val="none"/>
              </w:rPr>
            </w:pPr>
            <w:r>
              <w:rPr>
                <w:rFonts w:cs="仿宋_GB2312"/>
                <w:bCs/>
                <w:color w:val="auto"/>
                <w:sz w:val="24"/>
                <w:szCs w:val="24"/>
                <w:highlight w:val="none"/>
              </w:rPr>
              <w:t>2.</w:t>
            </w:r>
            <w:r>
              <w:rPr>
                <w:rFonts w:hint="eastAsia" w:cs="仿宋_GB2312"/>
                <w:bCs/>
                <w:color w:val="auto"/>
                <w:sz w:val="24"/>
                <w:szCs w:val="24"/>
                <w:highlight w:val="none"/>
              </w:rPr>
              <w:t>本项满分10分。</w:t>
            </w:r>
          </w:p>
        </w:tc>
        <w:tc>
          <w:tcPr>
            <w:tcW w:w="3434" w:type="dxa"/>
            <w:vAlign w:val="center"/>
          </w:tcPr>
          <w:p>
            <w:pPr>
              <w:spacing w:line="240" w:lineRule="auto"/>
              <w:ind w:firstLine="0" w:firstLineChars="0"/>
              <w:rPr>
                <w:rFonts w:cs="仿宋_GB2312"/>
                <w:bCs/>
                <w:color w:val="auto"/>
                <w:sz w:val="24"/>
                <w:szCs w:val="24"/>
                <w:highlight w:val="none"/>
              </w:rPr>
            </w:pPr>
            <w:r>
              <w:rPr>
                <w:rFonts w:cs="仿宋_GB2312"/>
                <w:bCs/>
                <w:color w:val="auto"/>
                <w:sz w:val="24"/>
                <w:szCs w:val="24"/>
                <w:highlight w:val="none"/>
              </w:rPr>
              <w:t>1.投标人须提供项目合同关键页或中标通知书原件扫描件，作为得分依据。未提供或提供不清晰导致无法判断的，不得分。</w:t>
            </w:r>
          </w:p>
          <w:p>
            <w:pPr>
              <w:spacing w:line="240" w:lineRule="auto"/>
              <w:ind w:firstLine="0" w:firstLineChars="0"/>
              <w:rPr>
                <w:rFonts w:cs="仿宋_GB2312"/>
                <w:bCs/>
                <w:color w:val="auto"/>
                <w:sz w:val="24"/>
                <w:szCs w:val="24"/>
                <w:highlight w:val="none"/>
              </w:rPr>
            </w:pPr>
            <w:r>
              <w:rPr>
                <w:rFonts w:cs="仿宋_GB2312"/>
                <w:bCs/>
                <w:color w:val="auto"/>
                <w:sz w:val="24"/>
                <w:szCs w:val="24"/>
                <w:highlight w:val="none"/>
              </w:rPr>
              <w:t>2.以上资料均要求提供扫描件，原件备查。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6" w:type="dxa"/>
            <w:vMerge w:val="continue"/>
            <w:vAlign w:val="center"/>
          </w:tcPr>
          <w:p>
            <w:pPr>
              <w:ind w:firstLine="0" w:firstLineChars="0"/>
              <w:jc w:val="center"/>
              <w:rPr>
                <w:rFonts w:cs="仿宋_GB2312"/>
                <w:bCs/>
                <w:color w:val="auto"/>
                <w:sz w:val="24"/>
                <w:highlight w:val="none"/>
              </w:rPr>
            </w:pPr>
          </w:p>
        </w:tc>
        <w:tc>
          <w:tcPr>
            <w:tcW w:w="1200" w:type="dxa"/>
            <w:vAlign w:val="center"/>
          </w:tcPr>
          <w:p>
            <w:pPr>
              <w:spacing w:line="312" w:lineRule="auto"/>
              <w:ind w:firstLine="0" w:firstLineChars="0"/>
              <w:jc w:val="center"/>
              <w:rPr>
                <w:rFonts w:cs="仿宋_GB2312"/>
                <w:bCs/>
                <w:color w:val="auto"/>
                <w:sz w:val="24"/>
                <w:szCs w:val="24"/>
                <w:highlight w:val="none"/>
              </w:rPr>
            </w:pPr>
            <w:r>
              <w:rPr>
                <w:rFonts w:hint="eastAsia" w:cs="仿宋_GB2312"/>
                <w:bCs/>
                <w:color w:val="auto"/>
                <w:sz w:val="24"/>
                <w:szCs w:val="24"/>
                <w:highlight w:val="none"/>
              </w:rPr>
              <w:t>获奖情况</w:t>
            </w:r>
          </w:p>
          <w:p>
            <w:pPr>
              <w:spacing w:line="312" w:lineRule="auto"/>
              <w:ind w:firstLine="0" w:firstLineChars="0"/>
              <w:rPr>
                <w:rFonts w:cs="仿宋_GB2312"/>
                <w:bCs/>
                <w:color w:val="auto"/>
                <w:sz w:val="24"/>
                <w:szCs w:val="24"/>
                <w:highlight w:val="none"/>
              </w:rPr>
            </w:pPr>
            <w:r>
              <w:rPr>
                <w:rFonts w:hint="eastAsia" w:cs="仿宋_GB2312"/>
                <w:bCs/>
                <w:color w:val="auto"/>
                <w:sz w:val="24"/>
                <w:szCs w:val="24"/>
                <w:highlight w:val="none"/>
              </w:rPr>
              <w:t>（10分）</w:t>
            </w:r>
          </w:p>
        </w:tc>
        <w:tc>
          <w:tcPr>
            <w:tcW w:w="3870" w:type="dxa"/>
            <w:vAlign w:val="center"/>
          </w:tcPr>
          <w:p>
            <w:pPr>
              <w:spacing w:line="240" w:lineRule="auto"/>
              <w:ind w:firstLine="0" w:firstLineChars="0"/>
              <w:rPr>
                <w:rFonts w:cs="仿宋_GB2312"/>
                <w:bCs/>
                <w:color w:val="auto"/>
                <w:sz w:val="24"/>
                <w:szCs w:val="24"/>
                <w:highlight w:val="none"/>
              </w:rPr>
            </w:pPr>
            <w:r>
              <w:rPr>
                <w:rFonts w:hint="eastAsia" w:cs="仿宋_GB2312"/>
                <w:bCs/>
                <w:color w:val="auto"/>
                <w:sz w:val="24"/>
                <w:szCs w:val="24"/>
                <w:highlight w:val="none"/>
              </w:rPr>
              <w:t>投标人获得政府相关部门或机构颁发的研究成果奖项或荣誉：</w:t>
            </w:r>
          </w:p>
          <w:p>
            <w:pPr>
              <w:spacing w:line="240" w:lineRule="auto"/>
              <w:ind w:firstLine="0" w:firstLineChars="0"/>
              <w:rPr>
                <w:rFonts w:cs="仿宋_GB2312"/>
                <w:bCs/>
                <w:color w:val="auto"/>
                <w:sz w:val="24"/>
                <w:szCs w:val="24"/>
                <w:highlight w:val="none"/>
              </w:rPr>
            </w:pPr>
            <w:r>
              <w:rPr>
                <w:rFonts w:hint="eastAsia" w:cs="仿宋_GB2312"/>
                <w:bCs/>
                <w:color w:val="auto"/>
                <w:sz w:val="24"/>
                <w:szCs w:val="24"/>
                <w:highlight w:val="none"/>
              </w:rPr>
              <w:t>1.获得区县级成果奖项或荣誉的，每提供1个得2分，最高得4分；</w:t>
            </w:r>
          </w:p>
          <w:p>
            <w:pPr>
              <w:spacing w:line="240" w:lineRule="auto"/>
              <w:ind w:firstLine="0" w:firstLineChars="0"/>
              <w:rPr>
                <w:rFonts w:cs="仿宋_GB2312"/>
                <w:bCs/>
                <w:color w:val="auto"/>
                <w:sz w:val="24"/>
                <w:szCs w:val="24"/>
                <w:highlight w:val="none"/>
              </w:rPr>
            </w:pPr>
            <w:r>
              <w:rPr>
                <w:rFonts w:hint="eastAsia" w:cs="仿宋_GB2312"/>
                <w:bCs/>
                <w:color w:val="auto"/>
                <w:sz w:val="24"/>
                <w:szCs w:val="24"/>
                <w:highlight w:val="none"/>
              </w:rPr>
              <w:t>2.获得地市级成果奖项或荣誉的，每提供1个得3分，最高得6分；</w:t>
            </w:r>
          </w:p>
          <w:p>
            <w:pPr>
              <w:spacing w:line="240" w:lineRule="auto"/>
              <w:ind w:firstLine="0" w:firstLineChars="0"/>
              <w:rPr>
                <w:rFonts w:cs="仿宋_GB2312"/>
                <w:bCs/>
                <w:color w:val="auto"/>
                <w:sz w:val="24"/>
                <w:szCs w:val="24"/>
                <w:highlight w:val="none"/>
              </w:rPr>
            </w:pPr>
            <w:r>
              <w:rPr>
                <w:rFonts w:hint="eastAsia" w:cs="仿宋_GB2312"/>
                <w:bCs/>
                <w:color w:val="auto"/>
                <w:sz w:val="24"/>
                <w:szCs w:val="24"/>
                <w:highlight w:val="none"/>
              </w:rPr>
              <w:t>3.获得省级及以上成果奖项或荣誉的，每提供1个得5分。</w:t>
            </w:r>
          </w:p>
          <w:p>
            <w:pPr>
              <w:spacing w:line="240" w:lineRule="auto"/>
              <w:ind w:firstLine="0" w:firstLineChars="0"/>
              <w:rPr>
                <w:rFonts w:cs="仿宋_GB2312"/>
                <w:bCs/>
                <w:color w:val="auto"/>
                <w:sz w:val="24"/>
                <w:szCs w:val="24"/>
                <w:highlight w:val="none"/>
              </w:rPr>
            </w:pPr>
            <w:r>
              <w:rPr>
                <w:rFonts w:hint="eastAsia" w:cs="仿宋_GB2312"/>
                <w:bCs/>
                <w:color w:val="auto"/>
                <w:sz w:val="24"/>
                <w:szCs w:val="24"/>
                <w:highlight w:val="none"/>
              </w:rPr>
              <w:t>以上三项累计最高得10分。</w:t>
            </w:r>
          </w:p>
        </w:tc>
        <w:tc>
          <w:tcPr>
            <w:tcW w:w="3434" w:type="dxa"/>
            <w:vAlign w:val="center"/>
          </w:tcPr>
          <w:p>
            <w:pPr>
              <w:spacing w:line="240" w:lineRule="auto"/>
              <w:ind w:firstLine="0" w:firstLineChars="0"/>
              <w:rPr>
                <w:rFonts w:cs="仿宋_GB2312"/>
                <w:bCs/>
                <w:color w:val="auto"/>
                <w:sz w:val="24"/>
                <w:szCs w:val="24"/>
                <w:highlight w:val="none"/>
              </w:rPr>
            </w:pPr>
            <w:r>
              <w:rPr>
                <w:rFonts w:cs="仿宋_GB2312"/>
                <w:bCs/>
                <w:color w:val="auto"/>
                <w:sz w:val="24"/>
                <w:szCs w:val="24"/>
                <w:highlight w:val="none"/>
              </w:rPr>
              <w:t>1.</w:t>
            </w:r>
            <w:r>
              <w:rPr>
                <w:rFonts w:hint="eastAsia" w:cs="仿宋_GB2312"/>
                <w:bCs/>
                <w:color w:val="auto"/>
                <w:sz w:val="24"/>
                <w:szCs w:val="24"/>
                <w:highlight w:val="none"/>
              </w:rPr>
              <w:t>提供相关获奖荣誉证书复印件或扫描件。</w:t>
            </w:r>
          </w:p>
          <w:p>
            <w:pPr>
              <w:spacing w:line="240" w:lineRule="auto"/>
              <w:ind w:firstLine="0" w:firstLineChars="0"/>
              <w:rPr>
                <w:rFonts w:cs="仿宋_GB2312"/>
                <w:bCs/>
                <w:color w:val="auto"/>
                <w:sz w:val="24"/>
                <w:szCs w:val="24"/>
                <w:highlight w:val="none"/>
              </w:rPr>
            </w:pPr>
            <w:r>
              <w:rPr>
                <w:rFonts w:cs="仿宋_GB2312"/>
                <w:bCs/>
                <w:color w:val="auto"/>
                <w:sz w:val="24"/>
                <w:szCs w:val="24"/>
                <w:highlight w:val="none"/>
              </w:rPr>
              <w:t>2.</w:t>
            </w:r>
            <w:r>
              <w:rPr>
                <w:rFonts w:hint="eastAsia" w:cs="仿宋_GB2312"/>
                <w:bCs/>
                <w:color w:val="auto"/>
                <w:sz w:val="24"/>
                <w:szCs w:val="24"/>
                <w:highlight w:val="none"/>
              </w:rPr>
              <w:t>未提供或提供模糊的相关证明文件的，不得分。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 w:hRule="atLeast"/>
        </w:trPr>
        <w:tc>
          <w:tcPr>
            <w:tcW w:w="856" w:type="dxa"/>
            <w:vMerge w:val="continue"/>
            <w:vAlign w:val="center"/>
          </w:tcPr>
          <w:p>
            <w:pPr>
              <w:ind w:firstLine="0" w:firstLineChars="0"/>
              <w:jc w:val="center"/>
              <w:rPr>
                <w:rFonts w:cs="仿宋_GB2312"/>
                <w:bCs/>
                <w:color w:val="auto"/>
                <w:sz w:val="24"/>
                <w:highlight w:val="none"/>
              </w:rPr>
            </w:pPr>
          </w:p>
        </w:tc>
        <w:tc>
          <w:tcPr>
            <w:tcW w:w="1200" w:type="dxa"/>
            <w:vAlign w:val="center"/>
          </w:tcPr>
          <w:p>
            <w:pPr>
              <w:spacing w:line="288" w:lineRule="auto"/>
              <w:ind w:firstLine="0" w:firstLineChars="0"/>
              <w:jc w:val="center"/>
              <w:rPr>
                <w:rFonts w:cs="仿宋_GB2312"/>
                <w:bCs/>
                <w:color w:val="auto"/>
                <w:sz w:val="24"/>
                <w:szCs w:val="24"/>
                <w:highlight w:val="none"/>
              </w:rPr>
            </w:pPr>
            <w:r>
              <w:rPr>
                <w:rFonts w:hint="eastAsia" w:cs="仿宋_GB2312"/>
                <w:bCs/>
                <w:color w:val="auto"/>
                <w:sz w:val="24"/>
                <w:szCs w:val="24"/>
                <w:highlight w:val="none"/>
              </w:rPr>
              <w:t>诚信管理情况</w:t>
            </w:r>
          </w:p>
          <w:p>
            <w:pPr>
              <w:spacing w:line="288" w:lineRule="auto"/>
              <w:ind w:firstLine="0" w:firstLineChars="0"/>
              <w:jc w:val="center"/>
              <w:rPr>
                <w:rFonts w:cs="仿宋_GB2312"/>
                <w:bCs/>
                <w:color w:val="auto"/>
                <w:sz w:val="24"/>
                <w:szCs w:val="24"/>
                <w:highlight w:val="none"/>
              </w:rPr>
            </w:pPr>
            <w:r>
              <w:rPr>
                <w:rFonts w:hint="eastAsia" w:cs="仿宋_GB2312"/>
                <w:bCs/>
                <w:color w:val="auto"/>
                <w:sz w:val="24"/>
                <w:szCs w:val="24"/>
                <w:highlight w:val="none"/>
              </w:rPr>
              <w:t>（5分）</w:t>
            </w:r>
          </w:p>
        </w:tc>
        <w:tc>
          <w:tcPr>
            <w:tcW w:w="3870" w:type="dxa"/>
            <w:vAlign w:val="center"/>
          </w:tcPr>
          <w:p>
            <w:pPr>
              <w:spacing w:line="240" w:lineRule="auto"/>
              <w:ind w:firstLine="0" w:firstLineChars="0"/>
              <w:jc w:val="both"/>
              <w:rPr>
                <w:rFonts w:cs="仿宋_GB2312"/>
                <w:bCs/>
                <w:color w:val="auto"/>
                <w:sz w:val="24"/>
                <w:szCs w:val="24"/>
                <w:highlight w:val="none"/>
              </w:rPr>
            </w:pPr>
            <w:r>
              <w:rPr>
                <w:rFonts w:hint="eastAsia" w:cs="仿宋_GB2312"/>
                <w:bCs/>
                <w:color w:val="auto"/>
                <w:sz w:val="24"/>
                <w:szCs w:val="24"/>
                <w:highlight w:val="none"/>
              </w:rPr>
              <w:t>符合国家法规政策关于诚信管理的要求，至投标截止时间，投标人没有在信用中国网（www.creditchina.gov.cn）或中国政府采购网（www.ccgp.gov.cn）或深圳市政府采购监督管理网（http://zfcg.sz.gov.cn/）或“国家企业信用信息公示系统”（www.gsxt.gov.cn）等官网中列入“失信被执行人、重大税收违法案件当事人名单、政府采购严重违法失信行为记录名单”。</w:t>
            </w:r>
          </w:p>
        </w:tc>
        <w:tc>
          <w:tcPr>
            <w:tcW w:w="3434" w:type="dxa"/>
            <w:vAlign w:val="center"/>
          </w:tcPr>
          <w:p>
            <w:pPr>
              <w:spacing w:line="240" w:lineRule="auto"/>
              <w:ind w:firstLine="0" w:firstLineChars="0"/>
              <w:rPr>
                <w:rFonts w:cs="仿宋_GB2312"/>
                <w:bCs/>
                <w:color w:val="auto"/>
                <w:sz w:val="24"/>
                <w:szCs w:val="24"/>
                <w:highlight w:val="none"/>
              </w:rPr>
            </w:pPr>
            <w:r>
              <w:rPr>
                <w:rFonts w:hint="eastAsia" w:cs="仿宋_GB2312"/>
                <w:bCs/>
                <w:color w:val="auto"/>
                <w:sz w:val="24"/>
                <w:szCs w:val="24"/>
                <w:highlight w:val="none"/>
              </w:rPr>
              <w:t>1</w:t>
            </w:r>
            <w:r>
              <w:rPr>
                <w:rFonts w:cs="仿宋_GB2312"/>
                <w:bCs/>
                <w:color w:val="auto"/>
                <w:sz w:val="24"/>
                <w:szCs w:val="24"/>
                <w:highlight w:val="none"/>
              </w:rPr>
              <w:t>.投标人</w:t>
            </w:r>
            <w:r>
              <w:rPr>
                <w:rFonts w:hint="eastAsia" w:cs="仿宋_GB2312"/>
                <w:bCs/>
                <w:color w:val="auto"/>
                <w:sz w:val="24"/>
                <w:szCs w:val="24"/>
                <w:highlight w:val="none"/>
              </w:rPr>
              <w:t>须提供相关截图作为佐证材料。</w:t>
            </w:r>
          </w:p>
          <w:p>
            <w:pPr>
              <w:spacing w:line="240" w:lineRule="auto"/>
              <w:ind w:firstLine="0" w:firstLineChars="0"/>
              <w:rPr>
                <w:rFonts w:cs="仿宋_GB2312"/>
                <w:bCs/>
                <w:color w:val="auto"/>
                <w:sz w:val="24"/>
                <w:szCs w:val="24"/>
                <w:highlight w:val="none"/>
              </w:rPr>
            </w:pPr>
            <w:r>
              <w:rPr>
                <w:rFonts w:cs="仿宋_GB2312"/>
                <w:bCs/>
                <w:color w:val="auto"/>
                <w:sz w:val="24"/>
                <w:szCs w:val="24"/>
                <w:highlight w:val="none"/>
              </w:rPr>
              <w:t>2.</w:t>
            </w:r>
            <w:r>
              <w:rPr>
                <w:rFonts w:hint="eastAsia" w:cs="仿宋_GB2312"/>
                <w:bCs/>
                <w:color w:val="auto"/>
                <w:sz w:val="24"/>
                <w:szCs w:val="24"/>
                <w:highlight w:val="none"/>
              </w:rPr>
              <w:t>投标人在参与政府采购活动中存在诚信相关问题且在主管部门相关处理措施实施期限内的，本项不得分，否则得满分。</w:t>
            </w:r>
          </w:p>
        </w:tc>
      </w:tr>
    </w:tbl>
    <w:p>
      <w:pPr>
        <w:ind w:firstLine="0"/>
        <w:rPr>
          <w:rFonts w:hint="eastAsia"/>
          <w:color w:val="auto"/>
          <w:highlight w:val="none"/>
        </w:rPr>
      </w:pPr>
      <w:r>
        <w:rPr>
          <w:rFonts w:hint="eastAsia"/>
          <w:color w:val="auto"/>
          <w:highlight w:val="none"/>
        </w:rPr>
        <w:br w:type="page"/>
      </w:r>
    </w:p>
    <w:p>
      <w:pPr>
        <w:ind w:firstLine="640"/>
        <w:rPr>
          <w:color w:val="auto"/>
          <w:highlight w:val="none"/>
        </w:rPr>
      </w:pPr>
      <w:r>
        <w:rPr>
          <w:rFonts w:hint="eastAsia"/>
          <w:color w:val="auto"/>
          <w:highlight w:val="none"/>
        </w:rPr>
        <w:t>2.技术能力</w:t>
      </w:r>
    </w:p>
    <w:tbl>
      <w:tblPr>
        <w:tblStyle w:val="14"/>
        <w:tblW w:w="9360"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1173"/>
        <w:gridCol w:w="5865"/>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blHeader/>
        </w:trPr>
        <w:tc>
          <w:tcPr>
            <w:tcW w:w="8007" w:type="dxa"/>
            <w:gridSpan w:val="3"/>
            <w:vAlign w:val="center"/>
          </w:tcPr>
          <w:p>
            <w:pPr>
              <w:widowControl/>
              <w:spacing w:line="276" w:lineRule="auto"/>
              <w:ind w:firstLine="0" w:firstLineChars="0"/>
              <w:jc w:val="center"/>
              <w:rPr>
                <w:rFonts w:cs="仿宋_GB2312"/>
                <w:b/>
                <w:bCs/>
                <w:color w:val="auto"/>
                <w:kern w:val="0"/>
                <w:sz w:val="24"/>
                <w:szCs w:val="24"/>
                <w:highlight w:val="none"/>
              </w:rPr>
            </w:pPr>
            <w:r>
              <w:rPr>
                <w:rFonts w:hint="eastAsia" w:cs="仿宋_GB2312"/>
                <w:b/>
                <w:bCs/>
                <w:color w:val="auto"/>
                <w:kern w:val="0"/>
                <w:sz w:val="24"/>
                <w:szCs w:val="24"/>
                <w:highlight w:val="none"/>
              </w:rPr>
              <w:t>项目</w:t>
            </w:r>
          </w:p>
        </w:tc>
        <w:tc>
          <w:tcPr>
            <w:tcW w:w="1353" w:type="dxa"/>
            <w:vAlign w:val="center"/>
          </w:tcPr>
          <w:p>
            <w:pPr>
              <w:widowControl/>
              <w:spacing w:line="276" w:lineRule="auto"/>
              <w:ind w:firstLine="0" w:firstLineChars="0"/>
              <w:jc w:val="center"/>
              <w:rPr>
                <w:rFonts w:cs="仿宋_GB2312"/>
                <w:b/>
                <w:bCs/>
                <w:color w:val="auto"/>
                <w:kern w:val="0"/>
                <w:sz w:val="24"/>
                <w:szCs w:val="24"/>
                <w:highlight w:val="none"/>
              </w:rPr>
            </w:pPr>
            <w:r>
              <w:rPr>
                <w:rFonts w:hint="eastAsia" w:cs="仿宋_GB2312"/>
                <w:b/>
                <w:bCs/>
                <w:color w:val="auto"/>
                <w:kern w:val="0"/>
                <w:sz w:val="24"/>
                <w:szCs w:val="24"/>
                <w:highlight w:val="none"/>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9" w:hRule="atLeast"/>
        </w:trPr>
        <w:tc>
          <w:tcPr>
            <w:tcW w:w="969" w:type="dxa"/>
            <w:vMerge w:val="restart"/>
            <w:vAlign w:val="center"/>
          </w:tcPr>
          <w:p>
            <w:pPr>
              <w:spacing w:line="276" w:lineRule="auto"/>
              <w:ind w:firstLine="0" w:firstLineChars="0"/>
              <w:jc w:val="center"/>
              <w:rPr>
                <w:rFonts w:cs="仿宋_GB2312"/>
                <w:bCs/>
                <w:color w:val="auto"/>
                <w:sz w:val="24"/>
                <w:szCs w:val="24"/>
                <w:highlight w:val="none"/>
              </w:rPr>
            </w:pPr>
            <w:r>
              <w:rPr>
                <w:rFonts w:hint="eastAsia" w:cs="仿宋_GB2312"/>
                <w:bCs/>
                <w:color w:val="auto"/>
                <w:sz w:val="24"/>
                <w:szCs w:val="24"/>
                <w:highlight w:val="none"/>
              </w:rPr>
              <w:t>技术能力评分35分</w:t>
            </w:r>
          </w:p>
        </w:tc>
        <w:tc>
          <w:tcPr>
            <w:tcW w:w="1173" w:type="dxa"/>
            <w:vAlign w:val="center"/>
          </w:tcPr>
          <w:p>
            <w:pPr>
              <w:spacing w:line="276" w:lineRule="auto"/>
              <w:ind w:firstLine="0" w:firstLineChars="0"/>
              <w:jc w:val="center"/>
              <w:rPr>
                <w:rFonts w:cs="仿宋_GB2312"/>
                <w:bCs/>
                <w:color w:val="auto"/>
                <w:sz w:val="24"/>
                <w:szCs w:val="24"/>
                <w:highlight w:val="none"/>
              </w:rPr>
            </w:pPr>
            <w:r>
              <w:rPr>
                <w:rFonts w:hint="eastAsia" w:cs="仿宋_GB2312"/>
                <w:bCs/>
                <w:color w:val="auto"/>
                <w:sz w:val="24"/>
                <w:szCs w:val="24"/>
                <w:highlight w:val="none"/>
              </w:rPr>
              <w:t>方案</w:t>
            </w:r>
          </w:p>
          <w:p>
            <w:pPr>
              <w:spacing w:line="276" w:lineRule="auto"/>
              <w:ind w:firstLine="0" w:firstLineChars="0"/>
              <w:rPr>
                <w:rFonts w:cs="仿宋_GB2312"/>
                <w:bCs/>
                <w:color w:val="auto"/>
                <w:kern w:val="0"/>
                <w:sz w:val="24"/>
                <w:szCs w:val="24"/>
                <w:highlight w:val="none"/>
              </w:rPr>
            </w:pPr>
            <w:r>
              <w:rPr>
                <w:rFonts w:hint="eastAsia" w:cs="仿宋_GB2312"/>
                <w:bCs/>
                <w:color w:val="auto"/>
                <w:sz w:val="24"/>
                <w:szCs w:val="24"/>
                <w:highlight w:val="none"/>
              </w:rPr>
              <w:t>（15分）</w:t>
            </w:r>
          </w:p>
        </w:tc>
        <w:tc>
          <w:tcPr>
            <w:tcW w:w="5865" w:type="dxa"/>
            <w:vAlign w:val="center"/>
          </w:tcPr>
          <w:p>
            <w:pPr>
              <w:spacing w:line="240" w:lineRule="auto"/>
              <w:ind w:firstLine="0" w:firstLineChars="0"/>
              <w:jc w:val="both"/>
              <w:rPr>
                <w:rFonts w:cs="仿宋_GB2312"/>
                <w:b/>
                <w:bCs/>
                <w:color w:val="auto"/>
                <w:sz w:val="24"/>
                <w:szCs w:val="24"/>
                <w:highlight w:val="none"/>
              </w:rPr>
            </w:pPr>
            <w:r>
              <w:rPr>
                <w:rFonts w:hint="eastAsia" w:cs="仿宋_GB2312"/>
                <w:b/>
                <w:bCs/>
                <w:color w:val="auto"/>
                <w:sz w:val="24"/>
                <w:szCs w:val="24"/>
                <w:highlight w:val="none"/>
              </w:rPr>
              <w:t>（一）评分内容</w:t>
            </w:r>
          </w:p>
          <w:p>
            <w:pPr>
              <w:spacing w:line="240" w:lineRule="auto"/>
              <w:ind w:firstLine="0" w:firstLineChars="0"/>
              <w:rPr>
                <w:rFonts w:cs="仿宋_GB2312"/>
                <w:bCs/>
                <w:color w:val="auto"/>
                <w:sz w:val="24"/>
                <w:szCs w:val="24"/>
                <w:highlight w:val="none"/>
              </w:rPr>
            </w:pPr>
            <w:r>
              <w:rPr>
                <w:rFonts w:hint="eastAsia" w:cs="仿宋_GB2312"/>
                <w:bCs/>
                <w:color w:val="auto"/>
                <w:sz w:val="24"/>
                <w:szCs w:val="24"/>
                <w:highlight w:val="none"/>
              </w:rPr>
              <w:t>1.对项目背景意义、工作目标等的理解深入、准确；</w:t>
            </w:r>
          </w:p>
          <w:p>
            <w:pPr>
              <w:spacing w:line="240" w:lineRule="auto"/>
              <w:ind w:firstLine="0" w:firstLineChars="0"/>
              <w:rPr>
                <w:rFonts w:cs="仿宋_GB2312"/>
                <w:bCs/>
                <w:color w:val="auto"/>
                <w:sz w:val="24"/>
                <w:szCs w:val="24"/>
                <w:highlight w:val="none"/>
              </w:rPr>
            </w:pPr>
            <w:r>
              <w:rPr>
                <w:rFonts w:hint="eastAsia" w:cs="仿宋_GB2312"/>
                <w:bCs/>
                <w:color w:val="auto"/>
                <w:sz w:val="24"/>
                <w:szCs w:val="24"/>
                <w:highlight w:val="none"/>
              </w:rPr>
              <w:t>2.工作内容和成果认识全面、准确；</w:t>
            </w:r>
          </w:p>
          <w:p>
            <w:pPr>
              <w:spacing w:line="240" w:lineRule="auto"/>
              <w:ind w:firstLine="0" w:firstLineChars="0"/>
              <w:rPr>
                <w:rFonts w:cs="仿宋_GB2312"/>
                <w:bCs/>
                <w:color w:val="auto"/>
                <w:sz w:val="24"/>
                <w:szCs w:val="24"/>
                <w:highlight w:val="none"/>
              </w:rPr>
            </w:pPr>
            <w:r>
              <w:rPr>
                <w:rFonts w:hint="eastAsia" w:cs="仿宋_GB2312"/>
                <w:bCs/>
                <w:color w:val="auto"/>
                <w:sz w:val="24"/>
                <w:szCs w:val="24"/>
                <w:highlight w:val="none"/>
              </w:rPr>
              <w:t>3.技术路线清晰合理，工作方法多样。</w:t>
            </w:r>
          </w:p>
          <w:p>
            <w:pPr>
              <w:spacing w:line="240" w:lineRule="auto"/>
              <w:ind w:firstLine="0" w:firstLineChars="0"/>
              <w:rPr>
                <w:rFonts w:cs="仿宋_GB2312"/>
                <w:b/>
                <w:bCs/>
                <w:color w:val="auto"/>
                <w:sz w:val="24"/>
                <w:szCs w:val="24"/>
                <w:highlight w:val="none"/>
              </w:rPr>
            </w:pPr>
            <w:r>
              <w:rPr>
                <w:rFonts w:hint="eastAsia" w:cs="仿宋_GB2312"/>
                <w:b/>
                <w:bCs/>
                <w:color w:val="auto"/>
                <w:sz w:val="24"/>
                <w:szCs w:val="24"/>
                <w:highlight w:val="none"/>
              </w:rPr>
              <w:t>（二）评分标准</w:t>
            </w:r>
          </w:p>
          <w:p>
            <w:pPr>
              <w:spacing w:line="240" w:lineRule="auto"/>
              <w:ind w:firstLine="0" w:firstLineChars="0"/>
              <w:rPr>
                <w:rFonts w:cs="仿宋_GB2312"/>
                <w:bCs/>
                <w:color w:val="auto"/>
                <w:sz w:val="24"/>
                <w:szCs w:val="24"/>
                <w:highlight w:val="none"/>
              </w:rPr>
            </w:pPr>
            <w:r>
              <w:rPr>
                <w:rFonts w:cs="仿宋_GB2312"/>
                <w:bCs/>
                <w:color w:val="auto"/>
                <w:sz w:val="24"/>
                <w:szCs w:val="24"/>
                <w:highlight w:val="none"/>
              </w:rPr>
              <w:t>根据各投标人的方案的具体响应内容进行评分：</w:t>
            </w:r>
          </w:p>
          <w:p>
            <w:pPr>
              <w:spacing w:line="240" w:lineRule="auto"/>
              <w:ind w:firstLine="0" w:firstLineChars="0"/>
              <w:rPr>
                <w:rFonts w:cs="仿宋_GB2312"/>
                <w:bCs/>
                <w:color w:val="auto"/>
                <w:sz w:val="24"/>
                <w:szCs w:val="24"/>
                <w:highlight w:val="none"/>
              </w:rPr>
            </w:pPr>
            <w:r>
              <w:rPr>
                <w:rFonts w:cs="仿宋_GB2312"/>
                <w:bCs/>
                <w:color w:val="auto"/>
                <w:sz w:val="24"/>
                <w:szCs w:val="24"/>
                <w:highlight w:val="none"/>
              </w:rPr>
              <w:t>1.优：对项目背景意义、工作目标等的理解深入、准确。工作内容和成果深度的认识全面、准确。技术路线清晰合理，工作方法多样。按照12-15分范围评分</w:t>
            </w:r>
            <w:r>
              <w:rPr>
                <w:rFonts w:hint="eastAsia" w:cs="仿宋_GB2312"/>
                <w:bCs/>
                <w:color w:val="auto"/>
                <w:sz w:val="24"/>
                <w:szCs w:val="24"/>
                <w:highlight w:val="none"/>
              </w:rPr>
              <w:t>；</w:t>
            </w:r>
          </w:p>
          <w:p>
            <w:pPr>
              <w:spacing w:line="240" w:lineRule="auto"/>
              <w:ind w:firstLine="0" w:firstLineChars="0"/>
              <w:rPr>
                <w:rFonts w:cs="仿宋_GB2312"/>
                <w:bCs/>
                <w:color w:val="auto"/>
                <w:sz w:val="24"/>
                <w:szCs w:val="24"/>
                <w:highlight w:val="none"/>
              </w:rPr>
            </w:pPr>
            <w:r>
              <w:rPr>
                <w:rFonts w:cs="仿宋_GB2312"/>
                <w:bCs/>
                <w:color w:val="auto"/>
                <w:sz w:val="24"/>
                <w:szCs w:val="24"/>
                <w:highlight w:val="none"/>
              </w:rPr>
              <w:t>2.良：对项目背景意义、工作目标等的理解准确但不够深入。工作内容和成果深度的认识准确但不够全面。技术路线清晰但合理性一般，工作方法相对较少。按照8-11分范围评分</w:t>
            </w:r>
            <w:r>
              <w:rPr>
                <w:rFonts w:hint="eastAsia" w:cs="仿宋_GB2312"/>
                <w:bCs/>
                <w:color w:val="auto"/>
                <w:sz w:val="24"/>
                <w:szCs w:val="24"/>
                <w:highlight w:val="none"/>
              </w:rPr>
              <w:t>；</w:t>
            </w:r>
          </w:p>
          <w:p>
            <w:pPr>
              <w:spacing w:line="240" w:lineRule="auto"/>
              <w:ind w:firstLine="0" w:firstLineChars="0"/>
              <w:rPr>
                <w:rFonts w:cs="仿宋_GB2312"/>
                <w:bCs/>
                <w:color w:val="auto"/>
                <w:sz w:val="24"/>
                <w:szCs w:val="24"/>
                <w:highlight w:val="none"/>
              </w:rPr>
            </w:pPr>
            <w:r>
              <w:rPr>
                <w:rFonts w:cs="仿宋_GB2312"/>
                <w:bCs/>
                <w:color w:val="auto"/>
                <w:sz w:val="24"/>
                <w:szCs w:val="24"/>
                <w:highlight w:val="none"/>
              </w:rPr>
              <w:t>3.中：对项目背景意义、工作目标等的理解相对不够深入、不够准确。工作内容和成果深度的认识相对不够全面、不够准确。技术路线相对不够清晰合理，工作方法单一。按照4-7分范围评分</w:t>
            </w:r>
            <w:r>
              <w:rPr>
                <w:rFonts w:hint="eastAsia" w:cs="仿宋_GB2312"/>
                <w:bCs/>
                <w:color w:val="auto"/>
                <w:sz w:val="24"/>
                <w:szCs w:val="24"/>
                <w:highlight w:val="none"/>
              </w:rPr>
              <w:t>；</w:t>
            </w:r>
          </w:p>
          <w:p>
            <w:pPr>
              <w:spacing w:line="240" w:lineRule="auto"/>
              <w:ind w:firstLine="0" w:firstLineChars="0"/>
              <w:rPr>
                <w:rFonts w:cs="仿宋_GB2312"/>
                <w:bCs/>
                <w:color w:val="auto"/>
                <w:sz w:val="24"/>
                <w:szCs w:val="24"/>
                <w:highlight w:val="none"/>
              </w:rPr>
            </w:pPr>
            <w:r>
              <w:rPr>
                <w:rFonts w:cs="仿宋_GB2312"/>
                <w:bCs/>
                <w:color w:val="auto"/>
                <w:sz w:val="24"/>
                <w:szCs w:val="24"/>
                <w:highlight w:val="none"/>
              </w:rPr>
              <w:t>4.差：对照评分内容方案全面但和项目采购要求不符的或方案不全面的或缺少方案的。不得分。</w:t>
            </w:r>
          </w:p>
        </w:tc>
        <w:tc>
          <w:tcPr>
            <w:tcW w:w="1353" w:type="dxa"/>
            <w:vAlign w:val="center"/>
          </w:tcPr>
          <w:p>
            <w:pPr>
              <w:spacing w:line="312" w:lineRule="auto"/>
              <w:ind w:firstLine="0" w:firstLineChars="0"/>
              <w:jc w:val="left"/>
              <w:rPr>
                <w:rFonts w:cs="仿宋_GB2312"/>
                <w:bCs/>
                <w:color w:val="auto"/>
                <w:sz w:val="24"/>
                <w:szCs w:val="24"/>
                <w:highlight w:val="none"/>
              </w:rPr>
            </w:pPr>
            <w:r>
              <w:rPr>
                <w:rFonts w:hint="eastAsia" w:cs="仿宋_GB2312"/>
                <w:bCs/>
                <w:color w:val="auto"/>
                <w:sz w:val="24"/>
                <w:szCs w:val="24"/>
                <w:highlight w:val="none"/>
              </w:rPr>
              <w:t>采购评审小组评分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69" w:type="dxa"/>
            <w:vMerge w:val="continue"/>
            <w:vAlign w:val="center"/>
          </w:tcPr>
          <w:p>
            <w:pPr>
              <w:spacing w:line="276" w:lineRule="auto"/>
              <w:ind w:firstLine="0" w:firstLineChars="0"/>
              <w:jc w:val="center"/>
              <w:rPr>
                <w:rFonts w:cs="仿宋_GB2312"/>
                <w:bCs/>
                <w:color w:val="auto"/>
                <w:sz w:val="24"/>
                <w:szCs w:val="24"/>
                <w:highlight w:val="none"/>
              </w:rPr>
            </w:pPr>
          </w:p>
        </w:tc>
        <w:tc>
          <w:tcPr>
            <w:tcW w:w="1173" w:type="dxa"/>
            <w:vAlign w:val="center"/>
          </w:tcPr>
          <w:p>
            <w:pPr>
              <w:spacing w:line="276" w:lineRule="auto"/>
              <w:ind w:firstLine="0" w:firstLineChars="0"/>
              <w:jc w:val="center"/>
              <w:rPr>
                <w:rFonts w:cs="仿宋_GB2312"/>
                <w:bCs/>
                <w:color w:val="auto"/>
                <w:sz w:val="24"/>
                <w:szCs w:val="24"/>
                <w:highlight w:val="none"/>
              </w:rPr>
            </w:pPr>
            <w:r>
              <w:rPr>
                <w:rFonts w:hint="eastAsia" w:cs="仿宋_GB2312"/>
                <w:bCs/>
                <w:color w:val="auto"/>
                <w:sz w:val="24"/>
                <w:szCs w:val="24"/>
                <w:highlight w:val="none"/>
              </w:rPr>
              <w:t>重难点分析</w:t>
            </w:r>
          </w:p>
          <w:p>
            <w:pPr>
              <w:spacing w:line="276" w:lineRule="auto"/>
              <w:ind w:firstLine="0" w:firstLineChars="0"/>
              <w:rPr>
                <w:rFonts w:cs="仿宋_GB2312"/>
                <w:bCs/>
                <w:color w:val="auto"/>
                <w:kern w:val="0"/>
                <w:sz w:val="24"/>
                <w:szCs w:val="24"/>
                <w:highlight w:val="none"/>
              </w:rPr>
            </w:pPr>
            <w:r>
              <w:rPr>
                <w:rFonts w:hint="eastAsia" w:cs="仿宋_GB2312"/>
                <w:bCs/>
                <w:color w:val="auto"/>
                <w:sz w:val="24"/>
                <w:szCs w:val="24"/>
                <w:highlight w:val="none"/>
              </w:rPr>
              <w:t>（10分）</w:t>
            </w:r>
          </w:p>
        </w:tc>
        <w:tc>
          <w:tcPr>
            <w:tcW w:w="5865" w:type="dxa"/>
            <w:vAlign w:val="center"/>
          </w:tcPr>
          <w:p>
            <w:pPr>
              <w:spacing w:line="240" w:lineRule="auto"/>
              <w:ind w:firstLine="0" w:firstLineChars="0"/>
              <w:jc w:val="both"/>
              <w:rPr>
                <w:rFonts w:cs="仿宋_GB2312"/>
                <w:b/>
                <w:bCs/>
                <w:color w:val="auto"/>
                <w:sz w:val="24"/>
                <w:szCs w:val="24"/>
                <w:highlight w:val="none"/>
              </w:rPr>
            </w:pPr>
            <w:r>
              <w:rPr>
                <w:rFonts w:hint="eastAsia" w:cs="仿宋_GB2312"/>
                <w:b/>
                <w:bCs/>
                <w:color w:val="auto"/>
                <w:sz w:val="24"/>
                <w:szCs w:val="24"/>
                <w:highlight w:val="none"/>
              </w:rPr>
              <w:t>（一）评分内容</w:t>
            </w:r>
          </w:p>
          <w:p>
            <w:pPr>
              <w:spacing w:line="240" w:lineRule="auto"/>
              <w:ind w:firstLine="0" w:firstLineChars="0"/>
              <w:jc w:val="both"/>
              <w:rPr>
                <w:rFonts w:cs="仿宋_GB2312"/>
                <w:bCs/>
                <w:color w:val="auto"/>
                <w:sz w:val="24"/>
                <w:szCs w:val="24"/>
                <w:highlight w:val="none"/>
              </w:rPr>
            </w:pPr>
            <w:r>
              <w:rPr>
                <w:rFonts w:hint="eastAsia" w:cs="仿宋_GB2312"/>
                <w:bCs/>
                <w:color w:val="auto"/>
                <w:sz w:val="24"/>
                <w:szCs w:val="24"/>
                <w:highlight w:val="none"/>
              </w:rPr>
              <w:t>1.对项目重点、难点的挖掘分析准确到位；</w:t>
            </w:r>
          </w:p>
          <w:p>
            <w:pPr>
              <w:spacing w:line="240" w:lineRule="auto"/>
              <w:ind w:firstLine="0" w:firstLineChars="0"/>
              <w:jc w:val="both"/>
              <w:rPr>
                <w:rFonts w:cs="仿宋_GB2312"/>
                <w:bCs/>
                <w:color w:val="auto"/>
                <w:sz w:val="24"/>
                <w:szCs w:val="24"/>
                <w:highlight w:val="none"/>
              </w:rPr>
            </w:pPr>
            <w:r>
              <w:rPr>
                <w:rFonts w:hint="eastAsia" w:cs="仿宋_GB2312"/>
                <w:bCs/>
                <w:color w:val="auto"/>
                <w:sz w:val="24"/>
                <w:szCs w:val="24"/>
                <w:highlight w:val="none"/>
              </w:rPr>
              <w:t>2.应对措施得当，具有可操作性；</w:t>
            </w:r>
          </w:p>
          <w:p>
            <w:pPr>
              <w:spacing w:line="240" w:lineRule="auto"/>
              <w:ind w:firstLine="0" w:firstLineChars="0"/>
              <w:jc w:val="both"/>
              <w:rPr>
                <w:rFonts w:cs="仿宋_GB2312"/>
                <w:bCs/>
                <w:color w:val="auto"/>
                <w:sz w:val="24"/>
                <w:szCs w:val="24"/>
                <w:highlight w:val="none"/>
              </w:rPr>
            </w:pPr>
            <w:r>
              <w:rPr>
                <w:rFonts w:hint="eastAsia" w:cs="仿宋_GB2312"/>
                <w:bCs/>
                <w:color w:val="auto"/>
                <w:sz w:val="24"/>
                <w:szCs w:val="24"/>
                <w:highlight w:val="none"/>
              </w:rPr>
              <w:t>3.相关建议合理、有针对性。</w:t>
            </w:r>
          </w:p>
          <w:p>
            <w:pPr>
              <w:spacing w:line="240" w:lineRule="auto"/>
              <w:ind w:firstLine="0" w:firstLineChars="0"/>
              <w:jc w:val="both"/>
              <w:rPr>
                <w:rFonts w:cs="仿宋_GB2312"/>
                <w:b/>
                <w:bCs/>
                <w:color w:val="auto"/>
                <w:sz w:val="24"/>
                <w:szCs w:val="24"/>
                <w:highlight w:val="none"/>
              </w:rPr>
            </w:pPr>
            <w:r>
              <w:rPr>
                <w:rFonts w:hint="eastAsia" w:cs="仿宋_GB2312"/>
                <w:b/>
                <w:bCs/>
                <w:color w:val="auto"/>
                <w:sz w:val="24"/>
                <w:szCs w:val="24"/>
                <w:highlight w:val="none"/>
              </w:rPr>
              <w:t>（二）评分标准</w:t>
            </w:r>
          </w:p>
          <w:p>
            <w:pPr>
              <w:spacing w:line="240" w:lineRule="auto"/>
              <w:ind w:firstLine="0" w:firstLineChars="0"/>
              <w:rPr>
                <w:rFonts w:cs="仿宋_GB2312"/>
                <w:bCs/>
                <w:color w:val="auto"/>
                <w:sz w:val="24"/>
                <w:szCs w:val="24"/>
                <w:highlight w:val="none"/>
              </w:rPr>
            </w:pPr>
            <w:r>
              <w:rPr>
                <w:rFonts w:cs="仿宋_GB2312"/>
                <w:bCs/>
                <w:color w:val="auto"/>
                <w:sz w:val="24"/>
                <w:szCs w:val="24"/>
                <w:highlight w:val="none"/>
              </w:rPr>
              <w:t>根据投标人提供的项目重点难点分析、措施或建议等响应内容评分：</w:t>
            </w:r>
          </w:p>
          <w:p>
            <w:pPr>
              <w:spacing w:line="240" w:lineRule="auto"/>
              <w:ind w:firstLine="0" w:firstLineChars="0"/>
              <w:rPr>
                <w:rFonts w:cs="仿宋_GB2312"/>
                <w:bCs/>
                <w:color w:val="auto"/>
                <w:sz w:val="24"/>
                <w:szCs w:val="24"/>
                <w:highlight w:val="none"/>
              </w:rPr>
            </w:pPr>
            <w:r>
              <w:rPr>
                <w:rFonts w:cs="仿宋_GB2312"/>
                <w:bCs/>
                <w:color w:val="auto"/>
                <w:sz w:val="24"/>
                <w:szCs w:val="24"/>
                <w:highlight w:val="none"/>
              </w:rPr>
              <w:t>1.优：项目重点、难点问题挖掘和分析符合实际、准确到位。应对措施得当，具有可操作性或建议合理、有针对性。按照采购评审小组评分8-10分范围评分</w:t>
            </w:r>
            <w:r>
              <w:rPr>
                <w:rFonts w:hint="eastAsia" w:cs="仿宋_GB2312"/>
                <w:bCs/>
                <w:color w:val="auto"/>
                <w:sz w:val="24"/>
                <w:szCs w:val="24"/>
                <w:highlight w:val="none"/>
              </w:rPr>
              <w:t>；</w:t>
            </w:r>
          </w:p>
          <w:p>
            <w:pPr>
              <w:spacing w:line="240" w:lineRule="auto"/>
              <w:ind w:firstLine="0" w:firstLineChars="0"/>
              <w:rPr>
                <w:rFonts w:cs="仿宋_GB2312"/>
                <w:bCs/>
                <w:color w:val="auto"/>
                <w:sz w:val="24"/>
                <w:szCs w:val="24"/>
                <w:highlight w:val="none"/>
              </w:rPr>
            </w:pPr>
            <w:r>
              <w:rPr>
                <w:rFonts w:cs="仿宋_GB2312"/>
                <w:bCs/>
                <w:color w:val="auto"/>
                <w:sz w:val="24"/>
                <w:szCs w:val="24"/>
                <w:highlight w:val="none"/>
              </w:rPr>
              <w:t>2.良：项目重点、难点问题挖掘和分析符合实际但不够准确到位。应对措施得当，但可操作性一般或建议合理、但针对性不强。按照5-7分范围评分；</w:t>
            </w:r>
          </w:p>
          <w:p>
            <w:pPr>
              <w:spacing w:line="240" w:lineRule="auto"/>
              <w:ind w:firstLine="0" w:firstLineChars="0"/>
              <w:rPr>
                <w:rFonts w:cs="仿宋_GB2312"/>
                <w:bCs/>
                <w:color w:val="auto"/>
                <w:sz w:val="24"/>
                <w:szCs w:val="24"/>
                <w:highlight w:val="none"/>
              </w:rPr>
            </w:pPr>
            <w:r>
              <w:rPr>
                <w:rFonts w:cs="仿宋_GB2312"/>
                <w:bCs/>
                <w:color w:val="auto"/>
                <w:sz w:val="24"/>
                <w:szCs w:val="24"/>
                <w:highlight w:val="none"/>
              </w:rPr>
              <w:t>3.中：项目重点、难点问题挖掘和分析相对不够符合实际、不够准确到位。应对措施相对不够得当，相对不具有可操作性或建议相对不够合理、不够有针对性。按照2-4分范围评分</w:t>
            </w:r>
            <w:r>
              <w:rPr>
                <w:rFonts w:hint="eastAsia" w:cs="仿宋_GB2312"/>
                <w:bCs/>
                <w:color w:val="auto"/>
                <w:sz w:val="24"/>
                <w:szCs w:val="24"/>
                <w:highlight w:val="none"/>
              </w:rPr>
              <w:t>；</w:t>
            </w:r>
          </w:p>
          <w:p>
            <w:pPr>
              <w:spacing w:line="240" w:lineRule="auto"/>
              <w:ind w:firstLine="0" w:firstLineChars="0"/>
              <w:rPr>
                <w:rFonts w:cs="仿宋_GB2312"/>
                <w:bCs/>
                <w:color w:val="auto"/>
                <w:sz w:val="24"/>
                <w:szCs w:val="24"/>
                <w:highlight w:val="none"/>
              </w:rPr>
            </w:pPr>
            <w:r>
              <w:rPr>
                <w:rFonts w:cs="仿宋_GB2312"/>
                <w:bCs/>
                <w:color w:val="auto"/>
                <w:sz w:val="24"/>
                <w:szCs w:val="24"/>
                <w:highlight w:val="none"/>
              </w:rPr>
              <w:t>4.差：对照评分内容，内容全面但和项目采购要求不符的或板块内容不全面的或完全缺少重点难点分析的。不得分。</w:t>
            </w:r>
          </w:p>
        </w:tc>
        <w:tc>
          <w:tcPr>
            <w:tcW w:w="1353" w:type="dxa"/>
            <w:vAlign w:val="center"/>
          </w:tcPr>
          <w:p>
            <w:pPr>
              <w:spacing w:line="312" w:lineRule="auto"/>
              <w:ind w:firstLine="0" w:firstLineChars="0"/>
              <w:jc w:val="left"/>
              <w:rPr>
                <w:rFonts w:cs="仿宋_GB2312"/>
                <w:bCs/>
                <w:color w:val="auto"/>
                <w:sz w:val="24"/>
                <w:szCs w:val="24"/>
                <w:highlight w:val="none"/>
              </w:rPr>
            </w:pPr>
            <w:r>
              <w:rPr>
                <w:rFonts w:hint="eastAsia" w:cs="仿宋_GB2312"/>
                <w:bCs/>
                <w:color w:val="auto"/>
                <w:sz w:val="24"/>
                <w:szCs w:val="24"/>
                <w:highlight w:val="none"/>
              </w:rPr>
              <w:t>采购评审小组评分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969" w:type="dxa"/>
            <w:vMerge w:val="continue"/>
            <w:vAlign w:val="center"/>
          </w:tcPr>
          <w:p>
            <w:pPr>
              <w:spacing w:line="276" w:lineRule="auto"/>
              <w:ind w:firstLine="0" w:firstLineChars="0"/>
              <w:jc w:val="center"/>
              <w:rPr>
                <w:rFonts w:cs="仿宋_GB2312"/>
                <w:bCs/>
                <w:color w:val="auto"/>
                <w:sz w:val="24"/>
                <w:szCs w:val="24"/>
                <w:highlight w:val="none"/>
              </w:rPr>
            </w:pPr>
          </w:p>
        </w:tc>
        <w:tc>
          <w:tcPr>
            <w:tcW w:w="1173" w:type="dxa"/>
            <w:vAlign w:val="center"/>
          </w:tcPr>
          <w:p>
            <w:pPr>
              <w:spacing w:line="276" w:lineRule="auto"/>
              <w:ind w:firstLine="0" w:firstLineChars="0"/>
              <w:jc w:val="center"/>
              <w:rPr>
                <w:rFonts w:cs="仿宋_GB2312"/>
                <w:bCs/>
                <w:color w:val="auto"/>
                <w:sz w:val="24"/>
                <w:szCs w:val="24"/>
                <w:highlight w:val="none"/>
              </w:rPr>
            </w:pPr>
            <w:r>
              <w:rPr>
                <w:rFonts w:hint="eastAsia" w:cs="仿宋_GB2312"/>
                <w:bCs/>
                <w:color w:val="auto"/>
                <w:sz w:val="24"/>
                <w:szCs w:val="24"/>
                <w:highlight w:val="none"/>
              </w:rPr>
              <w:t>质量保障措施及方案</w:t>
            </w:r>
          </w:p>
          <w:p>
            <w:pPr>
              <w:spacing w:line="276" w:lineRule="auto"/>
              <w:ind w:firstLine="0" w:firstLineChars="0"/>
              <w:rPr>
                <w:rFonts w:cs="仿宋_GB2312"/>
                <w:bCs/>
                <w:color w:val="auto"/>
                <w:sz w:val="24"/>
                <w:szCs w:val="24"/>
                <w:highlight w:val="none"/>
              </w:rPr>
            </w:pPr>
            <w:r>
              <w:rPr>
                <w:rFonts w:hint="eastAsia" w:cs="仿宋_GB2312"/>
                <w:bCs/>
                <w:color w:val="auto"/>
                <w:sz w:val="24"/>
                <w:szCs w:val="24"/>
                <w:highlight w:val="none"/>
              </w:rPr>
              <w:t>（10分）</w:t>
            </w:r>
          </w:p>
        </w:tc>
        <w:tc>
          <w:tcPr>
            <w:tcW w:w="5865" w:type="dxa"/>
            <w:vAlign w:val="center"/>
          </w:tcPr>
          <w:p>
            <w:pPr>
              <w:spacing w:line="240" w:lineRule="auto"/>
              <w:ind w:firstLine="0" w:firstLineChars="0"/>
              <w:jc w:val="both"/>
              <w:rPr>
                <w:rFonts w:cs="仿宋_GB2312"/>
                <w:b/>
                <w:bCs/>
                <w:color w:val="auto"/>
                <w:sz w:val="24"/>
                <w:szCs w:val="24"/>
                <w:highlight w:val="none"/>
              </w:rPr>
            </w:pPr>
            <w:r>
              <w:rPr>
                <w:rFonts w:hint="eastAsia" w:cs="仿宋_GB2312"/>
                <w:b/>
                <w:bCs/>
                <w:color w:val="auto"/>
                <w:sz w:val="24"/>
                <w:szCs w:val="24"/>
                <w:highlight w:val="none"/>
              </w:rPr>
              <w:t>（一）评分内容</w:t>
            </w:r>
          </w:p>
          <w:p>
            <w:pPr>
              <w:spacing w:line="240" w:lineRule="auto"/>
              <w:ind w:firstLine="0" w:firstLineChars="0"/>
              <w:jc w:val="both"/>
              <w:rPr>
                <w:rFonts w:cs="仿宋_GB2312"/>
                <w:bCs/>
                <w:color w:val="auto"/>
                <w:sz w:val="24"/>
                <w:szCs w:val="24"/>
                <w:highlight w:val="none"/>
              </w:rPr>
            </w:pPr>
            <w:r>
              <w:rPr>
                <w:rFonts w:hint="eastAsia" w:cs="仿宋_GB2312"/>
                <w:bCs/>
                <w:color w:val="auto"/>
                <w:sz w:val="24"/>
                <w:szCs w:val="24"/>
                <w:highlight w:val="none"/>
              </w:rPr>
              <w:t>1.项目进度控制和沟通协调机制合理；</w:t>
            </w:r>
          </w:p>
          <w:p>
            <w:pPr>
              <w:spacing w:line="240" w:lineRule="auto"/>
              <w:ind w:firstLine="0" w:firstLineChars="0"/>
              <w:jc w:val="both"/>
              <w:rPr>
                <w:rFonts w:cs="仿宋_GB2312"/>
                <w:bCs/>
                <w:color w:val="auto"/>
                <w:sz w:val="24"/>
                <w:szCs w:val="24"/>
                <w:highlight w:val="none"/>
              </w:rPr>
            </w:pPr>
            <w:r>
              <w:rPr>
                <w:rFonts w:hint="eastAsia" w:cs="仿宋_GB2312"/>
                <w:bCs/>
                <w:color w:val="auto"/>
                <w:sz w:val="24"/>
                <w:szCs w:val="24"/>
                <w:highlight w:val="none"/>
              </w:rPr>
              <w:t>2.项目实施涉及的保障措施全面；</w:t>
            </w:r>
          </w:p>
          <w:p>
            <w:pPr>
              <w:spacing w:line="240" w:lineRule="auto"/>
              <w:ind w:firstLine="0" w:firstLineChars="0"/>
              <w:jc w:val="both"/>
              <w:rPr>
                <w:rFonts w:cs="仿宋_GB2312"/>
                <w:bCs/>
                <w:color w:val="auto"/>
                <w:sz w:val="24"/>
                <w:szCs w:val="24"/>
                <w:highlight w:val="none"/>
              </w:rPr>
            </w:pPr>
            <w:r>
              <w:rPr>
                <w:rFonts w:hint="eastAsia" w:cs="仿宋_GB2312"/>
                <w:bCs/>
                <w:color w:val="auto"/>
                <w:sz w:val="24"/>
                <w:szCs w:val="24"/>
                <w:highlight w:val="none"/>
              </w:rPr>
              <w:t>3.项目整体质量控制有完整方案。</w:t>
            </w:r>
          </w:p>
          <w:p>
            <w:pPr>
              <w:spacing w:line="240" w:lineRule="auto"/>
              <w:ind w:firstLine="0" w:firstLineChars="0"/>
              <w:jc w:val="both"/>
              <w:rPr>
                <w:rFonts w:cs="仿宋_GB2312"/>
                <w:b/>
                <w:bCs/>
                <w:color w:val="auto"/>
                <w:sz w:val="24"/>
                <w:szCs w:val="24"/>
                <w:highlight w:val="none"/>
              </w:rPr>
            </w:pPr>
            <w:r>
              <w:rPr>
                <w:rFonts w:hint="eastAsia" w:cs="仿宋_GB2312"/>
                <w:b/>
                <w:bCs/>
                <w:color w:val="auto"/>
                <w:sz w:val="24"/>
                <w:szCs w:val="24"/>
                <w:highlight w:val="none"/>
              </w:rPr>
              <w:t>（二）评分标准</w:t>
            </w:r>
          </w:p>
          <w:p>
            <w:pPr>
              <w:spacing w:line="240" w:lineRule="auto"/>
              <w:ind w:firstLine="0" w:firstLineChars="0"/>
              <w:rPr>
                <w:rFonts w:cs="仿宋_GB2312"/>
                <w:bCs/>
                <w:color w:val="auto"/>
                <w:sz w:val="24"/>
                <w:szCs w:val="24"/>
                <w:highlight w:val="none"/>
              </w:rPr>
            </w:pPr>
            <w:r>
              <w:rPr>
                <w:rFonts w:cs="仿宋_GB2312"/>
                <w:bCs/>
                <w:color w:val="auto"/>
                <w:sz w:val="24"/>
                <w:szCs w:val="24"/>
                <w:highlight w:val="none"/>
              </w:rPr>
              <w:t>根据投标人提供的项目进度控制机制、质量保障措施响应内容进行评分：</w:t>
            </w:r>
          </w:p>
          <w:p>
            <w:pPr>
              <w:spacing w:line="240" w:lineRule="auto"/>
              <w:ind w:firstLine="0" w:firstLineChars="0"/>
              <w:rPr>
                <w:rFonts w:cs="仿宋_GB2312"/>
                <w:bCs/>
                <w:color w:val="auto"/>
                <w:sz w:val="24"/>
                <w:szCs w:val="24"/>
                <w:highlight w:val="none"/>
              </w:rPr>
            </w:pPr>
            <w:r>
              <w:rPr>
                <w:rFonts w:cs="仿宋_GB2312"/>
                <w:bCs/>
                <w:color w:val="auto"/>
                <w:sz w:val="24"/>
                <w:szCs w:val="24"/>
                <w:highlight w:val="none"/>
              </w:rPr>
              <w:t>1.优：项目进度控制机制合理，项目实施涉及的质量保障措施全面、具有可行性。按照8-10分范围评分；</w:t>
            </w:r>
          </w:p>
          <w:p>
            <w:pPr>
              <w:spacing w:line="240" w:lineRule="auto"/>
              <w:ind w:firstLine="0" w:firstLineChars="0"/>
              <w:rPr>
                <w:rFonts w:cs="仿宋_GB2312"/>
                <w:bCs/>
                <w:color w:val="auto"/>
                <w:sz w:val="24"/>
                <w:szCs w:val="24"/>
                <w:highlight w:val="none"/>
              </w:rPr>
            </w:pPr>
            <w:r>
              <w:rPr>
                <w:rFonts w:cs="仿宋_GB2312"/>
                <w:bCs/>
                <w:color w:val="auto"/>
                <w:sz w:val="24"/>
                <w:szCs w:val="24"/>
                <w:highlight w:val="none"/>
              </w:rPr>
              <w:t>2.良：项目进度控制机制合理，项目实施涉及的质量保障措施相对不全面，可行性相对一般。按照5-7分范围评分；</w:t>
            </w:r>
          </w:p>
          <w:p>
            <w:pPr>
              <w:spacing w:line="240" w:lineRule="auto"/>
              <w:ind w:firstLine="0" w:firstLineChars="0"/>
              <w:rPr>
                <w:rFonts w:cs="仿宋_GB2312"/>
                <w:bCs/>
                <w:color w:val="auto"/>
                <w:sz w:val="24"/>
                <w:szCs w:val="24"/>
                <w:highlight w:val="none"/>
              </w:rPr>
            </w:pPr>
            <w:r>
              <w:rPr>
                <w:rFonts w:cs="仿宋_GB2312"/>
                <w:bCs/>
                <w:color w:val="auto"/>
                <w:sz w:val="24"/>
                <w:szCs w:val="24"/>
                <w:highlight w:val="none"/>
              </w:rPr>
              <w:t>3.中：项目进度控制机制合理性相对一般，质量保障措施相对不全面、可行性相对一般，按照2-4分范围评分；</w:t>
            </w:r>
          </w:p>
          <w:p>
            <w:pPr>
              <w:spacing w:line="240" w:lineRule="auto"/>
              <w:ind w:firstLine="0" w:firstLineChars="0"/>
              <w:rPr>
                <w:rFonts w:cs="仿宋_GB2312"/>
                <w:bCs/>
                <w:color w:val="auto"/>
                <w:sz w:val="24"/>
                <w:szCs w:val="24"/>
                <w:highlight w:val="none"/>
              </w:rPr>
            </w:pPr>
            <w:r>
              <w:rPr>
                <w:rFonts w:cs="仿宋_GB2312"/>
                <w:bCs/>
                <w:color w:val="auto"/>
                <w:sz w:val="24"/>
                <w:szCs w:val="24"/>
                <w:highlight w:val="none"/>
              </w:rPr>
              <w:t>4.差：对照评分内容，内容全面但和项目内容要求不符的或内容不全面的或没有采购评审小组评分提供项目质量保障措施的，不得分。</w:t>
            </w:r>
          </w:p>
        </w:tc>
        <w:tc>
          <w:tcPr>
            <w:tcW w:w="1353" w:type="dxa"/>
            <w:vAlign w:val="center"/>
          </w:tcPr>
          <w:p>
            <w:pPr>
              <w:spacing w:line="312" w:lineRule="auto"/>
              <w:ind w:firstLine="0" w:firstLineChars="0"/>
              <w:jc w:val="left"/>
              <w:rPr>
                <w:rFonts w:cs="仿宋_GB2312"/>
                <w:bCs/>
                <w:color w:val="auto"/>
                <w:sz w:val="24"/>
                <w:szCs w:val="24"/>
                <w:highlight w:val="none"/>
              </w:rPr>
            </w:pPr>
            <w:r>
              <w:rPr>
                <w:rFonts w:hint="eastAsia" w:cs="仿宋_GB2312"/>
                <w:bCs/>
                <w:color w:val="auto"/>
                <w:sz w:val="24"/>
                <w:szCs w:val="24"/>
                <w:highlight w:val="none"/>
              </w:rPr>
              <w:t>采购评审小组评分</w:t>
            </w:r>
          </w:p>
        </w:tc>
      </w:tr>
    </w:tbl>
    <w:p>
      <w:pPr>
        <w:ind w:firstLine="640"/>
        <w:rPr>
          <w:color w:val="auto"/>
          <w:highlight w:val="none"/>
        </w:rPr>
      </w:pPr>
      <w:r>
        <w:rPr>
          <w:rFonts w:hint="eastAsia"/>
          <w:color w:val="auto"/>
          <w:highlight w:val="none"/>
        </w:rPr>
        <w:t>3.人员配备</w:t>
      </w:r>
    </w:p>
    <w:p>
      <w:pPr>
        <w:pStyle w:val="8"/>
        <w:spacing w:line="560" w:lineRule="exact"/>
        <w:ind w:firstLine="640" w:firstLineChars="200"/>
        <w:rPr>
          <w:color w:val="auto"/>
          <w:highlight w:val="none"/>
        </w:rPr>
      </w:pPr>
      <w:r>
        <w:rPr>
          <w:rFonts w:hint="eastAsia" w:ascii="仿宋_GB2312" w:hAnsi="Calibri" w:eastAsia="仿宋_GB2312" w:cs="Times New Roman"/>
          <w:color w:val="auto"/>
          <w:sz w:val="32"/>
          <w:szCs w:val="32"/>
          <w:highlight w:val="none"/>
        </w:rPr>
        <w:t>结合本课题项目实际情况，供应商需组建不少于</w:t>
      </w:r>
      <w:r>
        <w:rPr>
          <w:rFonts w:ascii="仿宋_GB2312" w:hAnsi="Calibri" w:eastAsia="仿宋_GB2312" w:cs="Times New Roman"/>
          <w:color w:val="auto"/>
          <w:sz w:val="32"/>
          <w:szCs w:val="32"/>
          <w:highlight w:val="none"/>
        </w:rPr>
        <w:t>6</w:t>
      </w:r>
      <w:r>
        <w:rPr>
          <w:rFonts w:hint="eastAsia" w:ascii="仿宋_GB2312" w:hAnsi="Calibri" w:eastAsia="仿宋_GB2312" w:cs="Times New Roman"/>
          <w:color w:val="auto"/>
          <w:sz w:val="32"/>
          <w:szCs w:val="32"/>
          <w:highlight w:val="none"/>
        </w:rPr>
        <w:t>名专业人员组成的项目团队，保障项目顺利实施。项目团队应做过相关分析研究，具备较强的调研分析能力和材料写作能力。</w:t>
      </w:r>
    </w:p>
    <w:tbl>
      <w:tblPr>
        <w:tblStyle w:val="14"/>
        <w:tblW w:w="9360"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843"/>
        <w:gridCol w:w="3969"/>
        <w:gridCol w:w="2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678" w:type="dxa"/>
            <w:gridSpan w:val="3"/>
            <w:vAlign w:val="center"/>
          </w:tcPr>
          <w:p>
            <w:pPr>
              <w:widowControl/>
              <w:spacing w:line="276" w:lineRule="auto"/>
              <w:ind w:firstLine="0" w:firstLineChars="0"/>
              <w:jc w:val="center"/>
              <w:rPr>
                <w:rFonts w:cs="仿宋_GB2312"/>
                <w:b/>
                <w:bCs/>
                <w:color w:val="auto"/>
                <w:kern w:val="0"/>
                <w:sz w:val="24"/>
                <w:szCs w:val="24"/>
                <w:highlight w:val="none"/>
              </w:rPr>
            </w:pPr>
            <w:r>
              <w:rPr>
                <w:rFonts w:hint="eastAsia" w:cs="仿宋_GB2312"/>
                <w:b/>
                <w:bCs/>
                <w:color w:val="auto"/>
                <w:kern w:val="0"/>
                <w:sz w:val="24"/>
                <w:szCs w:val="24"/>
                <w:highlight w:val="none"/>
              </w:rPr>
              <w:t>项目</w:t>
            </w:r>
          </w:p>
        </w:tc>
        <w:tc>
          <w:tcPr>
            <w:tcW w:w="2682" w:type="dxa"/>
            <w:vAlign w:val="center"/>
          </w:tcPr>
          <w:p>
            <w:pPr>
              <w:widowControl/>
              <w:spacing w:line="276" w:lineRule="auto"/>
              <w:ind w:firstLine="0" w:firstLineChars="0"/>
              <w:jc w:val="center"/>
              <w:rPr>
                <w:rFonts w:cs="仿宋_GB2312"/>
                <w:b/>
                <w:bCs/>
                <w:color w:val="auto"/>
                <w:kern w:val="0"/>
                <w:sz w:val="24"/>
                <w:szCs w:val="24"/>
                <w:highlight w:val="none"/>
              </w:rPr>
            </w:pPr>
            <w:r>
              <w:rPr>
                <w:rFonts w:hint="eastAsia" w:cs="仿宋_GB2312"/>
                <w:b/>
                <w:bCs/>
                <w:color w:val="auto"/>
                <w:kern w:val="0"/>
                <w:sz w:val="24"/>
                <w:szCs w:val="24"/>
                <w:highlight w:val="none"/>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66" w:type="dxa"/>
            <w:vMerge w:val="restart"/>
            <w:vAlign w:val="center"/>
          </w:tcPr>
          <w:p>
            <w:pPr>
              <w:spacing w:line="240" w:lineRule="auto"/>
              <w:ind w:firstLine="0" w:firstLineChars="0"/>
              <w:jc w:val="center"/>
              <w:rPr>
                <w:rFonts w:hint="eastAsia" w:hAnsi="仿宋_GB2312" w:cs="仿宋_GB2312"/>
                <w:bCs/>
                <w:color w:val="auto"/>
                <w:sz w:val="24"/>
                <w:szCs w:val="24"/>
                <w:highlight w:val="none"/>
              </w:rPr>
            </w:pPr>
            <w:r>
              <w:rPr>
                <w:rFonts w:hint="eastAsia" w:hAnsi="仿宋_GB2312" w:cs="仿宋_GB2312"/>
                <w:bCs/>
                <w:color w:val="auto"/>
                <w:sz w:val="24"/>
                <w:szCs w:val="24"/>
                <w:highlight w:val="none"/>
              </w:rPr>
              <w:t>人员配备评分</w:t>
            </w:r>
            <w:r>
              <w:rPr>
                <w:rFonts w:hAnsi="仿宋_GB2312" w:cs="仿宋_GB2312"/>
                <w:bCs/>
                <w:color w:val="auto"/>
                <w:sz w:val="24"/>
                <w:szCs w:val="24"/>
                <w:highlight w:val="none"/>
              </w:rPr>
              <w:t>2</w:t>
            </w:r>
            <w:r>
              <w:rPr>
                <w:rFonts w:hint="eastAsia" w:hAnsi="仿宋_GB2312" w:cs="仿宋_GB2312"/>
                <w:bCs/>
                <w:color w:val="auto"/>
                <w:sz w:val="24"/>
                <w:szCs w:val="24"/>
                <w:highlight w:val="none"/>
              </w:rPr>
              <w:t>0分</w:t>
            </w:r>
          </w:p>
          <w:p>
            <w:pPr>
              <w:spacing w:line="240" w:lineRule="auto"/>
              <w:ind w:firstLine="0" w:firstLineChars="0"/>
              <w:jc w:val="center"/>
              <w:rPr>
                <w:rFonts w:hint="eastAsia" w:hAnsi="仿宋_GB2312" w:cs="仿宋_GB2312"/>
                <w:bCs/>
                <w:color w:val="auto"/>
                <w:sz w:val="24"/>
                <w:szCs w:val="24"/>
                <w:highlight w:val="none"/>
              </w:rPr>
            </w:pPr>
          </w:p>
        </w:tc>
        <w:tc>
          <w:tcPr>
            <w:tcW w:w="1843" w:type="dxa"/>
            <w:vAlign w:val="center"/>
          </w:tcPr>
          <w:p>
            <w:pPr>
              <w:spacing w:line="240" w:lineRule="auto"/>
              <w:ind w:firstLine="0" w:firstLineChars="0"/>
              <w:jc w:val="center"/>
              <w:rPr>
                <w:rFonts w:hint="eastAsia" w:hAnsi="仿宋_GB2312" w:cs="仿宋_GB2312"/>
                <w:bCs/>
                <w:color w:val="auto"/>
                <w:sz w:val="24"/>
                <w:szCs w:val="24"/>
                <w:highlight w:val="none"/>
              </w:rPr>
            </w:pPr>
            <w:r>
              <w:rPr>
                <w:rFonts w:hint="eastAsia" w:hAnsi="仿宋_GB2312" w:cs="仿宋_GB2312"/>
                <w:bCs/>
                <w:color w:val="auto"/>
                <w:sz w:val="24"/>
                <w:szCs w:val="24"/>
                <w:highlight w:val="none"/>
              </w:rPr>
              <w:t>拟安排的项目负责人情况（仅限一人）</w:t>
            </w:r>
          </w:p>
          <w:p>
            <w:pPr>
              <w:spacing w:line="240" w:lineRule="auto"/>
              <w:ind w:firstLine="0" w:firstLineChars="0"/>
              <w:jc w:val="center"/>
              <w:rPr>
                <w:rFonts w:hint="eastAsia" w:hAnsi="仿宋_GB2312" w:cs="仿宋_GB2312"/>
                <w:bCs/>
                <w:color w:val="auto"/>
                <w:kern w:val="0"/>
                <w:sz w:val="24"/>
                <w:szCs w:val="24"/>
                <w:highlight w:val="none"/>
              </w:rPr>
            </w:pPr>
            <w:r>
              <w:rPr>
                <w:rFonts w:hAnsi="仿宋_GB2312" w:cs="仿宋_GB2312"/>
                <w:bCs/>
                <w:color w:val="auto"/>
                <w:sz w:val="24"/>
                <w:szCs w:val="24"/>
                <w:highlight w:val="none"/>
              </w:rPr>
              <w:t>（</w:t>
            </w:r>
            <w:r>
              <w:rPr>
                <w:rFonts w:hint="eastAsia" w:hAnsi="仿宋_GB2312" w:cs="仿宋_GB2312"/>
                <w:bCs/>
                <w:color w:val="auto"/>
                <w:sz w:val="24"/>
                <w:szCs w:val="24"/>
                <w:highlight w:val="none"/>
              </w:rPr>
              <w:t>5分</w:t>
            </w:r>
            <w:r>
              <w:rPr>
                <w:rFonts w:hAnsi="仿宋_GB2312" w:cs="仿宋_GB2312"/>
                <w:bCs/>
                <w:color w:val="auto"/>
                <w:sz w:val="24"/>
                <w:szCs w:val="24"/>
                <w:highlight w:val="none"/>
              </w:rPr>
              <w:t>）</w:t>
            </w:r>
          </w:p>
        </w:tc>
        <w:tc>
          <w:tcPr>
            <w:tcW w:w="3969" w:type="dxa"/>
            <w:vAlign w:val="center"/>
          </w:tcPr>
          <w:p>
            <w:pPr>
              <w:spacing w:line="240" w:lineRule="auto"/>
              <w:ind w:firstLine="0" w:firstLineChars="0"/>
              <w:jc w:val="both"/>
              <w:rPr>
                <w:rFonts w:hint="eastAsia" w:hAnsi="仿宋_GB2312" w:cs="仿宋_GB2312"/>
                <w:bCs/>
                <w:color w:val="auto"/>
                <w:sz w:val="24"/>
                <w:szCs w:val="24"/>
                <w:highlight w:val="none"/>
              </w:rPr>
            </w:pPr>
            <w:r>
              <w:rPr>
                <w:rFonts w:hint="eastAsia" w:hAnsi="仿宋_GB2312" w:cs="仿宋_GB2312"/>
                <w:bCs/>
                <w:color w:val="auto"/>
                <w:sz w:val="24"/>
                <w:szCs w:val="24"/>
                <w:highlight w:val="none"/>
              </w:rPr>
              <w:t>拟安排的项目负责人须为投标人自有员工（提供社保作为证明材料）</w:t>
            </w:r>
            <w:r>
              <w:rPr>
                <w:rFonts w:hAnsi="仿宋_GB2312" w:cs="仿宋_GB2312"/>
                <w:bCs/>
                <w:color w:val="auto"/>
                <w:sz w:val="24"/>
                <w:szCs w:val="24"/>
                <w:highlight w:val="none"/>
              </w:rPr>
              <w:t>，否则本项不得分</w:t>
            </w:r>
            <w:r>
              <w:rPr>
                <w:rFonts w:hint="eastAsia" w:hAnsi="仿宋_GB2312" w:cs="仿宋_GB2312"/>
                <w:bCs/>
                <w:color w:val="auto"/>
                <w:sz w:val="24"/>
                <w:szCs w:val="24"/>
                <w:highlight w:val="none"/>
              </w:rPr>
              <w:t>。</w:t>
            </w:r>
          </w:p>
          <w:p>
            <w:pPr>
              <w:spacing w:line="240" w:lineRule="auto"/>
              <w:ind w:firstLine="0" w:firstLineChars="0"/>
              <w:jc w:val="both"/>
              <w:rPr>
                <w:rFonts w:hint="eastAsia" w:hAnsi="仿宋_GB2312" w:cs="仿宋_GB2312"/>
                <w:bCs/>
                <w:color w:val="auto"/>
                <w:sz w:val="24"/>
                <w:szCs w:val="24"/>
                <w:highlight w:val="none"/>
              </w:rPr>
            </w:pPr>
            <w:r>
              <w:rPr>
                <w:rFonts w:hint="eastAsia" w:hAnsi="仿宋_GB2312" w:cs="仿宋_GB2312"/>
                <w:bCs/>
                <w:color w:val="auto"/>
                <w:sz w:val="24"/>
                <w:szCs w:val="24"/>
                <w:highlight w:val="none"/>
              </w:rPr>
              <w:t>①具有博士研究生学历；②具有</w:t>
            </w:r>
            <w:r>
              <w:rPr>
                <w:rFonts w:hAnsi="仿宋_GB2312" w:cs="仿宋_GB2312"/>
                <w:bCs/>
                <w:color w:val="auto"/>
                <w:sz w:val="24"/>
                <w:szCs w:val="24"/>
                <w:highlight w:val="none"/>
              </w:rPr>
              <w:t>经济专业</w:t>
            </w:r>
            <w:r>
              <w:rPr>
                <w:rFonts w:hint="eastAsia" w:hAnsi="仿宋_GB2312" w:cs="仿宋_GB2312"/>
                <w:bCs/>
                <w:color w:val="auto"/>
                <w:sz w:val="24"/>
                <w:szCs w:val="24"/>
                <w:highlight w:val="none"/>
              </w:rPr>
              <w:t>副高及以上职称；</w:t>
            </w:r>
            <w:r>
              <w:rPr>
                <w:rFonts w:hAnsi="仿宋_GB2312" w:cs="仿宋_GB2312"/>
                <w:bCs/>
                <w:color w:val="auto"/>
                <w:sz w:val="24"/>
                <w:szCs w:val="24"/>
                <w:highlight w:val="none"/>
              </w:rPr>
              <w:t>③具有5年以上经济</w:t>
            </w:r>
            <w:r>
              <w:rPr>
                <w:rFonts w:hint="eastAsia" w:hAnsi="仿宋_GB2312" w:cs="仿宋_GB2312"/>
                <w:bCs/>
                <w:color w:val="auto"/>
                <w:sz w:val="24"/>
                <w:szCs w:val="24"/>
                <w:highlight w:val="none"/>
              </w:rPr>
              <w:t>、</w:t>
            </w:r>
            <w:r>
              <w:rPr>
                <w:rFonts w:hAnsi="仿宋_GB2312" w:cs="仿宋_GB2312"/>
                <w:bCs/>
                <w:color w:val="auto"/>
                <w:sz w:val="24"/>
                <w:szCs w:val="24"/>
                <w:highlight w:val="none"/>
              </w:rPr>
              <w:t>产业研究相关工作经验。以上要求满足三项得5分；满足两项得2分；其它情况不得分。</w:t>
            </w:r>
          </w:p>
        </w:tc>
        <w:tc>
          <w:tcPr>
            <w:tcW w:w="2682" w:type="dxa"/>
            <w:vAlign w:val="center"/>
          </w:tcPr>
          <w:p>
            <w:pPr>
              <w:spacing w:line="240" w:lineRule="auto"/>
              <w:ind w:firstLine="0" w:firstLineChars="0"/>
              <w:jc w:val="both"/>
              <w:rPr>
                <w:rFonts w:hint="eastAsia" w:hAnsi="仿宋_GB2312" w:cs="仿宋_GB2312"/>
                <w:bCs/>
                <w:color w:val="auto"/>
                <w:sz w:val="24"/>
                <w:szCs w:val="24"/>
                <w:highlight w:val="none"/>
              </w:rPr>
            </w:pPr>
            <w:r>
              <w:rPr>
                <w:rFonts w:hint="eastAsia" w:hAnsi="仿宋_GB2312" w:cs="仿宋_GB2312"/>
                <w:bCs/>
                <w:color w:val="auto"/>
                <w:sz w:val="24"/>
                <w:szCs w:val="24"/>
                <w:highlight w:val="none"/>
              </w:rPr>
              <w:t>1.投标人须提供学历证书或职称证书及投标人为其缴纳的近三个月社保证明原件扫描件，作为得分依据。未提供或提供不清晰导致无法判断的，不得分。</w:t>
            </w:r>
          </w:p>
          <w:p>
            <w:pPr>
              <w:spacing w:line="240" w:lineRule="auto"/>
              <w:ind w:firstLine="0" w:firstLineChars="0"/>
              <w:jc w:val="both"/>
              <w:rPr>
                <w:rFonts w:hint="eastAsia" w:hAnsi="仿宋_GB2312" w:cs="仿宋_GB2312"/>
                <w:bCs/>
                <w:color w:val="auto"/>
                <w:sz w:val="24"/>
                <w:szCs w:val="24"/>
                <w:highlight w:val="none"/>
              </w:rPr>
            </w:pPr>
            <w:r>
              <w:rPr>
                <w:rFonts w:hint="eastAsia" w:hAnsi="仿宋_GB2312" w:cs="仿宋_GB2312"/>
                <w:bCs/>
                <w:color w:val="auto"/>
                <w:sz w:val="24"/>
                <w:szCs w:val="24"/>
                <w:highlight w:val="none"/>
              </w:rPr>
              <w:t>2.以上资料均要求提供扫描件，原件备查。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866" w:type="dxa"/>
            <w:vMerge w:val="continue"/>
            <w:vAlign w:val="center"/>
          </w:tcPr>
          <w:p>
            <w:pPr>
              <w:spacing w:line="240" w:lineRule="auto"/>
              <w:ind w:firstLine="0" w:firstLineChars="0"/>
              <w:jc w:val="center"/>
              <w:rPr>
                <w:rFonts w:hint="eastAsia" w:hAnsi="仿宋_GB2312" w:cs="仿宋_GB2312"/>
                <w:bCs/>
                <w:color w:val="auto"/>
                <w:sz w:val="24"/>
                <w:szCs w:val="24"/>
                <w:highlight w:val="none"/>
              </w:rPr>
            </w:pPr>
          </w:p>
        </w:tc>
        <w:tc>
          <w:tcPr>
            <w:tcW w:w="1843" w:type="dxa"/>
            <w:vAlign w:val="center"/>
          </w:tcPr>
          <w:p>
            <w:pPr>
              <w:spacing w:line="240" w:lineRule="auto"/>
              <w:ind w:firstLine="0" w:firstLineChars="0"/>
              <w:jc w:val="center"/>
              <w:rPr>
                <w:rFonts w:hint="eastAsia" w:hAnsi="仿宋_GB2312" w:cs="仿宋_GB2312"/>
                <w:bCs/>
                <w:color w:val="auto"/>
                <w:sz w:val="24"/>
                <w:szCs w:val="24"/>
                <w:highlight w:val="none"/>
              </w:rPr>
            </w:pPr>
            <w:r>
              <w:rPr>
                <w:rFonts w:hint="eastAsia" w:hAnsi="仿宋_GB2312" w:cs="仿宋_GB2312"/>
                <w:bCs/>
                <w:color w:val="auto"/>
                <w:sz w:val="24"/>
                <w:szCs w:val="24"/>
                <w:highlight w:val="none"/>
              </w:rPr>
              <w:t>拟安排的项目主要团队成员（主要技术人员）情况（项目负责人除外）</w:t>
            </w:r>
          </w:p>
          <w:p>
            <w:pPr>
              <w:spacing w:line="240" w:lineRule="auto"/>
              <w:ind w:firstLine="0" w:firstLineChars="0"/>
              <w:jc w:val="center"/>
              <w:rPr>
                <w:rFonts w:hint="eastAsia" w:hAnsi="仿宋_GB2312" w:cs="仿宋_GB2312"/>
                <w:bCs/>
                <w:color w:val="auto"/>
                <w:kern w:val="0"/>
                <w:sz w:val="24"/>
                <w:szCs w:val="24"/>
                <w:highlight w:val="none"/>
              </w:rPr>
            </w:pPr>
            <w:r>
              <w:rPr>
                <w:rFonts w:hAnsi="仿宋_GB2312" w:cs="仿宋_GB2312"/>
                <w:bCs/>
                <w:color w:val="auto"/>
                <w:sz w:val="24"/>
                <w:szCs w:val="24"/>
                <w:highlight w:val="none"/>
              </w:rPr>
              <w:t>（</w:t>
            </w:r>
            <w:r>
              <w:rPr>
                <w:rFonts w:hint="eastAsia" w:hAnsi="仿宋_GB2312" w:cs="仿宋_GB2312"/>
                <w:bCs/>
                <w:color w:val="auto"/>
                <w:sz w:val="24"/>
                <w:szCs w:val="24"/>
                <w:highlight w:val="none"/>
              </w:rPr>
              <w:t>1</w:t>
            </w:r>
            <w:r>
              <w:rPr>
                <w:rFonts w:hAnsi="仿宋_GB2312" w:cs="仿宋_GB2312"/>
                <w:bCs/>
                <w:color w:val="auto"/>
                <w:sz w:val="24"/>
                <w:szCs w:val="24"/>
                <w:highlight w:val="none"/>
              </w:rPr>
              <w:t>5分）</w:t>
            </w:r>
          </w:p>
        </w:tc>
        <w:tc>
          <w:tcPr>
            <w:tcW w:w="3969" w:type="dxa"/>
            <w:vAlign w:val="center"/>
          </w:tcPr>
          <w:p>
            <w:pPr>
              <w:spacing w:line="240" w:lineRule="auto"/>
              <w:ind w:firstLine="0" w:firstLineChars="0"/>
              <w:jc w:val="both"/>
              <w:rPr>
                <w:rFonts w:hint="eastAsia" w:hAnsi="仿宋_GB2312" w:cs="仿宋_GB2312"/>
                <w:bCs/>
                <w:color w:val="auto"/>
                <w:sz w:val="24"/>
                <w:szCs w:val="24"/>
                <w:highlight w:val="none"/>
              </w:rPr>
            </w:pPr>
            <w:r>
              <w:rPr>
                <w:rFonts w:hint="eastAsia" w:hAnsi="仿宋_GB2312" w:cs="仿宋_GB2312"/>
                <w:bCs/>
                <w:color w:val="auto"/>
                <w:sz w:val="24"/>
                <w:szCs w:val="24"/>
                <w:highlight w:val="none"/>
              </w:rPr>
              <w:t>拟安排的项目团队成员须为投标人自有员工（提供社保作为证明材料），否则本项不得分。团队成员不少于</w:t>
            </w:r>
            <w:r>
              <w:rPr>
                <w:rFonts w:hAnsi="仿宋_GB2312" w:cs="仿宋_GB2312"/>
                <w:bCs/>
                <w:color w:val="auto"/>
                <w:sz w:val="24"/>
                <w:szCs w:val="24"/>
                <w:highlight w:val="none"/>
              </w:rPr>
              <w:t>5</w:t>
            </w:r>
            <w:r>
              <w:rPr>
                <w:rFonts w:hint="eastAsia" w:hAnsi="仿宋_GB2312" w:cs="仿宋_GB2312"/>
                <w:bCs/>
                <w:color w:val="auto"/>
                <w:sz w:val="24"/>
                <w:szCs w:val="24"/>
                <w:highlight w:val="none"/>
              </w:rPr>
              <w:t>名，少于</w:t>
            </w:r>
            <w:r>
              <w:rPr>
                <w:rFonts w:hAnsi="仿宋_GB2312" w:cs="仿宋_GB2312"/>
                <w:bCs/>
                <w:color w:val="auto"/>
                <w:sz w:val="24"/>
                <w:szCs w:val="24"/>
                <w:highlight w:val="none"/>
              </w:rPr>
              <w:t>5</w:t>
            </w:r>
            <w:r>
              <w:rPr>
                <w:rFonts w:hint="eastAsia" w:hAnsi="仿宋_GB2312" w:cs="仿宋_GB2312"/>
                <w:bCs/>
                <w:color w:val="auto"/>
                <w:sz w:val="24"/>
                <w:szCs w:val="24"/>
                <w:highlight w:val="none"/>
              </w:rPr>
              <w:t>名不得分。</w:t>
            </w:r>
          </w:p>
          <w:p>
            <w:pPr>
              <w:spacing w:line="240" w:lineRule="auto"/>
              <w:ind w:firstLine="0" w:firstLineChars="0"/>
              <w:jc w:val="both"/>
              <w:rPr>
                <w:rFonts w:hint="eastAsia" w:hAnsi="仿宋_GB2312" w:cs="仿宋_GB2312"/>
                <w:bCs/>
                <w:color w:val="auto"/>
                <w:sz w:val="24"/>
                <w:szCs w:val="24"/>
                <w:highlight w:val="none"/>
              </w:rPr>
            </w:pPr>
            <w:r>
              <w:rPr>
                <w:rFonts w:hint="eastAsia" w:hAnsi="仿宋_GB2312" w:cs="仿宋_GB2312"/>
                <w:bCs/>
                <w:color w:val="auto"/>
                <w:sz w:val="24"/>
                <w:szCs w:val="24"/>
                <w:highlight w:val="none"/>
              </w:rPr>
              <w:t>团队成员评分标准：①拥有博士研究生学历或高级职称（副高及以上）人数不少于3名，得分15分；②拥有研究生学历或中级（或以上）职称人数不少于3人，得10分；③研究生学历或中级（或以上）职称人数1</w:t>
            </w:r>
            <w:r>
              <w:rPr>
                <w:rFonts w:hAnsi="仿宋_GB2312" w:cs="仿宋_GB2312"/>
                <w:bCs/>
                <w:color w:val="auto"/>
                <w:sz w:val="24"/>
                <w:szCs w:val="24"/>
                <w:highlight w:val="none"/>
              </w:rPr>
              <w:t>-2</w:t>
            </w:r>
            <w:r>
              <w:rPr>
                <w:rFonts w:hint="eastAsia" w:hAnsi="仿宋_GB2312" w:cs="仿宋_GB2312"/>
                <w:bCs/>
                <w:color w:val="auto"/>
                <w:sz w:val="24"/>
                <w:szCs w:val="24"/>
                <w:highlight w:val="none"/>
              </w:rPr>
              <w:t>人，得5分；其它情况不得分。</w:t>
            </w:r>
          </w:p>
        </w:tc>
        <w:tc>
          <w:tcPr>
            <w:tcW w:w="2682" w:type="dxa"/>
            <w:vAlign w:val="center"/>
          </w:tcPr>
          <w:p>
            <w:pPr>
              <w:spacing w:line="240" w:lineRule="auto"/>
              <w:ind w:firstLine="0" w:firstLineChars="0"/>
              <w:jc w:val="both"/>
              <w:rPr>
                <w:rFonts w:hint="eastAsia" w:hAnsi="仿宋_GB2312" w:cs="仿宋_GB2312"/>
                <w:bCs/>
                <w:color w:val="auto"/>
                <w:sz w:val="24"/>
                <w:szCs w:val="24"/>
                <w:highlight w:val="none"/>
              </w:rPr>
            </w:pPr>
            <w:r>
              <w:rPr>
                <w:rFonts w:hint="eastAsia" w:hAnsi="仿宋_GB2312" w:cs="仿宋_GB2312"/>
                <w:bCs/>
                <w:color w:val="auto"/>
                <w:sz w:val="24"/>
                <w:szCs w:val="24"/>
                <w:highlight w:val="none"/>
              </w:rPr>
              <w:t>1.投标人须提供相关人员学历证书、职称证书及投标人为其缴纳的近三个月社保证明原件扫描件，作为得分依据。未提供或提供不清晰导致无法判断的，不得分。</w:t>
            </w:r>
          </w:p>
          <w:p>
            <w:pPr>
              <w:spacing w:line="240" w:lineRule="auto"/>
              <w:ind w:firstLine="0" w:firstLineChars="0"/>
              <w:jc w:val="both"/>
              <w:rPr>
                <w:rFonts w:hint="eastAsia" w:hAnsi="仿宋_GB2312" w:cs="仿宋_GB2312"/>
                <w:bCs/>
                <w:color w:val="auto"/>
                <w:sz w:val="24"/>
                <w:szCs w:val="24"/>
                <w:highlight w:val="none"/>
              </w:rPr>
            </w:pPr>
            <w:r>
              <w:rPr>
                <w:rFonts w:hint="eastAsia" w:hAnsi="仿宋_GB2312" w:cs="仿宋_GB2312"/>
                <w:bCs/>
                <w:color w:val="auto"/>
                <w:sz w:val="24"/>
                <w:szCs w:val="24"/>
                <w:highlight w:val="none"/>
              </w:rPr>
              <w:t>2.以上资料均要求提供扫描件，原件备查。</w:t>
            </w:r>
          </w:p>
        </w:tc>
      </w:tr>
    </w:tbl>
    <w:p>
      <w:pPr>
        <w:keepNext w:val="0"/>
        <w:keepLines w:val="0"/>
        <w:pageBreakBefore w:val="0"/>
        <w:widowControl w:val="0"/>
        <w:kinsoku/>
        <w:wordWrap/>
        <w:overflowPunct/>
        <w:topLinePunct w:val="0"/>
        <w:autoSpaceDE/>
        <w:autoSpaceDN/>
        <w:bidi w:val="0"/>
        <w:spacing w:line="480" w:lineRule="exact"/>
        <w:ind w:firstLine="640"/>
        <w:textAlignment w:val="auto"/>
        <w:rPr>
          <w:color w:val="auto"/>
          <w:highlight w:val="none"/>
        </w:rPr>
      </w:pPr>
      <w:r>
        <w:rPr>
          <w:rFonts w:hint="eastAsia"/>
          <w:color w:val="auto"/>
          <w:highlight w:val="none"/>
        </w:rPr>
        <w:t>4.报价</w:t>
      </w:r>
    </w:p>
    <w:p>
      <w:pPr>
        <w:keepNext w:val="0"/>
        <w:keepLines w:val="0"/>
        <w:pageBreakBefore w:val="0"/>
        <w:widowControl w:val="0"/>
        <w:kinsoku/>
        <w:wordWrap/>
        <w:overflowPunct/>
        <w:topLinePunct w:val="0"/>
        <w:autoSpaceDE/>
        <w:autoSpaceDN/>
        <w:bidi w:val="0"/>
        <w:spacing w:line="480" w:lineRule="exact"/>
        <w:ind w:firstLine="640"/>
        <w:textAlignment w:val="auto"/>
        <w:rPr>
          <w:color w:val="auto"/>
          <w:highlight w:val="none"/>
        </w:rPr>
      </w:pPr>
      <w:r>
        <w:rPr>
          <w:color w:val="auto"/>
          <w:highlight w:val="none"/>
        </w:rPr>
        <w:t>投标报价不得超过项目预算金额。</w:t>
      </w:r>
      <w:r>
        <w:rPr>
          <w:rFonts w:hint="eastAsia"/>
          <w:color w:val="auto"/>
          <w:highlight w:val="none"/>
        </w:rPr>
        <w:t>以</w:t>
      </w:r>
      <w:r>
        <w:rPr>
          <w:rFonts w:hint="eastAsia" w:hAnsi="仿宋" w:cs="仿宋_GB2312"/>
          <w:color w:val="auto"/>
          <w:highlight w:val="none"/>
        </w:rPr>
        <w:t>投标</w:t>
      </w:r>
      <w:r>
        <w:rPr>
          <w:rFonts w:hint="eastAsia"/>
          <w:color w:val="auto"/>
          <w:highlight w:val="none"/>
        </w:rPr>
        <w:t>人所报的有效报价中的最低价作为基准价，各投标人报价得分=（基准价/投标人报价）×</w:t>
      </w:r>
      <w:r>
        <w:rPr>
          <w:color w:val="auto"/>
          <w:highlight w:val="none"/>
        </w:rPr>
        <w:t>2</w:t>
      </w:r>
      <w:r>
        <w:rPr>
          <w:rFonts w:hint="eastAsia"/>
          <w:color w:val="auto"/>
          <w:highlight w:val="none"/>
        </w:rPr>
        <w:t>0分。</w:t>
      </w:r>
    </w:p>
    <w:p>
      <w:pPr>
        <w:spacing w:line="480" w:lineRule="exact"/>
        <w:ind w:firstLine="640"/>
        <w:rPr>
          <w:rFonts w:hint="eastAsia"/>
          <w:color w:val="auto"/>
          <w:highlight w:val="none"/>
          <w:lang w:val="en"/>
        </w:rPr>
      </w:pPr>
    </w:p>
    <w:sectPr>
      <w:footerReference r:id="rId9" w:type="first"/>
      <w:headerReference r:id="rId7" w:type="default"/>
      <w:footerReference r:id="rId8" w:type="default"/>
      <w:pgSz w:w="11906" w:h="16838"/>
      <w:pgMar w:top="1440" w:right="1800" w:bottom="1440" w:left="1800" w:header="851" w:footer="992" w:gutter="0"/>
      <w:pgNumType w:fmt="decimal" w:start="1"/>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Times">
    <w:altName w:val="DejaVu Sans"/>
    <w:panose1 w:val="02020603050405020304"/>
    <w:charset w:val="00"/>
    <w:family w:val="roman"/>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9" w:usb3="00000000" w:csb0="000001FF" w:csb1="00000000"/>
  </w:font>
  <w:font w:name="楷体">
    <w:altName w:val="方正楷体_GBK"/>
    <w:panose1 w:val="02010609060101010101"/>
    <w:charset w:val="86"/>
    <w:family w:val="modern"/>
    <w:pitch w:val="default"/>
    <w:sig w:usb0="00000000" w:usb1="00000000" w:usb2="00000016" w:usb3="00000000" w:csb0="00040001" w:csb1="00000000"/>
  </w:font>
  <w:font w:name="Cambria">
    <w:altName w:val="FreeSerif"/>
    <w:panose1 w:val="02040503050406030204"/>
    <w:charset w:val="00"/>
    <w:family w:val="roman"/>
    <w:pitch w:val="default"/>
    <w:sig w:usb0="00000000" w:usb1="00000000" w:usb2="02000000"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CESI楷体-GB2312">
    <w:panose1 w:val="02000500000000000000"/>
    <w:charset w:val="86"/>
    <w:family w:val="auto"/>
    <w:pitch w:val="default"/>
    <w:sig w:usb0="800002BF" w:usb1="184F6CF8" w:usb2="00000012" w:usb3="00000000" w:csb0="0004000F" w:csb1="00000000"/>
  </w:font>
  <w:font w:name="Segoe UI">
    <w:altName w:val="Noto Naskh Arabic"/>
    <w:panose1 w:val="020B0502040204020203"/>
    <w:charset w:val="00"/>
    <w:family w:val="auto"/>
    <w:pitch w:val="default"/>
    <w:sig w:usb0="00000000" w:usb1="00000000"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Naskh Arabic">
    <w:panose1 w:val="020B0502040504020204"/>
    <w:charset w:val="00"/>
    <w:family w:val="auto"/>
    <w:pitch w:val="default"/>
    <w:sig w:usb0="80002003" w:usb1="80002000" w:usb2="00000008" w:usb3="00000000" w:csb0="00000041" w:csb1="0008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right"/>
      <w:rPr>
        <w:sz w:val="30"/>
        <w:szCs w:val="3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right"/>
      <w:rPr>
        <w:sz w:val="30"/>
        <w:szCs w:val="30"/>
      </w:rPr>
    </w:pPr>
    <w:r>
      <w:rPr>
        <w:sz w:val="30"/>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af7QUdAgAAKwQAAA4AAAAAAAAAAQAgAAAANQEAAGRycy9lMm9Eb2MueG1sUEsF&#10;BgAAAAAGAAYAWQEAAMQFAAAAAA==&#10;">
              <v:fill on="f" focussize="0,0"/>
              <v:stroke on="f" weight="0.5pt"/>
              <v:imagedata o:title=""/>
              <o:lock v:ext="edit" aspectratio="f"/>
              <v:textbox inset="0mm,0mm,0mm,0mm" style="mso-fit-shape-to-text:t;">
                <w:txbxContent>
                  <w:p>
                    <w:pPr>
                      <w:pStyle w:val="1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0" w:firstLineChars="0"/>
      <w:jc w:val="right"/>
      <w:rPr>
        <w:sz w:val="30"/>
        <w:szCs w:val="30"/>
      </w:rPr>
    </w:pPr>
    <w:r>
      <w:rPr>
        <w:sz w:val="30"/>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q3L+F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Crcv4UdAgAAKwQAAA4AAAAAAAAAAQAgAAAANQEAAGRycy9lMm9Eb2MueG1sUEsF&#10;BgAAAAAGAAYAWQEAAMQFAAAAAA==&#10;">
              <v:fill on="f" focussize="0,0"/>
              <v:stroke on="f" weight="0.5pt"/>
              <v:imagedata o:title=""/>
              <o:lock v:ext="edit" aspectratio="f"/>
              <v:textbox inset="0mm,0mm,0mm,0mm" style="mso-fit-shape-to-text:t;">
                <w:txbxContent>
                  <w:p>
                    <w:pPr>
                      <w:pStyle w:val="1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trackRevisions w:val="true"/>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B54538D0"/>
    <w:rsid w:val="00000513"/>
    <w:rsid w:val="000303B1"/>
    <w:rsid w:val="0007103F"/>
    <w:rsid w:val="00073141"/>
    <w:rsid w:val="00080D17"/>
    <w:rsid w:val="000B0D29"/>
    <w:rsid w:val="000B35D2"/>
    <w:rsid w:val="000D47A2"/>
    <w:rsid w:val="000E0791"/>
    <w:rsid w:val="000F3FED"/>
    <w:rsid w:val="0012298E"/>
    <w:rsid w:val="00161F44"/>
    <w:rsid w:val="001645B1"/>
    <w:rsid w:val="00171523"/>
    <w:rsid w:val="00172265"/>
    <w:rsid w:val="00185251"/>
    <w:rsid w:val="0018620E"/>
    <w:rsid w:val="00186495"/>
    <w:rsid w:val="001B0B07"/>
    <w:rsid w:val="001B1F69"/>
    <w:rsid w:val="001D4064"/>
    <w:rsid w:val="001E164C"/>
    <w:rsid w:val="001F39F2"/>
    <w:rsid w:val="001F7A9E"/>
    <w:rsid w:val="002170F0"/>
    <w:rsid w:val="00221001"/>
    <w:rsid w:val="002529AC"/>
    <w:rsid w:val="00256F84"/>
    <w:rsid w:val="00271E46"/>
    <w:rsid w:val="002743E8"/>
    <w:rsid w:val="00274CB0"/>
    <w:rsid w:val="00290045"/>
    <w:rsid w:val="002A3580"/>
    <w:rsid w:val="002B7F7C"/>
    <w:rsid w:val="002D01E7"/>
    <w:rsid w:val="002D51C5"/>
    <w:rsid w:val="00301CE6"/>
    <w:rsid w:val="003048C6"/>
    <w:rsid w:val="00316928"/>
    <w:rsid w:val="00331740"/>
    <w:rsid w:val="003317F3"/>
    <w:rsid w:val="00340F42"/>
    <w:rsid w:val="0034563F"/>
    <w:rsid w:val="003472DC"/>
    <w:rsid w:val="00350078"/>
    <w:rsid w:val="00377E1D"/>
    <w:rsid w:val="00380B14"/>
    <w:rsid w:val="00386CAA"/>
    <w:rsid w:val="003912EC"/>
    <w:rsid w:val="0039338F"/>
    <w:rsid w:val="003B0E45"/>
    <w:rsid w:val="003B6EC6"/>
    <w:rsid w:val="003D4506"/>
    <w:rsid w:val="003D4FF2"/>
    <w:rsid w:val="003F17F7"/>
    <w:rsid w:val="003F5A99"/>
    <w:rsid w:val="00407905"/>
    <w:rsid w:val="00411905"/>
    <w:rsid w:val="00441447"/>
    <w:rsid w:val="00450A25"/>
    <w:rsid w:val="00477087"/>
    <w:rsid w:val="00482C9A"/>
    <w:rsid w:val="00486A89"/>
    <w:rsid w:val="004D07D5"/>
    <w:rsid w:val="004F0590"/>
    <w:rsid w:val="004F7F68"/>
    <w:rsid w:val="00510DBF"/>
    <w:rsid w:val="0052077C"/>
    <w:rsid w:val="00537198"/>
    <w:rsid w:val="00542DA9"/>
    <w:rsid w:val="00546544"/>
    <w:rsid w:val="00546E1F"/>
    <w:rsid w:val="00550C7A"/>
    <w:rsid w:val="00571E34"/>
    <w:rsid w:val="00577138"/>
    <w:rsid w:val="00580A58"/>
    <w:rsid w:val="0058700F"/>
    <w:rsid w:val="005A60A0"/>
    <w:rsid w:val="005B24FA"/>
    <w:rsid w:val="005C2CD5"/>
    <w:rsid w:val="005C3DF9"/>
    <w:rsid w:val="005D5DB7"/>
    <w:rsid w:val="005D76E5"/>
    <w:rsid w:val="005F225D"/>
    <w:rsid w:val="006123B8"/>
    <w:rsid w:val="0062472B"/>
    <w:rsid w:val="006332ED"/>
    <w:rsid w:val="0063338C"/>
    <w:rsid w:val="00643A04"/>
    <w:rsid w:val="00657BF5"/>
    <w:rsid w:val="0067275A"/>
    <w:rsid w:val="00675E18"/>
    <w:rsid w:val="006815D7"/>
    <w:rsid w:val="006940ED"/>
    <w:rsid w:val="006B4301"/>
    <w:rsid w:val="006B4C44"/>
    <w:rsid w:val="006B5B8D"/>
    <w:rsid w:val="006B6893"/>
    <w:rsid w:val="006C6DA6"/>
    <w:rsid w:val="006D07BC"/>
    <w:rsid w:val="006D4019"/>
    <w:rsid w:val="006D7036"/>
    <w:rsid w:val="006E31BD"/>
    <w:rsid w:val="006E31F9"/>
    <w:rsid w:val="006E60BC"/>
    <w:rsid w:val="006E6A95"/>
    <w:rsid w:val="0070691A"/>
    <w:rsid w:val="0073477F"/>
    <w:rsid w:val="0074713F"/>
    <w:rsid w:val="007658B5"/>
    <w:rsid w:val="00772612"/>
    <w:rsid w:val="00773227"/>
    <w:rsid w:val="00794246"/>
    <w:rsid w:val="00796272"/>
    <w:rsid w:val="007C03AB"/>
    <w:rsid w:val="007D1BB0"/>
    <w:rsid w:val="007D1EF4"/>
    <w:rsid w:val="007D63F3"/>
    <w:rsid w:val="007E76EF"/>
    <w:rsid w:val="00802817"/>
    <w:rsid w:val="00812FDB"/>
    <w:rsid w:val="00837CA1"/>
    <w:rsid w:val="00851965"/>
    <w:rsid w:val="00854AF9"/>
    <w:rsid w:val="00857EBC"/>
    <w:rsid w:val="00861B82"/>
    <w:rsid w:val="00877207"/>
    <w:rsid w:val="008D4A0F"/>
    <w:rsid w:val="008F0842"/>
    <w:rsid w:val="008F6274"/>
    <w:rsid w:val="00914151"/>
    <w:rsid w:val="00920940"/>
    <w:rsid w:val="00924944"/>
    <w:rsid w:val="009309A9"/>
    <w:rsid w:val="00930F24"/>
    <w:rsid w:val="00942180"/>
    <w:rsid w:val="00942C9E"/>
    <w:rsid w:val="00944E68"/>
    <w:rsid w:val="009514AF"/>
    <w:rsid w:val="0096169D"/>
    <w:rsid w:val="00962A99"/>
    <w:rsid w:val="0099179B"/>
    <w:rsid w:val="009A2E02"/>
    <w:rsid w:val="009A65A7"/>
    <w:rsid w:val="009C72B0"/>
    <w:rsid w:val="009D4F41"/>
    <w:rsid w:val="009E5C02"/>
    <w:rsid w:val="00A07EC1"/>
    <w:rsid w:val="00A33F45"/>
    <w:rsid w:val="00A41234"/>
    <w:rsid w:val="00A5486B"/>
    <w:rsid w:val="00A91157"/>
    <w:rsid w:val="00A93DE1"/>
    <w:rsid w:val="00A95023"/>
    <w:rsid w:val="00AA13FB"/>
    <w:rsid w:val="00AA27A5"/>
    <w:rsid w:val="00AA5E9A"/>
    <w:rsid w:val="00AA6BEE"/>
    <w:rsid w:val="00AB6672"/>
    <w:rsid w:val="00AB74E4"/>
    <w:rsid w:val="00AC3C81"/>
    <w:rsid w:val="00AD35AC"/>
    <w:rsid w:val="00AF31A4"/>
    <w:rsid w:val="00B004C6"/>
    <w:rsid w:val="00B22999"/>
    <w:rsid w:val="00B27A6B"/>
    <w:rsid w:val="00B340C6"/>
    <w:rsid w:val="00B40C57"/>
    <w:rsid w:val="00B42E08"/>
    <w:rsid w:val="00B55117"/>
    <w:rsid w:val="00B60124"/>
    <w:rsid w:val="00B71CE1"/>
    <w:rsid w:val="00B878A6"/>
    <w:rsid w:val="00BC1E6B"/>
    <w:rsid w:val="00BD498F"/>
    <w:rsid w:val="00BF58D3"/>
    <w:rsid w:val="00C01A45"/>
    <w:rsid w:val="00C037D1"/>
    <w:rsid w:val="00C163BB"/>
    <w:rsid w:val="00C349A6"/>
    <w:rsid w:val="00C410A2"/>
    <w:rsid w:val="00C66566"/>
    <w:rsid w:val="00C6763A"/>
    <w:rsid w:val="00C82191"/>
    <w:rsid w:val="00CB1C17"/>
    <w:rsid w:val="00CB201A"/>
    <w:rsid w:val="00CB7936"/>
    <w:rsid w:val="00CE534B"/>
    <w:rsid w:val="00CE624F"/>
    <w:rsid w:val="00CF1E3F"/>
    <w:rsid w:val="00D04E18"/>
    <w:rsid w:val="00D1263D"/>
    <w:rsid w:val="00D13677"/>
    <w:rsid w:val="00D15463"/>
    <w:rsid w:val="00D25308"/>
    <w:rsid w:val="00D25A08"/>
    <w:rsid w:val="00D33AAF"/>
    <w:rsid w:val="00D43C5C"/>
    <w:rsid w:val="00D53D2B"/>
    <w:rsid w:val="00D64EFB"/>
    <w:rsid w:val="00D83AF0"/>
    <w:rsid w:val="00D91AFA"/>
    <w:rsid w:val="00DA5FED"/>
    <w:rsid w:val="00DB435C"/>
    <w:rsid w:val="00DB5415"/>
    <w:rsid w:val="00DC2710"/>
    <w:rsid w:val="00DC635C"/>
    <w:rsid w:val="00DD6708"/>
    <w:rsid w:val="00DF4294"/>
    <w:rsid w:val="00E072E2"/>
    <w:rsid w:val="00E12223"/>
    <w:rsid w:val="00E131EC"/>
    <w:rsid w:val="00E14FC5"/>
    <w:rsid w:val="00E26D18"/>
    <w:rsid w:val="00E54AC9"/>
    <w:rsid w:val="00E61383"/>
    <w:rsid w:val="00E6357A"/>
    <w:rsid w:val="00E64429"/>
    <w:rsid w:val="00E66B73"/>
    <w:rsid w:val="00E8203C"/>
    <w:rsid w:val="00E97FE0"/>
    <w:rsid w:val="00EA3C57"/>
    <w:rsid w:val="00EB4D3B"/>
    <w:rsid w:val="00EC1CBF"/>
    <w:rsid w:val="00EE690A"/>
    <w:rsid w:val="00EF050D"/>
    <w:rsid w:val="00EF28CB"/>
    <w:rsid w:val="00F06334"/>
    <w:rsid w:val="00F20062"/>
    <w:rsid w:val="00F24EDB"/>
    <w:rsid w:val="00F37A3D"/>
    <w:rsid w:val="00F44E8C"/>
    <w:rsid w:val="00F7163A"/>
    <w:rsid w:val="00F84162"/>
    <w:rsid w:val="00FC54E5"/>
    <w:rsid w:val="00FE037B"/>
    <w:rsid w:val="00FE1549"/>
    <w:rsid w:val="00FE1646"/>
    <w:rsid w:val="00FE1D78"/>
    <w:rsid w:val="07F275CD"/>
    <w:rsid w:val="0E2DB1B9"/>
    <w:rsid w:val="1DBE8690"/>
    <w:rsid w:val="273DCBAB"/>
    <w:rsid w:val="2A6F956A"/>
    <w:rsid w:val="2BFA16FA"/>
    <w:rsid w:val="39FB535D"/>
    <w:rsid w:val="3CFDCABA"/>
    <w:rsid w:val="3D715DA7"/>
    <w:rsid w:val="3FDE19C3"/>
    <w:rsid w:val="5B7FA704"/>
    <w:rsid w:val="62FED681"/>
    <w:rsid w:val="67FAEFCA"/>
    <w:rsid w:val="67FD8F80"/>
    <w:rsid w:val="739FA04F"/>
    <w:rsid w:val="77974289"/>
    <w:rsid w:val="7DE7721E"/>
    <w:rsid w:val="7DEEE0C3"/>
    <w:rsid w:val="7EFF2A6E"/>
    <w:rsid w:val="7F5F8F64"/>
    <w:rsid w:val="7F7701D4"/>
    <w:rsid w:val="7FDACADA"/>
    <w:rsid w:val="7FDB9F2E"/>
    <w:rsid w:val="8DB7C536"/>
    <w:rsid w:val="8FFBA8BB"/>
    <w:rsid w:val="9BBFF13E"/>
    <w:rsid w:val="9BD8AAB4"/>
    <w:rsid w:val="9CFFB4AF"/>
    <w:rsid w:val="ADFF4543"/>
    <w:rsid w:val="AFFFC92D"/>
    <w:rsid w:val="B54538D0"/>
    <w:rsid w:val="BB96C5FF"/>
    <w:rsid w:val="D72E2B6C"/>
    <w:rsid w:val="DDF1D9D7"/>
    <w:rsid w:val="DEF75F5C"/>
    <w:rsid w:val="DFBB24EA"/>
    <w:rsid w:val="DFBB926B"/>
    <w:rsid w:val="DFBE2BFD"/>
    <w:rsid w:val="DFF73E87"/>
    <w:rsid w:val="E4723F51"/>
    <w:rsid w:val="F47DF56A"/>
    <w:rsid w:val="F6F7A560"/>
    <w:rsid w:val="FA5F680E"/>
    <w:rsid w:val="FAF67174"/>
    <w:rsid w:val="FB46C6FC"/>
    <w:rsid w:val="FBAE8EF6"/>
    <w:rsid w:val="FBED11A1"/>
    <w:rsid w:val="FD3F073E"/>
    <w:rsid w:val="FDCB1594"/>
    <w:rsid w:val="FE3EBF13"/>
    <w:rsid w:val="FF7F6CEA"/>
    <w:rsid w:val="FFCFF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ind w:firstLine="200" w:firstLineChars="200"/>
      <w:jc w:val="both"/>
    </w:pPr>
    <w:rPr>
      <w:rFonts w:ascii="仿宋_GB2312" w:hAnsi="Times" w:eastAsia="仿宋_GB2312" w:cs="Times New Roman"/>
      <w:kern w:val="2"/>
      <w:sz w:val="32"/>
      <w:szCs w:val="32"/>
      <w:lang w:val="en-US" w:eastAsia="zh-CN" w:bidi="ar-SA"/>
    </w:rPr>
  </w:style>
  <w:style w:type="paragraph" w:styleId="3">
    <w:name w:val="heading 2"/>
    <w:basedOn w:val="1"/>
    <w:next w:val="1"/>
    <w:qFormat/>
    <w:uiPriority w:val="0"/>
    <w:pPr>
      <w:keepNext/>
      <w:keepLines/>
      <w:outlineLvl w:val="1"/>
    </w:pPr>
    <w:rPr>
      <w:rFonts w:ascii="Calibri Light" w:hAnsi="Calibri Light" w:eastAsia="楷体"/>
      <w:bCs/>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5">
    <w:name w:val="index 8"/>
    <w:basedOn w:val="1"/>
    <w:next w:val="1"/>
    <w:qFormat/>
    <w:uiPriority w:val="0"/>
    <w:pPr>
      <w:ind w:left="1400" w:leftChars="1400" w:firstLine="0"/>
    </w:pPr>
  </w:style>
  <w:style w:type="paragraph" w:styleId="6">
    <w:name w:val="Normal Indent"/>
    <w:basedOn w:val="1"/>
    <w:unhideWhenUsed/>
    <w:qFormat/>
    <w:uiPriority w:val="99"/>
    <w:pPr>
      <w:ind w:firstLine="420"/>
    </w:pPr>
  </w:style>
  <w:style w:type="paragraph" w:styleId="7">
    <w:name w:val="Body Text"/>
    <w:basedOn w:val="1"/>
    <w:next w:val="1"/>
    <w:unhideWhenUsed/>
    <w:qFormat/>
    <w:uiPriority w:val="99"/>
    <w:pPr>
      <w:spacing w:after="120"/>
    </w:pPr>
  </w:style>
  <w:style w:type="paragraph" w:styleId="8">
    <w:name w:val="Plain Text"/>
    <w:basedOn w:val="1"/>
    <w:next w:val="5"/>
    <w:link w:val="26"/>
    <w:unhideWhenUsed/>
    <w:qFormat/>
    <w:uiPriority w:val="99"/>
    <w:pPr>
      <w:adjustRightInd/>
      <w:snapToGrid/>
      <w:spacing w:line="240" w:lineRule="auto"/>
      <w:ind w:firstLine="0" w:firstLineChars="0"/>
    </w:pPr>
    <w:rPr>
      <w:rFonts w:ascii="宋体" w:hAnsi="Courier New" w:eastAsia="宋体" w:cs="Courier New"/>
      <w:sz w:val="21"/>
      <w:szCs w:val="21"/>
    </w:rPr>
  </w:style>
  <w:style w:type="paragraph" w:styleId="9">
    <w:name w:val="Date"/>
    <w:basedOn w:val="1"/>
    <w:next w:val="1"/>
    <w:link w:val="23"/>
    <w:qFormat/>
    <w:uiPriority w:val="0"/>
    <w:pPr>
      <w:ind w:left="100" w:leftChars="2500"/>
    </w:pPr>
  </w:style>
  <w:style w:type="paragraph" w:styleId="10">
    <w:name w:val="footer"/>
    <w:basedOn w:val="1"/>
    <w:link w:val="21"/>
    <w:unhideWhenUsed/>
    <w:qFormat/>
    <w:uiPriority w:val="99"/>
    <w:pPr>
      <w:tabs>
        <w:tab w:val="center" w:pos="4153"/>
        <w:tab w:val="right" w:pos="8306"/>
      </w:tabs>
      <w:jc w:val="left"/>
    </w:pPr>
    <w:rPr>
      <w:rFonts w:ascii="Calibri" w:hAnsi="Calibri" w:eastAsia="宋体"/>
      <w:sz w:val="18"/>
      <w:szCs w:val="18"/>
    </w:rPr>
  </w:style>
  <w:style w:type="paragraph" w:styleId="11">
    <w:name w:val="header"/>
    <w:basedOn w:val="1"/>
    <w:link w:val="19"/>
    <w:qFormat/>
    <w:uiPriority w:val="0"/>
    <w:pPr>
      <w:tabs>
        <w:tab w:val="center" w:pos="4153"/>
        <w:tab w:val="right" w:pos="8306"/>
      </w:tabs>
      <w:spacing w:line="240" w:lineRule="atLeast"/>
      <w:jc w:val="center"/>
    </w:pPr>
    <w:rPr>
      <w:sz w:val="18"/>
      <w:szCs w:val="18"/>
    </w:rPr>
  </w:style>
  <w:style w:type="paragraph" w:styleId="12">
    <w:name w:val="Subtitle"/>
    <w:basedOn w:val="1"/>
    <w:qFormat/>
    <w:uiPriority w:val="0"/>
    <w:pPr>
      <w:spacing w:before="240" w:after="60" w:line="312" w:lineRule="auto"/>
      <w:jc w:val="center"/>
      <w:outlineLvl w:val="1"/>
    </w:pPr>
    <w:rPr>
      <w:rFonts w:ascii="Cambria" w:hAnsi="Cambria"/>
      <w:b/>
      <w:bCs/>
      <w:kern w:val="28"/>
    </w:rPr>
  </w:style>
  <w:style w:type="paragraph" w:styleId="13">
    <w:name w:val="Normal (Web)"/>
    <w:basedOn w:val="1"/>
    <w:qFormat/>
    <w:uiPriority w:val="0"/>
    <w:pPr>
      <w:spacing w:before="100" w:beforeAutospacing="1" w:after="100" w:afterAutospacing="1"/>
      <w:jc w:val="left"/>
    </w:pPr>
    <w:rPr>
      <w:kern w:val="0"/>
      <w:sz w:val="24"/>
    </w:rPr>
  </w:style>
  <w:style w:type="character" w:styleId="16">
    <w:name w:val="footnote reference"/>
    <w:basedOn w:val="15"/>
    <w:qFormat/>
    <w:uiPriority w:val="0"/>
    <w:rPr>
      <w:vertAlign w:val="superscript"/>
    </w:rPr>
  </w:style>
  <w:style w:type="paragraph" w:customStyle="1" w:styleId="17">
    <w:name w:val="文件正文"/>
    <w:basedOn w:val="12"/>
    <w:qFormat/>
    <w:uiPriority w:val="0"/>
    <w:pPr>
      <w:spacing w:before="0" w:after="0" w:line="560" w:lineRule="exact"/>
      <w:ind w:firstLine="622"/>
      <w:jc w:val="both"/>
      <w:outlineLvl w:val="9"/>
    </w:pPr>
    <w:rPr>
      <w:rFonts w:ascii="仿宋_GB2312" w:hAnsi="仿宋_GB2312" w:cs="仿宋_GB2312"/>
      <w:b w:val="0"/>
      <w:bCs w:val="0"/>
      <w:kern w:val="2"/>
    </w:rPr>
  </w:style>
  <w:style w:type="paragraph" w:customStyle="1" w:styleId="18">
    <w:name w:val="USE 1"/>
    <w:basedOn w:val="1"/>
    <w:qFormat/>
    <w:uiPriority w:val="0"/>
    <w:pPr>
      <w:spacing w:line="200" w:lineRule="atLeast"/>
      <w:jc w:val="left"/>
    </w:pPr>
    <w:rPr>
      <w:rFonts w:ascii="宋体" w:hAnsi="宋体"/>
      <w:b/>
      <w:sz w:val="24"/>
      <w:szCs w:val="28"/>
    </w:rPr>
  </w:style>
  <w:style w:type="character" w:customStyle="1" w:styleId="19">
    <w:name w:val="页眉 字符"/>
    <w:basedOn w:val="15"/>
    <w:link w:val="11"/>
    <w:qFormat/>
    <w:uiPriority w:val="0"/>
    <w:rPr>
      <w:rFonts w:ascii="仿宋_GB2312" w:hAnsi="Times" w:eastAsia="仿宋_GB2312"/>
      <w:kern w:val="2"/>
      <w:sz w:val="18"/>
      <w:szCs w:val="18"/>
    </w:rPr>
  </w:style>
  <w:style w:type="paragraph" w:styleId="20">
    <w:name w:val="List Paragraph"/>
    <w:basedOn w:val="1"/>
    <w:qFormat/>
    <w:uiPriority w:val="99"/>
    <w:pPr>
      <w:ind w:firstLine="420"/>
    </w:pPr>
  </w:style>
  <w:style w:type="character" w:customStyle="1" w:styleId="21">
    <w:name w:val="页脚 字符"/>
    <w:basedOn w:val="15"/>
    <w:link w:val="10"/>
    <w:qFormat/>
    <w:uiPriority w:val="99"/>
    <w:rPr>
      <w:kern w:val="2"/>
      <w:sz w:val="18"/>
      <w:szCs w:val="18"/>
    </w:rPr>
  </w:style>
  <w:style w:type="paragraph" w:customStyle="1" w:styleId="22">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3">
    <w:name w:val="日期 字符"/>
    <w:basedOn w:val="15"/>
    <w:link w:val="9"/>
    <w:qFormat/>
    <w:uiPriority w:val="0"/>
    <w:rPr>
      <w:rFonts w:ascii="仿宋_GB2312" w:hAnsi="Times" w:eastAsia="仿宋_GB2312"/>
      <w:kern w:val="2"/>
      <w:sz w:val="32"/>
      <w:szCs w:val="32"/>
    </w:rPr>
  </w:style>
  <w:style w:type="paragraph" w:customStyle="1" w:styleId="24">
    <w:name w:val="PlainText"/>
    <w:basedOn w:val="1"/>
    <w:qFormat/>
    <w:uiPriority w:val="0"/>
    <w:pPr>
      <w:adjustRightInd/>
      <w:snapToGrid/>
      <w:spacing w:line="240" w:lineRule="auto"/>
      <w:ind w:firstLine="0" w:firstLineChars="0"/>
      <w:textAlignment w:val="baseline"/>
    </w:pPr>
    <w:rPr>
      <w:rFonts w:ascii="宋体" w:hAnsi="Calibri" w:eastAsia="宋体"/>
      <w:sz w:val="21"/>
      <w:szCs w:val="21"/>
    </w:rPr>
  </w:style>
  <w:style w:type="table" w:customStyle="1" w:styleId="25">
    <w:name w:val="网格型1"/>
    <w:basedOn w:val="1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
    <w:name w:val="纯文本 字符"/>
    <w:basedOn w:val="15"/>
    <w:link w:val="8"/>
    <w:qFormat/>
    <w:uiPriority w:val="99"/>
    <w:rPr>
      <w:rFonts w:ascii="宋体" w:hAnsi="Courier New" w:cs="Courier New"/>
      <w:kern w:val="2"/>
      <w:sz w:val="21"/>
      <w:szCs w:val="21"/>
    </w:rPr>
  </w:style>
  <w:style w:type="paragraph" w:customStyle="1" w:styleId="27">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16601</Words>
  <Characters>17236</Characters>
  <Lines>137</Lines>
  <Paragraphs>38</Paragraphs>
  <TotalTime>82</TotalTime>
  <ScaleCrop>false</ScaleCrop>
  <LinksUpToDate>false</LinksUpToDate>
  <CharactersWithSpaces>17254</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2024-12-07T10:20:00Z</dcterms:created>
  <dc:creator>zhong</dc:creator>
  <cp:lastModifiedBy>张一鸣</cp:lastModifiedBy>
  <cp:lastPrinted>2025-03-03T00:44:00Z</cp:lastPrinted>
  <dcterms:modified xsi:type="dcterms:W3CDTF">2025-03-31T10:20:17Z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4D8E75892C63BEB97C4A0667D2A88E99</vt:lpwstr>
  </property>
</Properties>
</file>