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 2025年“文体四季·YUE动龙华”系列活动——“周末喜乐汇”项目需求书</w:t>
      </w:r>
    </w:p>
    <w:p>
      <w:pPr>
        <w:pStyle w:val="5"/>
        <w:spacing w:line="560" w:lineRule="exact"/>
        <w:jc w:val="center"/>
        <w:rPr>
          <w:rFonts w:ascii="方正小标宋简体" w:hAnsi="方正小标宋简体" w:eastAsia="方正小标宋简体" w:cs="方正小标宋简体"/>
          <w:spacing w:val="17"/>
          <w:sz w:val="44"/>
          <w:szCs w:val="44"/>
        </w:rPr>
      </w:pPr>
    </w:p>
    <w:p>
      <w:pPr>
        <w:tabs>
          <w:tab w:val="left" w:pos="1820"/>
        </w:tabs>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一、项目目标</w:t>
      </w:r>
    </w:p>
    <w:p>
      <w:pPr>
        <w:snapToGrid w:val="0"/>
        <w:spacing w:line="560" w:lineRule="exact"/>
        <w:ind w:firstLine="640" w:firstLineChars="200"/>
        <w:rPr>
          <w:rFonts w:ascii="仿宋_GB2312" w:hAnsi="仿宋_GB2312" w:eastAsia="仿宋_GB2312" w:cs="仿宋_GB2312"/>
          <w:color w:val="000000"/>
          <w:kern w:val="0"/>
          <w:sz w:val="32"/>
          <w:szCs w:val="32"/>
        </w:rPr>
      </w:pPr>
      <w:r>
        <w:rPr>
          <w:rFonts w:hint="eastAsia" w:ascii="仿宋_GB2312" w:hAnsi="仿宋_GB2312" w:eastAsia="仿宋_GB2312" w:cs="仿宋_GB2312"/>
          <w:sz w:val="32"/>
          <w:szCs w:val="32"/>
        </w:rPr>
        <w:t>根据《龙华区文化体育事业发展第十四个五年规划》相关要求</w:t>
      </w:r>
      <w:r>
        <w:rPr>
          <w:rFonts w:hint="eastAsia" w:ascii="仿宋_GB2312" w:hAnsi="仿宋_GB2312" w:eastAsia="仿宋_GB2312" w:cs="仿宋_GB2312"/>
          <w:color w:val="000000"/>
          <w:kern w:val="0"/>
          <w:sz w:val="32"/>
          <w:szCs w:val="32"/>
        </w:rPr>
        <w:t>，进一步强化文化活动品牌建设，围绕龙华特色文化元素，充实龙华文化内涵，挖掘基层文化人才，搭建公共艺术普及体系，促进艺术普及工作品质化、品牌化、多元化、常态化和便捷化，不断推进文体活动进街区、进社区、进商圈，着力提升市民文化艺术素养、专业技能和审美水平，推动公共文化服务高质量发展。</w:t>
      </w:r>
    </w:p>
    <w:p>
      <w:pPr>
        <w:tabs>
          <w:tab w:val="left" w:pos="1820"/>
        </w:tabs>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二、时间安排</w:t>
      </w:r>
    </w:p>
    <w:p>
      <w:pPr>
        <w:pStyle w:val="4"/>
        <w:spacing w:after="0" w:line="560" w:lineRule="exact"/>
        <w:ind w:left="0" w:leftChars="0" w:right="0" w:rightChars="0" w:firstLine="640" w:firstLineChars="200"/>
        <w:rPr>
          <w:rFonts w:ascii="仿宋_GB2312" w:hAnsi="仿宋_GB2312" w:eastAsia="仿宋_GB2312" w:cs="仿宋_GB2312"/>
          <w:sz w:val="32"/>
          <w:szCs w:val="36"/>
        </w:rPr>
      </w:pPr>
      <w:r>
        <w:rPr>
          <w:rFonts w:hint="eastAsia" w:ascii="仿宋_GB2312" w:hAnsi="仿宋_GB2312" w:eastAsia="仿宋_GB2312" w:cs="仿宋_GB2312"/>
          <w:sz w:val="32"/>
          <w:szCs w:val="36"/>
        </w:rPr>
        <w:t>2025年4月-11月（暂定）</w:t>
      </w:r>
    </w:p>
    <w:p>
      <w:pPr>
        <w:tabs>
          <w:tab w:val="left" w:pos="1820"/>
        </w:tabs>
        <w:snapToGri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三、项目内容及要求</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（一）项目内容</w:t>
      </w:r>
    </w:p>
    <w:p>
      <w:pPr>
        <w:snapToGrid w:val="0"/>
        <w:spacing w:line="560" w:lineRule="exact"/>
        <w:ind w:firstLine="640" w:firstLineChars="200"/>
        <w:rPr>
          <w:rFonts w:ascii="仿宋_GB2312" w:hAnsi="仿宋_GB2312" w:eastAsia="仿宋_GB2312" w:cs="Times New Roman"/>
          <w:sz w:val="32"/>
          <w:szCs w:val="32"/>
        </w:rPr>
      </w:pPr>
      <w:r>
        <w:rPr>
          <w:rFonts w:hint="eastAsia" w:ascii="仿宋_GB2312" w:hAnsi="仿宋_GB2312" w:eastAsia="仿宋_GB2312" w:cs="Times New Roman"/>
          <w:sz w:val="32"/>
          <w:szCs w:val="32"/>
        </w:rPr>
        <w:t>项目创新采用“专业表演团队与群众文艺队伍协同”模式，将舞台搭建至社区基层，致力于打造兼具颜值、品质与爱心的周末群众大舞台。此次活动涵盖四大分项，分别为</w:t>
      </w:r>
      <w:r>
        <w:rPr>
          <w:rFonts w:hint="eastAsia" w:ascii="仿宋_GB2312" w:hAnsi="仿宋_GB2312" w:eastAsia="仿宋_GB2312" w:cs="Times New Roman"/>
          <w:sz w:val="32"/>
          <w:szCs w:val="32"/>
          <w:lang w:val="en-US" w:eastAsia="zh-CN"/>
        </w:rPr>
        <w:t>曲艺专场</w:t>
      </w:r>
      <w:r>
        <w:rPr>
          <w:rFonts w:hint="eastAsia" w:ascii="仿宋_GB2312" w:hAnsi="仿宋_GB2312" w:eastAsia="仿宋_GB2312" w:cs="Times New Roman"/>
          <w:sz w:val="32"/>
          <w:szCs w:val="32"/>
        </w:rPr>
        <w:t>、原创音乐会、广场舞展演及群众文艺汇演，共计30场，具体场次将在各街道有序安排。</w:t>
      </w:r>
    </w:p>
    <w:p>
      <w:pPr>
        <w:spacing w:line="560" w:lineRule="exact"/>
        <w:ind w:firstLine="640" w:firstLineChars="200"/>
        <w:rPr>
          <w:rFonts w:ascii="楷体_GB2312" w:hAnsi="楷体_GB2312" w:eastAsia="楷体_GB2312" w:cs="楷体_GB2312"/>
          <w:sz w:val="32"/>
          <w:szCs w:val="32"/>
        </w:rPr>
      </w:pPr>
      <w:r>
        <w:rPr>
          <w:rFonts w:hint="eastAsia" w:ascii="楷体_GB2312" w:hAnsi="楷体_GB2312" w:eastAsia="楷体_GB2312" w:cs="楷体_GB2312"/>
          <w:sz w:val="32"/>
          <w:szCs w:val="32"/>
        </w:rPr>
        <w:t>（二）具体要求</w:t>
      </w:r>
    </w:p>
    <w:p>
      <w:pPr>
        <w:pStyle w:val="12"/>
        <w:spacing w:line="560" w:lineRule="exact"/>
        <w:ind w:firstLine="640"/>
        <w:rPr>
          <w:rFonts w:ascii="仿宋_GB2312" w:eastAsia="仿宋_GB2312"/>
          <w:sz w:val="32"/>
          <w:szCs w:val="32"/>
        </w:rPr>
      </w:pPr>
      <w:r>
        <w:rPr>
          <w:rFonts w:hint="eastAsia" w:ascii="仿宋_GB2312" w:eastAsia="仿宋_GB2312"/>
          <w:sz w:val="32"/>
          <w:szCs w:val="32"/>
        </w:rPr>
        <w:t>1.负责各分项活动的策划、主背景设计等；</w:t>
      </w:r>
    </w:p>
    <w:p>
      <w:pPr>
        <w:pStyle w:val="12"/>
        <w:spacing w:line="560" w:lineRule="exact"/>
        <w:ind w:firstLine="640"/>
        <w:rPr>
          <w:rFonts w:ascii="仿宋_GB2312" w:hAnsi="仿宋" w:eastAsia="仿宋_GB2312" w:cs="仿宋"/>
          <w:sz w:val="32"/>
          <w:szCs w:val="32"/>
        </w:rPr>
      </w:pPr>
      <w:r>
        <w:rPr>
          <w:rFonts w:hint="eastAsia" w:ascii="仿宋_GB2312" w:hAnsi="仿宋" w:eastAsia="仿宋_GB2312" w:cs="仿宋"/>
          <w:sz w:val="32"/>
          <w:szCs w:val="32"/>
        </w:rPr>
        <w:t>2.</w:t>
      </w:r>
      <w:r>
        <w:rPr>
          <w:rFonts w:ascii="仿宋_GB2312" w:hAnsi="仿宋" w:eastAsia="仿宋_GB2312" w:cs="仿宋"/>
          <w:sz w:val="32"/>
          <w:szCs w:val="32"/>
        </w:rPr>
        <w:t>负责</w:t>
      </w:r>
      <w:r>
        <w:rPr>
          <w:rFonts w:hint="eastAsia" w:ascii="仿宋_GB2312" w:hAnsi="仿宋" w:eastAsia="仿宋_GB2312" w:cs="仿宋"/>
          <w:sz w:val="32"/>
          <w:szCs w:val="32"/>
        </w:rPr>
        <w:t>发放相关节目补助、荣誉证书和演出费等；</w:t>
      </w:r>
    </w:p>
    <w:p>
      <w:pPr>
        <w:pStyle w:val="12"/>
        <w:spacing w:line="560" w:lineRule="exact"/>
        <w:ind w:firstLine="640"/>
        <w:rPr>
          <w:rFonts w:ascii="仿宋_GB2312" w:hAnsi="仿宋" w:eastAsia="仿宋_GB2312" w:cs="仿宋"/>
          <w:sz w:val="32"/>
          <w:szCs w:val="32"/>
        </w:rPr>
      </w:pPr>
      <w:r>
        <w:rPr>
          <w:rFonts w:hint="eastAsia" w:ascii="仿宋_GB2312" w:hAnsi="仿宋" w:eastAsia="仿宋_GB2312" w:cs="仿宋"/>
          <w:sz w:val="32"/>
          <w:szCs w:val="32"/>
        </w:rPr>
        <w:t>3.负责甲方工作人员及公益演出人员用餐；</w:t>
      </w:r>
    </w:p>
    <w:p>
      <w:pPr>
        <w:pStyle w:val="12"/>
        <w:spacing w:line="560" w:lineRule="exact"/>
        <w:ind w:firstLine="640"/>
        <w:rPr>
          <w:rFonts w:ascii="仿宋_GB2312" w:hAnsi="仿宋" w:eastAsia="仿宋_GB2312" w:cs="仿宋"/>
          <w:sz w:val="32"/>
          <w:szCs w:val="32"/>
        </w:rPr>
      </w:pPr>
      <w:r>
        <w:rPr>
          <w:rFonts w:hint="eastAsia" w:ascii="仿宋_GB2312" w:hAnsi="仿宋" w:eastAsia="仿宋_GB2312" w:cs="仿宋"/>
          <w:sz w:val="32"/>
          <w:szCs w:val="32"/>
        </w:rPr>
        <w:t>4.负责活动现场的照片直播；</w:t>
      </w:r>
    </w:p>
    <w:p>
      <w:pPr>
        <w:pStyle w:val="12"/>
        <w:spacing w:line="560" w:lineRule="exact"/>
        <w:ind w:firstLine="640"/>
        <w:rPr>
          <w:rFonts w:ascii="仿宋_GB2312" w:hAnsi="仿宋" w:eastAsia="仿宋_GB2312" w:cs="仿宋"/>
          <w:sz w:val="32"/>
          <w:szCs w:val="32"/>
        </w:rPr>
      </w:pPr>
      <w:r>
        <w:rPr>
          <w:rFonts w:hint="eastAsia" w:ascii="仿宋_GB2312" w:hAnsi="仿宋" w:eastAsia="仿宋_GB2312" w:cs="仿宋"/>
          <w:sz w:val="32"/>
          <w:szCs w:val="32"/>
        </w:rPr>
        <w:t>5.负责活动现场的布置，包括灯光音响设备、LED屏幕、观众座椅摆放、饮用水供应等。</w:t>
      </w:r>
    </w:p>
    <w:p>
      <w:pPr>
        <w:tabs>
          <w:tab w:val="left" w:pos="1820"/>
        </w:tabs>
        <w:adjustRightInd w:val="0"/>
        <w:snapToGrid w:val="0"/>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四、报价限额</w:t>
      </w:r>
    </w:p>
    <w:p>
      <w:pPr>
        <w:pStyle w:val="4"/>
        <w:spacing w:line="560" w:lineRule="exact"/>
        <w:ind w:left="0" w:leftChars="0" w:right="1470" w:firstLine="640" w:firstLineChars="200"/>
        <w:rPr>
          <w:rFonts w:ascii="仿宋_GB2312" w:hAnsi="仿宋_GB2312" w:eastAsia="仿宋_GB2312" w:cs="仿宋_GB2312"/>
          <w:sz w:val="32"/>
          <w:szCs w:val="32"/>
        </w:rPr>
      </w:pPr>
      <w:r>
        <w:rPr>
          <w:rFonts w:hint="eastAsia" w:ascii="仿宋_GB2312" w:hAnsi="仿宋" w:eastAsia="仿宋_GB2312" w:cs="仿宋"/>
          <w:sz w:val="32"/>
          <w:szCs w:val="32"/>
        </w:rPr>
        <w:t>49.3万</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报价项目</w:t>
      </w:r>
      <w:r>
        <w:rPr>
          <w:rFonts w:hint="eastAsia" w:ascii="仿宋_GB2312" w:hAnsi="仿宋_GB2312" w:eastAsia="仿宋_GB2312" w:cs="仿宋_GB2312"/>
          <w:sz w:val="32"/>
          <w:szCs w:val="32"/>
          <w:lang w:eastAsia="zh-CN"/>
        </w:rPr>
        <w:t>表</w:t>
      </w:r>
      <w:r>
        <w:rPr>
          <w:rFonts w:hint="eastAsia" w:ascii="仿宋_GB2312" w:hAnsi="仿宋_GB2312" w:eastAsia="仿宋_GB2312" w:cs="仿宋_GB2312"/>
          <w:sz w:val="32"/>
          <w:szCs w:val="32"/>
        </w:rPr>
        <w:t>需</w:t>
      </w:r>
      <w:r>
        <w:rPr>
          <w:rFonts w:hint="eastAsia" w:ascii="仿宋_GB2312" w:hAnsi="仿宋_GB2312" w:eastAsia="仿宋_GB2312" w:cs="仿宋_GB2312"/>
          <w:sz w:val="32"/>
          <w:szCs w:val="32"/>
          <w:lang w:eastAsia="zh-CN"/>
        </w:rPr>
        <w:t>与下表</w:t>
      </w:r>
      <w:r>
        <w:rPr>
          <w:rFonts w:hint="eastAsia" w:ascii="仿宋_GB2312" w:hAnsi="仿宋_GB2312" w:eastAsia="仿宋_GB2312" w:cs="仿宋_GB2312"/>
          <w:sz w:val="32"/>
          <w:szCs w:val="32"/>
        </w:rPr>
        <w:t>保持一致。</w:t>
      </w:r>
    </w:p>
    <w:tbl>
      <w:tblPr>
        <w:tblStyle w:val="9"/>
        <w:tblpPr w:leftFromText="180" w:rightFromText="180" w:vertAnchor="text" w:horzAnchor="page" w:tblpX="1620" w:tblpY="220"/>
        <w:tblOverlap w:val="never"/>
        <w:tblW w:w="8927" w:type="dxa"/>
        <w:tblInd w:w="0" w:type="dxa"/>
        <w:tblLayout w:type="fixed"/>
        <w:tblCellMar>
          <w:top w:w="0" w:type="dxa"/>
          <w:left w:w="108" w:type="dxa"/>
          <w:bottom w:w="0" w:type="dxa"/>
          <w:right w:w="108" w:type="dxa"/>
        </w:tblCellMar>
      </w:tblPr>
      <w:tblGrid>
        <w:gridCol w:w="550"/>
        <w:gridCol w:w="1237"/>
        <w:gridCol w:w="1113"/>
        <w:gridCol w:w="657"/>
        <w:gridCol w:w="750"/>
        <w:gridCol w:w="4620"/>
      </w:tblGrid>
      <w:tr>
        <w:tblPrEx>
          <w:tblCellMar>
            <w:top w:w="0" w:type="dxa"/>
            <w:left w:w="108" w:type="dxa"/>
            <w:bottom w:w="0" w:type="dxa"/>
            <w:right w:w="108" w:type="dxa"/>
          </w:tblCellMar>
        </w:tblPrEx>
        <w:trPr>
          <w:trHeight w:val="80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序号</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活动</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项目内容</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kern w:val="0"/>
                <w:sz w:val="18"/>
                <w:szCs w:val="18"/>
              </w:rPr>
              <w:t>数量</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b/>
                <w:bCs/>
                <w:color w:val="000000"/>
                <w:sz w:val="18"/>
                <w:szCs w:val="18"/>
              </w:rPr>
            </w:pPr>
            <w:r>
              <w:rPr>
                <w:rFonts w:hint="eastAsia" w:ascii="宋体" w:hAnsi="宋体" w:eastAsia="宋体" w:cs="宋体"/>
                <w:b/>
                <w:bCs/>
                <w:color w:val="000000"/>
                <w:sz w:val="18"/>
                <w:szCs w:val="18"/>
              </w:rPr>
              <w:t>备注</w:t>
            </w:r>
          </w:p>
        </w:tc>
      </w:tr>
      <w:tr>
        <w:tblPrEx>
          <w:tblCellMar>
            <w:top w:w="0" w:type="dxa"/>
            <w:left w:w="108" w:type="dxa"/>
            <w:bottom w:w="0" w:type="dxa"/>
            <w:right w:w="108" w:type="dxa"/>
          </w:tblCellMar>
        </w:tblPrEx>
        <w:trPr>
          <w:trHeight w:val="98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宋体" w:hAnsi="宋体" w:eastAsia="宋体" w:cs="宋体"/>
                <w:color w:val="000000"/>
                <w:sz w:val="21"/>
                <w:szCs w:val="21"/>
                <w:lang w:eastAsia="zh-CN"/>
              </w:rPr>
            </w:pPr>
            <w:r>
              <w:rPr>
                <w:rFonts w:hint="eastAsia" w:ascii="宋体" w:hAnsi="宋体" w:eastAsia="宋体" w:cs="宋体"/>
                <w:color w:val="000000"/>
                <w:kern w:val="0"/>
                <w:sz w:val="21"/>
                <w:szCs w:val="21"/>
                <w:lang w:val="en-US" w:eastAsia="zh-CN"/>
              </w:rPr>
              <w:t>曲艺专场</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演出费</w:t>
            </w:r>
          </w:p>
        </w:tc>
        <w:tc>
          <w:tcPr>
            <w:tcW w:w="657"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6</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1"/>
                <w:szCs w:val="21"/>
              </w:rPr>
            </w:pPr>
            <w:r>
              <w:rPr>
                <w:rFonts w:hint="eastAsia"/>
                <w:color w:val="000000"/>
                <w:sz w:val="21"/>
                <w:szCs w:val="21"/>
              </w:rPr>
              <w:t>曲艺专场演出</w:t>
            </w:r>
          </w:p>
        </w:tc>
      </w:tr>
      <w:tr>
        <w:tblPrEx>
          <w:tblCellMar>
            <w:top w:w="0" w:type="dxa"/>
            <w:left w:w="108" w:type="dxa"/>
            <w:bottom w:w="0" w:type="dxa"/>
            <w:right w:w="108" w:type="dxa"/>
          </w:tblCellMar>
        </w:tblPrEx>
        <w:trPr>
          <w:trHeight w:val="942"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2</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原创音乐会</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原创作品及演出费</w:t>
            </w:r>
          </w:p>
        </w:tc>
        <w:tc>
          <w:tcPr>
            <w:tcW w:w="657"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6</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color w:val="000000"/>
                <w:sz w:val="21"/>
                <w:szCs w:val="21"/>
              </w:rPr>
            </w:pPr>
            <w:r>
              <w:rPr>
                <w:rFonts w:hint="eastAsia"/>
                <w:color w:val="000000"/>
                <w:sz w:val="21"/>
                <w:szCs w:val="21"/>
              </w:rPr>
              <w:t>原创音乐专场演出</w:t>
            </w:r>
          </w:p>
        </w:tc>
      </w:tr>
      <w:tr>
        <w:tblPrEx>
          <w:tblCellMar>
            <w:top w:w="0" w:type="dxa"/>
            <w:left w:w="108" w:type="dxa"/>
            <w:bottom w:w="0" w:type="dxa"/>
            <w:right w:w="108" w:type="dxa"/>
          </w:tblCellMar>
        </w:tblPrEx>
        <w:trPr>
          <w:trHeight w:val="842"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3</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广场舞展演</w:t>
            </w:r>
          </w:p>
        </w:tc>
        <w:tc>
          <w:tcPr>
            <w:tcW w:w="11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获奖证书</w:t>
            </w:r>
          </w:p>
        </w:tc>
        <w:tc>
          <w:tcPr>
            <w:tcW w:w="657"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6</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color w:val="000000"/>
                <w:sz w:val="21"/>
                <w:szCs w:val="21"/>
                <w:lang w:val="en-US" w:eastAsia="zh-CN"/>
              </w:rPr>
            </w:pPr>
            <w:r>
              <w:rPr>
                <w:rFonts w:hint="eastAsia"/>
                <w:color w:val="000000"/>
                <w:sz w:val="21"/>
                <w:szCs w:val="21"/>
                <w:lang w:val="en-US" w:eastAsia="zh-CN"/>
              </w:rPr>
              <w:t>合计需</w:t>
            </w:r>
            <w:r>
              <w:rPr>
                <w:rFonts w:hint="eastAsia" w:asciiTheme="minorEastAsia" w:hAnsiTheme="minorEastAsia" w:eastAsiaTheme="minorEastAsia" w:cstheme="minorEastAsia"/>
                <w:color w:val="000000"/>
                <w:sz w:val="21"/>
                <w:szCs w:val="21"/>
                <w:lang w:val="en-US" w:eastAsia="zh-CN"/>
              </w:rPr>
              <w:t>制作9000份证书</w:t>
            </w:r>
          </w:p>
        </w:tc>
      </w:tr>
      <w:tr>
        <w:tblPrEx>
          <w:tblCellMar>
            <w:top w:w="0" w:type="dxa"/>
            <w:left w:w="108" w:type="dxa"/>
            <w:bottom w:w="0" w:type="dxa"/>
            <w:right w:w="108" w:type="dxa"/>
          </w:tblCellMar>
        </w:tblPrEx>
        <w:trPr>
          <w:trHeight w:val="830"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4</w:t>
            </w:r>
          </w:p>
        </w:tc>
        <w:tc>
          <w:tcPr>
            <w:tcW w:w="123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群众文艺汇演</w:t>
            </w:r>
          </w:p>
        </w:tc>
        <w:tc>
          <w:tcPr>
            <w:tcW w:w="1113"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节目补助</w:t>
            </w:r>
          </w:p>
        </w:tc>
        <w:tc>
          <w:tcPr>
            <w:tcW w:w="657" w:type="dxa"/>
            <w:tcBorders>
              <w:top w:val="single" w:color="000000" w:sz="4" w:space="0"/>
              <w:left w:val="single" w:color="000000" w:sz="4" w:space="0"/>
              <w:bottom w:val="nil"/>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场</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6</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各街道组织辖区居民表演，预计10-12队伍，约80人</w:t>
            </w:r>
          </w:p>
        </w:tc>
      </w:tr>
      <w:tr>
        <w:tblPrEx>
          <w:tblCellMar>
            <w:top w:w="0" w:type="dxa"/>
            <w:left w:w="108" w:type="dxa"/>
            <w:bottom w:w="0" w:type="dxa"/>
            <w:right w:w="108" w:type="dxa"/>
          </w:tblCellMar>
        </w:tblPrEx>
        <w:trPr>
          <w:trHeight w:val="883"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5</w:t>
            </w:r>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灯光、音响、LED大屏幕等设备租赁和</w:t>
            </w:r>
            <w:r>
              <w:rPr>
                <w:rFonts w:hint="eastAsia" w:ascii="宋体" w:hAnsi="宋体" w:eastAsia="宋体" w:cs="宋体"/>
                <w:color w:val="000000"/>
                <w:sz w:val="21"/>
                <w:szCs w:val="21"/>
              </w:rPr>
              <w:t>活动现场布置</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包含30场活动的灯光、音响、LED大屏幕、行架等设备的租赁和现场布置</w:t>
            </w:r>
          </w:p>
        </w:tc>
      </w:tr>
      <w:tr>
        <w:tblPrEx>
          <w:tblCellMar>
            <w:top w:w="0" w:type="dxa"/>
            <w:left w:w="108" w:type="dxa"/>
            <w:bottom w:w="0" w:type="dxa"/>
            <w:right w:w="108" w:type="dxa"/>
          </w:tblCellMar>
        </w:tblPrEx>
        <w:trPr>
          <w:trHeight w:val="587"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6</w:t>
            </w:r>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主KV视觉设计</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4</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包含4项活动的主视觉设计</w:t>
            </w:r>
          </w:p>
        </w:tc>
      </w:tr>
      <w:tr>
        <w:tblPrEx>
          <w:tblCellMar>
            <w:top w:w="0" w:type="dxa"/>
            <w:left w:w="108" w:type="dxa"/>
            <w:bottom w:w="0" w:type="dxa"/>
            <w:right w:w="108" w:type="dxa"/>
          </w:tblCellMar>
        </w:tblPrEx>
        <w:trPr>
          <w:trHeight w:val="647"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7</w:t>
            </w:r>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照片直播</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1"/>
                <w:szCs w:val="21"/>
                <w:lang w:val="en-US" w:eastAsia="zh-CN"/>
              </w:rPr>
            </w:pPr>
            <w:r>
              <w:rPr>
                <w:rFonts w:hint="eastAsia" w:ascii="宋体" w:hAnsi="宋体" w:eastAsia="宋体" w:cs="宋体"/>
                <w:color w:val="000000"/>
                <w:kern w:val="0"/>
                <w:sz w:val="21"/>
                <w:szCs w:val="21"/>
                <w:lang w:val="en-US" w:eastAsia="zh-CN"/>
              </w:rPr>
              <w:t>6</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1机位+直播系统+2工作人员</w:t>
            </w:r>
          </w:p>
        </w:tc>
      </w:tr>
      <w:tr>
        <w:tblPrEx>
          <w:tblCellMar>
            <w:top w:w="0" w:type="dxa"/>
            <w:left w:w="108" w:type="dxa"/>
            <w:bottom w:w="0" w:type="dxa"/>
            <w:right w:w="108" w:type="dxa"/>
          </w:tblCellMar>
        </w:tblPrEx>
        <w:trPr>
          <w:trHeight w:val="635"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8</w:t>
            </w:r>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活动策划、服装费</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项</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包含30场活动的策划费、个别演员和主持人的服装租赁等</w:t>
            </w:r>
          </w:p>
        </w:tc>
      </w:tr>
      <w:tr>
        <w:tblPrEx>
          <w:tblCellMar>
            <w:top w:w="0" w:type="dxa"/>
            <w:left w:w="108" w:type="dxa"/>
            <w:bottom w:w="0" w:type="dxa"/>
            <w:right w:w="108" w:type="dxa"/>
          </w:tblCellMar>
        </w:tblPrEx>
        <w:trPr>
          <w:trHeight w:val="1131" w:hRule="atLeast"/>
        </w:trPr>
        <w:tc>
          <w:tcPr>
            <w:tcW w:w="550" w:type="dxa"/>
            <w:tcBorders>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sz w:val="21"/>
                <w:szCs w:val="21"/>
              </w:rPr>
              <w:t>9</w:t>
            </w:r>
          </w:p>
        </w:tc>
        <w:tc>
          <w:tcPr>
            <w:tcW w:w="2350" w:type="dxa"/>
            <w:gridSpan w:val="2"/>
            <w:tcBorders>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r>
              <w:rPr>
                <w:rFonts w:hint="eastAsia"/>
                <w:sz w:val="21"/>
                <w:szCs w:val="21"/>
              </w:rPr>
              <w:t>餐费</w:t>
            </w:r>
          </w:p>
        </w:tc>
        <w:tc>
          <w:tcPr>
            <w:tcW w:w="657" w:type="dxa"/>
            <w:tcBorders>
              <w:top w:val="single" w:color="000000" w:sz="4" w:space="0"/>
              <w:left w:val="single" w:color="000000" w:sz="4" w:space="0"/>
              <w:bottom w:val="nil"/>
              <w:right w:val="single" w:color="000000" w:sz="4" w:space="0"/>
            </w:tcBorders>
            <w:shd w:val="clear" w:color="auto" w:fill="auto"/>
            <w:vAlign w:val="center"/>
          </w:tcPr>
          <w:p>
            <w:pPr>
              <w:jc w:val="center"/>
              <w:rPr>
                <w:rFonts w:ascii="宋体" w:hAnsi="宋体" w:eastAsia="宋体" w:cs="宋体"/>
                <w:sz w:val="21"/>
                <w:szCs w:val="21"/>
              </w:rPr>
            </w:pPr>
            <w:r>
              <w:rPr>
                <w:rFonts w:hint="eastAsia"/>
                <w:sz w:val="21"/>
                <w:szCs w:val="21"/>
              </w:rPr>
              <w:t>份</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eastAsia="宋体" w:cs="宋体"/>
                <w:sz w:val="21"/>
                <w:szCs w:val="21"/>
              </w:rPr>
            </w:pPr>
            <w:r>
              <w:rPr>
                <w:rFonts w:hint="eastAsia" w:asciiTheme="minorEastAsia" w:hAnsiTheme="minorEastAsia" w:eastAsiaTheme="minorEastAsia" w:cstheme="minorEastAsia"/>
                <w:color w:val="000000"/>
                <w:sz w:val="21"/>
                <w:szCs w:val="21"/>
                <w:lang w:val="en-US" w:eastAsia="zh-CN"/>
              </w:rPr>
              <w:t>636</w:t>
            </w:r>
          </w:p>
        </w:tc>
        <w:tc>
          <w:tcPr>
            <w:tcW w:w="462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宋体" w:hAnsi="宋体" w:eastAsia="宋体" w:cs="宋体"/>
                <w:color w:val="000000"/>
                <w:sz w:val="21"/>
                <w:szCs w:val="21"/>
                <w:highlight w:val="yellow"/>
                <w:lang w:val="en-US" w:eastAsia="zh-CN"/>
              </w:rPr>
            </w:pPr>
            <w:r>
              <w:rPr>
                <w:rFonts w:hint="eastAsia" w:ascii="宋体" w:hAnsi="宋体" w:eastAsia="宋体" w:cs="宋体"/>
                <w:color w:val="000000"/>
                <w:kern w:val="0"/>
                <w:sz w:val="21"/>
                <w:szCs w:val="21"/>
              </w:rPr>
              <w:t>包含10名工作人员</w:t>
            </w:r>
            <w:r>
              <w:rPr>
                <w:rFonts w:hint="eastAsia" w:ascii="宋体" w:hAnsi="宋体" w:eastAsia="宋体" w:cs="宋体"/>
                <w:color w:val="000000"/>
                <w:kern w:val="0"/>
                <w:sz w:val="21"/>
                <w:szCs w:val="21"/>
                <w:lang w:eastAsia="zh-CN"/>
              </w:rPr>
              <w:t>与</w:t>
            </w:r>
            <w:r>
              <w:rPr>
                <w:rFonts w:hint="eastAsia" w:ascii="宋体" w:hAnsi="宋体" w:eastAsia="宋体" w:cs="宋体"/>
                <w:color w:val="000000"/>
                <w:kern w:val="0"/>
                <w:sz w:val="21"/>
                <w:szCs w:val="21"/>
              </w:rPr>
              <w:t>56名公益演出人员的餐费</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10名工作人员30场、56名演员6场公益演出）</w:t>
            </w:r>
          </w:p>
        </w:tc>
      </w:tr>
      <w:tr>
        <w:tblPrEx>
          <w:tblCellMar>
            <w:top w:w="0" w:type="dxa"/>
            <w:left w:w="108" w:type="dxa"/>
            <w:bottom w:w="0" w:type="dxa"/>
            <w:right w:w="108" w:type="dxa"/>
          </w:tblCellMar>
        </w:tblPrEx>
        <w:trPr>
          <w:trHeight w:val="552" w:hRule="atLeast"/>
        </w:trPr>
        <w:tc>
          <w:tcPr>
            <w:tcW w:w="5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10</w:t>
            </w:r>
          </w:p>
        </w:tc>
        <w:tc>
          <w:tcPr>
            <w:tcW w:w="235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水费</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箱</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eastAsia="宋体" w:cs="宋体"/>
                <w:color w:val="000000"/>
                <w:sz w:val="21"/>
                <w:szCs w:val="21"/>
              </w:rPr>
            </w:pPr>
            <w:r>
              <w:rPr>
                <w:rFonts w:hint="eastAsia" w:ascii="宋体" w:hAnsi="宋体" w:eastAsia="宋体" w:cs="宋体"/>
                <w:color w:val="000000"/>
                <w:kern w:val="0"/>
                <w:sz w:val="21"/>
                <w:szCs w:val="21"/>
              </w:rPr>
              <w:t>120</w:t>
            </w:r>
          </w:p>
        </w:tc>
        <w:tc>
          <w:tcPr>
            <w:tcW w:w="4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eastAsia" w:ascii="宋体" w:hAnsi="宋体" w:eastAsia="宋体" w:cs="宋体"/>
                <w:color w:val="000000"/>
                <w:sz w:val="21"/>
                <w:szCs w:val="21"/>
                <w:highlight w:val="yellow"/>
                <w:lang w:eastAsia="zh-CN"/>
              </w:rPr>
            </w:pPr>
            <w:r>
              <w:rPr>
                <w:rFonts w:hint="eastAsia" w:ascii="宋体" w:hAnsi="宋体" w:eastAsia="宋体" w:cs="宋体"/>
                <w:color w:val="000000"/>
                <w:kern w:val="0"/>
                <w:sz w:val="21"/>
                <w:szCs w:val="21"/>
              </w:rPr>
              <w:t>包含活动期间的饮用水</w:t>
            </w:r>
            <w:r>
              <w:rPr>
                <w:rFonts w:hint="eastAsia" w:ascii="宋体" w:hAnsi="宋体" w:eastAsia="宋体" w:cs="宋体"/>
                <w:color w:val="000000"/>
                <w:kern w:val="0"/>
                <w:sz w:val="21"/>
                <w:szCs w:val="21"/>
                <w:lang w:eastAsia="zh-CN"/>
              </w:rPr>
              <w:t>（</w:t>
            </w:r>
            <w:r>
              <w:rPr>
                <w:rFonts w:hint="eastAsia" w:ascii="宋体" w:hAnsi="宋体" w:eastAsia="宋体" w:cs="宋体"/>
                <w:color w:val="000000"/>
                <w:kern w:val="0"/>
                <w:sz w:val="21"/>
                <w:szCs w:val="21"/>
                <w:lang w:val="en-US" w:eastAsia="zh-CN"/>
              </w:rPr>
              <w:t>24支/箱</w:t>
            </w:r>
            <w:r>
              <w:rPr>
                <w:rFonts w:hint="eastAsia" w:ascii="宋体" w:hAnsi="宋体" w:eastAsia="宋体" w:cs="宋体"/>
                <w:color w:val="000000"/>
                <w:kern w:val="0"/>
                <w:sz w:val="21"/>
                <w:szCs w:val="21"/>
                <w:lang w:eastAsia="zh-CN"/>
              </w:rPr>
              <w:t>）</w:t>
            </w:r>
          </w:p>
        </w:tc>
      </w:tr>
    </w:tbl>
    <w:p>
      <w:pPr>
        <w:spacing w:line="560" w:lineRule="exact"/>
        <w:ind w:firstLine="640" w:firstLineChars="200"/>
        <w:rPr>
          <w:rFonts w:ascii="仿宋_GB2312" w:hAnsi="仿宋_GB2312" w:eastAsia="仿宋_GB2312" w:cs="仿宋_GB2312"/>
          <w:sz w:val="32"/>
          <w:szCs w:val="32"/>
        </w:rPr>
      </w:pPr>
      <w:r>
        <w:rPr>
          <w:rFonts w:hint="eastAsia" w:ascii="黑体" w:hAnsi="黑体" w:eastAsia="黑体" w:cs="黑体"/>
          <w:bCs/>
          <w:sz w:val="32"/>
          <w:szCs w:val="32"/>
        </w:rPr>
        <w:t>五、</w:t>
      </w:r>
      <w:r>
        <w:rPr>
          <w:rFonts w:hint="eastAsia" w:ascii="黑体" w:hAnsi="黑体" w:eastAsia="黑体" w:cs="黑体"/>
          <w:sz w:val="32"/>
          <w:szCs w:val="32"/>
        </w:rPr>
        <w:t>供应商的资质要求</w:t>
      </w:r>
    </w:p>
    <w:p>
      <w:pPr>
        <w:pStyle w:val="12"/>
        <w:spacing w:line="560" w:lineRule="exact"/>
        <w:ind w:firstLine="640"/>
        <w:rPr>
          <w:rFonts w:ascii="仿宋_GB2312" w:hAnsi="仿宋" w:eastAsia="仿宋_GB2312" w:cs="仿宋"/>
          <w:sz w:val="32"/>
          <w:szCs w:val="32"/>
        </w:rPr>
      </w:pPr>
      <w:r>
        <w:rPr>
          <w:rFonts w:hint="eastAsia" w:ascii="仿宋_GB2312" w:hAnsi="仿宋" w:eastAsia="仿宋_GB2312" w:cs="仿宋"/>
          <w:sz w:val="32"/>
          <w:szCs w:val="32"/>
        </w:rPr>
        <w:t>（一）在中国境内注册的独立法人或其他组织（提供营业执照、事业法人证书、社会团体法人登记证书等扫描件）；</w:t>
      </w:r>
    </w:p>
    <w:p>
      <w:pPr>
        <w:pStyle w:val="12"/>
        <w:spacing w:line="560" w:lineRule="exact"/>
        <w:ind w:firstLine="640"/>
        <w:rPr>
          <w:rFonts w:hint="eastAsia" w:ascii="仿宋_GB2312" w:hAnsi="仿宋" w:eastAsia="仿宋_GB2312" w:cs="仿宋"/>
          <w:sz w:val="32"/>
          <w:szCs w:val="32"/>
          <w:lang w:eastAsia="zh-CN"/>
        </w:rPr>
      </w:pPr>
      <w:r>
        <w:rPr>
          <w:rFonts w:hint="eastAsia" w:ascii="仿宋_GB2312" w:hAnsi="仿宋" w:eastAsia="仿宋_GB2312" w:cs="仿宋"/>
          <w:sz w:val="32"/>
          <w:szCs w:val="32"/>
        </w:rPr>
        <w:t>（二）参与本项目投标近三年内（供应商成立不足三年的可从成立之日起算），在经营活动中没有重大违法记录以及不存在被有关部门禁止参与政府采购活动且在有效期内的情况</w:t>
      </w:r>
      <w:r>
        <w:rPr>
          <w:rFonts w:hint="eastAsia" w:ascii="仿宋_GB2312" w:hAnsi="仿宋" w:eastAsia="仿宋_GB2312" w:cs="仿宋"/>
          <w:sz w:val="32"/>
          <w:szCs w:val="32"/>
          <w:lang w:eastAsia="zh-CN"/>
        </w:rPr>
        <w:t>；</w:t>
      </w:r>
    </w:p>
    <w:p>
      <w:pPr>
        <w:pStyle w:val="12"/>
        <w:spacing w:line="560" w:lineRule="exact"/>
        <w:ind w:firstLine="640"/>
        <w:rPr>
          <w:rFonts w:ascii="仿宋_GB2312" w:hAnsi="仿宋" w:eastAsia="仿宋_GB2312" w:cs="仿宋"/>
          <w:sz w:val="32"/>
          <w:szCs w:val="32"/>
        </w:rPr>
      </w:pPr>
      <w:r>
        <w:rPr>
          <w:rFonts w:hint="eastAsia" w:ascii="仿宋_GB2312" w:hAnsi="仿宋" w:eastAsia="仿宋_GB2312" w:cs="仿宋"/>
          <w:sz w:val="32"/>
          <w:szCs w:val="32"/>
        </w:rPr>
        <w:t>（三）单位负责人为同一人或者存在直接控股、管理关系的不同供应商，不得同时参加本项目的采购活动。</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六、选定供应商方法</w:t>
      </w:r>
    </w:p>
    <w:p>
      <w:pPr>
        <w:spacing w:line="560" w:lineRule="exact"/>
        <w:ind w:firstLine="640" w:firstLineChars="200"/>
        <w:rPr>
          <w:rFonts w:ascii="仿宋_GB2312" w:hAnsi="仿宋" w:eastAsia="仿宋_GB2312"/>
          <w:sz w:val="32"/>
        </w:rPr>
      </w:pPr>
      <w:r>
        <w:rPr>
          <w:rFonts w:hint="eastAsia" w:ascii="仿宋_GB2312" w:hAnsi="仿宋" w:eastAsia="仿宋_GB2312"/>
          <w:sz w:val="32"/>
        </w:rPr>
        <w:t>综合评分法</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七、评分要求</w:t>
      </w:r>
    </w:p>
    <w:p>
      <w:pPr>
        <w:pStyle w:val="13"/>
        <w:spacing w:line="560" w:lineRule="exact"/>
        <w:ind w:firstLine="640" w:firstLineChars="200"/>
        <w:rPr>
          <w:rFonts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（一）评分规则</w:t>
      </w:r>
    </w:p>
    <w:p>
      <w:pPr>
        <w:spacing w:line="560" w:lineRule="exact"/>
        <w:ind w:firstLine="640" w:firstLineChars="200"/>
        <w:rPr>
          <w:rFonts w:ascii="楷体_GB2312" w:hAnsi="楷体_GB2312" w:eastAsia="楷体_GB2312" w:cs="楷体_GB2312"/>
          <w:bCs/>
          <w:color w:val="000000"/>
          <w:sz w:val="32"/>
          <w:szCs w:val="32"/>
        </w:rPr>
      </w:pPr>
      <w:r>
        <w:rPr>
          <w:rFonts w:hint="eastAsia" w:ascii="仿宋_GB2312" w:eastAsia="仿宋_GB2312"/>
          <w:color w:val="000000"/>
          <w:sz w:val="32"/>
          <w:szCs w:val="32"/>
        </w:rPr>
        <w:t>采取综合评分标准，平均分最高的投标人为本项目中标人。</w:t>
      </w:r>
    </w:p>
    <w:p>
      <w:pPr>
        <w:pStyle w:val="13"/>
        <w:spacing w:line="560" w:lineRule="exact"/>
        <w:ind w:firstLine="640" w:firstLineChars="200"/>
        <w:rPr>
          <w:rFonts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（二）评分权重</w:t>
      </w:r>
    </w:p>
    <w:tbl>
      <w:tblPr>
        <w:tblStyle w:val="9"/>
        <w:tblW w:w="8755" w:type="dxa"/>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9"/>
        <w:gridCol w:w="2146"/>
        <w:gridCol w:w="2445"/>
        <w:gridCol w:w="2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pPr>
              <w:pStyle w:val="13"/>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评分内容</w:t>
            </w:r>
          </w:p>
        </w:tc>
        <w:tc>
          <w:tcPr>
            <w:tcW w:w="2146" w:type="dxa"/>
            <w:tcBorders>
              <w:top w:val="single" w:color="auto" w:sz="4" w:space="0"/>
              <w:left w:val="single" w:color="auto" w:sz="4" w:space="0"/>
              <w:bottom w:val="single" w:color="auto" w:sz="4" w:space="0"/>
              <w:right w:val="single" w:color="auto" w:sz="4" w:space="0"/>
            </w:tcBorders>
          </w:tcPr>
          <w:p>
            <w:pPr>
              <w:pStyle w:val="13"/>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商务能力</w:t>
            </w:r>
          </w:p>
        </w:tc>
        <w:tc>
          <w:tcPr>
            <w:tcW w:w="2445" w:type="dxa"/>
            <w:tcBorders>
              <w:top w:val="single" w:color="auto" w:sz="4" w:space="0"/>
              <w:left w:val="single" w:color="auto" w:sz="4" w:space="0"/>
              <w:bottom w:val="single" w:color="auto" w:sz="4" w:space="0"/>
              <w:right w:val="single" w:color="auto" w:sz="4" w:space="0"/>
            </w:tcBorders>
          </w:tcPr>
          <w:p>
            <w:pPr>
              <w:pStyle w:val="13"/>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技术能力</w:t>
            </w:r>
          </w:p>
        </w:tc>
        <w:tc>
          <w:tcPr>
            <w:tcW w:w="2505" w:type="dxa"/>
            <w:tcBorders>
              <w:top w:val="single" w:color="auto" w:sz="4" w:space="0"/>
              <w:left w:val="single" w:color="auto" w:sz="4" w:space="0"/>
              <w:bottom w:val="single" w:color="auto" w:sz="4" w:space="0"/>
              <w:right w:val="single" w:color="auto" w:sz="4" w:space="0"/>
            </w:tcBorders>
          </w:tcPr>
          <w:p>
            <w:pPr>
              <w:pStyle w:val="13"/>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59" w:type="dxa"/>
            <w:tcBorders>
              <w:top w:val="single" w:color="auto" w:sz="4" w:space="0"/>
              <w:left w:val="single" w:color="auto" w:sz="4" w:space="0"/>
              <w:bottom w:val="single" w:color="auto" w:sz="4" w:space="0"/>
              <w:right w:val="single" w:color="auto" w:sz="4" w:space="0"/>
            </w:tcBorders>
          </w:tcPr>
          <w:p>
            <w:pPr>
              <w:pStyle w:val="13"/>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分值</w:t>
            </w:r>
          </w:p>
        </w:tc>
        <w:tc>
          <w:tcPr>
            <w:tcW w:w="2146" w:type="dxa"/>
            <w:tcBorders>
              <w:top w:val="single" w:color="auto" w:sz="4" w:space="0"/>
              <w:left w:val="single" w:color="auto" w:sz="4" w:space="0"/>
              <w:bottom w:val="single" w:color="auto" w:sz="4" w:space="0"/>
              <w:right w:val="single" w:color="auto" w:sz="4" w:space="0"/>
            </w:tcBorders>
          </w:tcPr>
          <w:p>
            <w:pPr>
              <w:pStyle w:val="13"/>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25分</w:t>
            </w:r>
          </w:p>
        </w:tc>
        <w:tc>
          <w:tcPr>
            <w:tcW w:w="2445" w:type="dxa"/>
            <w:tcBorders>
              <w:top w:val="single" w:color="auto" w:sz="4" w:space="0"/>
              <w:left w:val="single" w:color="auto" w:sz="4" w:space="0"/>
              <w:bottom w:val="single" w:color="auto" w:sz="4" w:space="0"/>
              <w:right w:val="single" w:color="auto" w:sz="4" w:space="0"/>
            </w:tcBorders>
          </w:tcPr>
          <w:p>
            <w:pPr>
              <w:pStyle w:val="13"/>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45分</w:t>
            </w:r>
          </w:p>
        </w:tc>
        <w:tc>
          <w:tcPr>
            <w:tcW w:w="2505" w:type="dxa"/>
            <w:tcBorders>
              <w:top w:val="single" w:color="auto" w:sz="4" w:space="0"/>
              <w:left w:val="single" w:color="auto" w:sz="4" w:space="0"/>
              <w:bottom w:val="single" w:color="auto" w:sz="4" w:space="0"/>
              <w:right w:val="single" w:color="auto" w:sz="4" w:space="0"/>
            </w:tcBorders>
          </w:tcPr>
          <w:p>
            <w:pPr>
              <w:pStyle w:val="13"/>
              <w:spacing w:line="560" w:lineRule="exact"/>
              <w:jc w:val="center"/>
              <w:rPr>
                <w:rFonts w:ascii="仿宋_GB2312" w:hAnsi="仿宋_GB2312" w:eastAsia="仿宋_GB2312" w:cs="仿宋_GB2312"/>
                <w:b w:val="0"/>
                <w:bCs/>
                <w:szCs w:val="24"/>
              </w:rPr>
            </w:pPr>
            <w:r>
              <w:rPr>
                <w:rFonts w:hint="eastAsia" w:ascii="仿宋_GB2312" w:hAnsi="仿宋_GB2312" w:eastAsia="仿宋_GB2312" w:cs="仿宋_GB2312"/>
                <w:b w:val="0"/>
                <w:bCs/>
                <w:szCs w:val="24"/>
              </w:rPr>
              <w:t>30分</w:t>
            </w:r>
          </w:p>
        </w:tc>
      </w:tr>
    </w:tbl>
    <w:p>
      <w:pPr>
        <w:pStyle w:val="13"/>
        <w:spacing w:line="560" w:lineRule="exact"/>
        <w:ind w:firstLine="640" w:firstLineChars="200"/>
        <w:rPr>
          <w:rFonts w:ascii="仿宋_GB2312" w:eastAsia="仿宋_GB2312"/>
          <w:sz w:val="32"/>
          <w:szCs w:val="32"/>
        </w:rPr>
      </w:pPr>
      <w:r>
        <w:rPr>
          <w:rFonts w:hint="eastAsia" w:ascii="楷体_GB2312" w:hAnsi="楷体_GB2312" w:eastAsia="楷体_GB2312" w:cs="楷体_GB2312"/>
          <w:b w:val="0"/>
          <w:bCs/>
          <w:color w:val="000000"/>
          <w:sz w:val="32"/>
          <w:szCs w:val="32"/>
        </w:rPr>
        <w:t>（三）评分标准</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1.商务能力</w:t>
      </w:r>
    </w:p>
    <w:tbl>
      <w:tblPr>
        <w:tblStyle w:val="9"/>
        <w:tblW w:w="875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122"/>
        <w:gridCol w:w="3628"/>
        <w:gridCol w:w="34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5269" w:type="dxa"/>
            <w:gridSpan w:val="3"/>
            <w:vAlign w:val="center"/>
          </w:tcPr>
          <w:p>
            <w:pPr>
              <w:widowControl/>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项目</w:t>
            </w:r>
          </w:p>
        </w:tc>
        <w:tc>
          <w:tcPr>
            <w:tcW w:w="3482" w:type="dxa"/>
            <w:vAlign w:val="center"/>
          </w:tcPr>
          <w:p>
            <w:pPr>
              <w:widowControl/>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0" w:hRule="atLeast"/>
        </w:trPr>
        <w:tc>
          <w:tcPr>
            <w:tcW w:w="519" w:type="dxa"/>
            <w:vMerge w:val="restart"/>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商务能力评分（25分）</w:t>
            </w:r>
          </w:p>
        </w:tc>
        <w:tc>
          <w:tcPr>
            <w:tcW w:w="1122" w:type="dxa"/>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同类项目经验</w:t>
            </w:r>
          </w:p>
          <w:p>
            <w:pPr>
              <w:jc w:val="center"/>
              <w:rPr>
                <w:rFonts w:ascii="仿宋_GB2312" w:hAnsi="仿宋_GB2312" w:eastAsia="仿宋_GB2312" w:cs="仿宋_GB2312"/>
                <w:bCs/>
                <w:kern w:val="0"/>
                <w:sz w:val="24"/>
              </w:rPr>
            </w:pPr>
            <w:r>
              <w:rPr>
                <w:rFonts w:hint="eastAsia" w:ascii="仿宋_GB2312" w:hAnsi="仿宋_GB2312" w:eastAsia="仿宋_GB2312" w:cs="仿宋_GB2312"/>
                <w:bCs/>
                <w:sz w:val="24"/>
              </w:rPr>
              <w:t>（10分）</w:t>
            </w:r>
          </w:p>
        </w:tc>
        <w:tc>
          <w:tcPr>
            <w:tcW w:w="3628" w:type="dxa"/>
            <w:vAlign w:val="center"/>
          </w:tcPr>
          <w:p>
            <w:pPr>
              <w:rPr>
                <w:rFonts w:ascii="仿宋_GB2312" w:hAnsi="仿宋_GB2312" w:eastAsia="仿宋_GB2312" w:cs="仿宋_GB2312"/>
                <w:bCs/>
                <w:sz w:val="24"/>
              </w:rPr>
            </w:pPr>
            <w:r>
              <w:rPr>
                <w:rFonts w:hint="eastAsia" w:ascii="仿宋_GB2312" w:hAnsi="仿宋_GB2312" w:eastAsia="仿宋_GB2312" w:cs="仿宋_GB2312"/>
                <w:bCs/>
                <w:sz w:val="24"/>
              </w:rPr>
              <w:t>具有举办</w:t>
            </w:r>
            <w:r>
              <w:rPr>
                <w:rFonts w:hint="eastAsia" w:ascii="仿宋_GB2312" w:hAnsi="仿宋_GB2312" w:eastAsia="仿宋_GB2312" w:cs="仿宋_GB2312"/>
                <w:bCs/>
                <w:sz w:val="24"/>
                <w:lang w:val="en-US" w:eastAsia="zh-CN"/>
              </w:rPr>
              <w:t>文体</w:t>
            </w:r>
            <w:r>
              <w:rPr>
                <w:rFonts w:hint="eastAsia" w:ascii="仿宋_GB2312" w:hAnsi="仿宋_GB2312" w:eastAsia="仿宋_GB2312" w:cs="仿宋_GB2312"/>
                <w:bCs/>
                <w:sz w:val="24"/>
              </w:rPr>
              <w:t>活动的丰富经验项目，提供至多2个过往活动合同关键页；每提供一项以往同类项目证明材料得5分，本项最高得分为10分。</w:t>
            </w:r>
          </w:p>
        </w:tc>
        <w:tc>
          <w:tcPr>
            <w:tcW w:w="3482" w:type="dxa"/>
            <w:vAlign w:val="center"/>
          </w:tcPr>
          <w:p>
            <w:pPr>
              <w:jc w:val="left"/>
              <w:rPr>
                <w:rFonts w:ascii="仿宋_GB2312" w:hAnsi="仿宋_GB2312" w:eastAsia="仿宋_GB2312" w:cs="仿宋_GB2312"/>
                <w:bCs/>
                <w:sz w:val="24"/>
              </w:rPr>
            </w:pPr>
            <w:r>
              <w:rPr>
                <w:rFonts w:hint="eastAsia" w:ascii="仿宋_GB2312" w:hAnsi="仿宋_GB2312" w:eastAsia="仿宋_GB2312" w:cs="仿宋_GB2312"/>
                <w:bCs/>
                <w:sz w:val="24"/>
              </w:rPr>
              <w:t>提供往期活动合同关键页佐证材料。（同个合作方、同个项目续签不累计加分）证明材料不清晰评委无法辨认的，不得分。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77" w:hRule="atLeast"/>
        </w:trPr>
        <w:tc>
          <w:tcPr>
            <w:tcW w:w="519" w:type="dxa"/>
            <w:vMerge w:val="continue"/>
            <w:vAlign w:val="center"/>
          </w:tcPr>
          <w:p>
            <w:pPr>
              <w:jc w:val="center"/>
              <w:rPr>
                <w:rFonts w:ascii="仿宋_GB2312" w:hAnsi="仿宋_GB2312" w:eastAsia="仿宋_GB2312" w:cs="仿宋_GB2312"/>
                <w:bCs/>
                <w:sz w:val="24"/>
              </w:rPr>
            </w:pPr>
          </w:p>
        </w:tc>
        <w:tc>
          <w:tcPr>
            <w:tcW w:w="1122" w:type="dxa"/>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拟安排的项目团队成员情况（5分）</w:t>
            </w:r>
          </w:p>
        </w:tc>
        <w:tc>
          <w:tcPr>
            <w:tcW w:w="3628" w:type="dxa"/>
            <w:vAlign w:val="center"/>
          </w:tcPr>
          <w:p>
            <w:pPr>
              <w:rPr>
                <w:rFonts w:ascii="仿宋_GB2312" w:hAnsi="仿宋_GB2312" w:eastAsia="仿宋_GB2312" w:cs="仿宋_GB2312"/>
                <w:bCs/>
                <w:sz w:val="24"/>
              </w:rPr>
            </w:pPr>
            <w:r>
              <w:rPr>
                <w:rFonts w:hint="eastAsia" w:ascii="仿宋_GB2312" w:hAnsi="仿宋_GB2312" w:eastAsia="仿宋_GB2312" w:cs="仿宋_GB2312"/>
                <w:bCs/>
                <w:sz w:val="24"/>
              </w:rPr>
              <w:t>1.具备本科或以上学历的，每提供一个得1分，最高得2分；</w:t>
            </w:r>
          </w:p>
          <w:p>
            <w:pPr>
              <w:rPr>
                <w:rFonts w:ascii="仿宋_GB2312" w:hAnsi="仿宋_GB2312" w:eastAsia="仿宋_GB2312" w:cs="仿宋_GB2312"/>
                <w:bCs/>
                <w:sz w:val="24"/>
              </w:rPr>
            </w:pPr>
            <w:r>
              <w:rPr>
                <w:rFonts w:hint="eastAsia" w:ascii="仿宋_GB2312" w:hAnsi="仿宋_GB2312" w:eastAsia="仿宋_GB2312" w:cs="仿宋_GB2312"/>
                <w:bCs/>
                <w:sz w:val="24"/>
              </w:rPr>
              <w:t>2.团队成员参与过艺术类活动</w:t>
            </w:r>
            <w:r>
              <w:rPr>
                <w:rFonts w:hint="eastAsia" w:ascii="仿宋_GB2312" w:hAnsi="仿宋_GB2312" w:eastAsia="仿宋_GB2312" w:cs="仿宋_GB2312"/>
                <w:bCs/>
                <w:sz w:val="24"/>
                <w:lang w:val="en-US" w:eastAsia="zh-CN"/>
              </w:rPr>
              <w:t>策划、执行</w:t>
            </w:r>
            <w:r>
              <w:rPr>
                <w:rFonts w:hint="eastAsia" w:ascii="仿宋_GB2312" w:hAnsi="仿宋_GB2312" w:eastAsia="仿宋_GB2312" w:cs="仿宋_GB2312"/>
                <w:bCs/>
                <w:sz w:val="24"/>
              </w:rPr>
              <w:t>经验的，每提供团队人员参与的项目经验的，得1分，最高得3分。</w:t>
            </w:r>
          </w:p>
          <w:p>
            <w:pPr>
              <w:rPr>
                <w:rFonts w:ascii="仿宋_GB2312" w:hAnsi="仿宋_GB2312" w:eastAsia="仿宋_GB2312" w:cs="仿宋_GB2312"/>
                <w:bCs/>
                <w:sz w:val="24"/>
              </w:rPr>
            </w:pPr>
            <w:r>
              <w:rPr>
                <w:rFonts w:hint="eastAsia" w:ascii="仿宋_GB2312" w:hAnsi="仿宋_GB2312" w:eastAsia="仿宋_GB2312" w:cs="仿宋_GB2312"/>
                <w:bCs/>
                <w:sz w:val="24"/>
              </w:rPr>
              <w:t>以上两项同一人可累计得分，两项累计总分最高得5分。</w:t>
            </w:r>
          </w:p>
        </w:tc>
        <w:tc>
          <w:tcPr>
            <w:tcW w:w="3482" w:type="dxa"/>
            <w:vAlign w:val="center"/>
          </w:tcPr>
          <w:p>
            <w:pPr>
              <w:jc w:val="left"/>
              <w:rPr>
                <w:rFonts w:ascii="仿宋_GB2312" w:hAnsi="仿宋_GB2312" w:eastAsia="仿宋_GB2312" w:cs="仿宋_GB2312"/>
                <w:bCs/>
                <w:sz w:val="24"/>
              </w:rPr>
            </w:pPr>
            <w:r>
              <w:rPr>
                <w:rFonts w:hint="eastAsia" w:ascii="仿宋_GB2312" w:hAnsi="仿宋_GB2312" w:eastAsia="仿宋_GB2312" w:cs="仿宋_GB2312"/>
                <w:bCs/>
                <w:sz w:val="24"/>
              </w:rPr>
              <w:t>1.提供项目团队成员学位证书、毕业证书扫描件或复印件；提供类似经验合作证明或相关资料，扫描件或复印件。</w:t>
            </w:r>
          </w:p>
          <w:p>
            <w:pPr>
              <w:jc w:val="left"/>
              <w:rPr>
                <w:rFonts w:ascii="仿宋_GB2312" w:hAnsi="仿宋_GB2312" w:eastAsia="仿宋_GB2312" w:cs="仿宋_GB2312"/>
                <w:bCs/>
                <w:sz w:val="24"/>
              </w:rPr>
            </w:pPr>
            <w:r>
              <w:rPr>
                <w:rFonts w:hint="eastAsia" w:ascii="仿宋_GB2312" w:hAnsi="仿宋_GB2312" w:eastAsia="仿宋_GB2312" w:cs="仿宋_GB2312"/>
                <w:bCs/>
                <w:sz w:val="24"/>
              </w:rPr>
              <w:t>2.未提供证明材料或者提供的证明材料不符合要求或提供的证明材料不清晰评委无法辨认的，不得分。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86" w:hRule="atLeast"/>
        </w:trPr>
        <w:tc>
          <w:tcPr>
            <w:tcW w:w="519" w:type="dxa"/>
            <w:vMerge w:val="continue"/>
            <w:vAlign w:val="center"/>
          </w:tcPr>
          <w:p>
            <w:pPr>
              <w:jc w:val="center"/>
              <w:rPr>
                <w:rFonts w:ascii="仿宋_GB2312" w:hAnsi="仿宋_GB2312" w:eastAsia="仿宋_GB2312" w:cs="仿宋_GB2312"/>
                <w:bCs/>
                <w:sz w:val="24"/>
              </w:rPr>
            </w:pPr>
          </w:p>
        </w:tc>
        <w:tc>
          <w:tcPr>
            <w:tcW w:w="1122" w:type="dxa"/>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诚信评价（5分）</w:t>
            </w:r>
          </w:p>
        </w:tc>
        <w:tc>
          <w:tcPr>
            <w:tcW w:w="3628" w:type="dxa"/>
            <w:vAlign w:val="center"/>
          </w:tcPr>
          <w:p>
            <w:pPr>
              <w:rPr>
                <w:rFonts w:ascii="仿宋_GB2312" w:hAnsi="仿宋_GB2312" w:eastAsia="仿宋_GB2312" w:cs="仿宋_GB2312"/>
                <w:bCs/>
                <w:sz w:val="24"/>
              </w:rPr>
            </w:pPr>
            <w:r>
              <w:rPr>
                <w:rFonts w:hint="eastAsia" w:ascii="仿宋_GB2312" w:hAnsi="仿宋_GB2312" w:eastAsia="仿宋_GB2312" w:cs="仿宋_GB2312"/>
                <w:bCs/>
                <w:sz w:val="24"/>
              </w:rPr>
              <w:t>投标人在参与政府采购活动中不存在诚信相关问题且不在主管部门相关处理措施实施期限内的。</w:t>
            </w:r>
          </w:p>
        </w:tc>
        <w:tc>
          <w:tcPr>
            <w:tcW w:w="3482" w:type="dxa"/>
            <w:vAlign w:val="center"/>
          </w:tcPr>
          <w:p>
            <w:pPr>
              <w:jc w:val="left"/>
              <w:rPr>
                <w:rFonts w:ascii="仿宋_GB2312" w:hAnsi="仿宋_GB2312" w:eastAsia="仿宋_GB2312" w:cs="仿宋_GB2312"/>
                <w:bCs/>
                <w:sz w:val="24"/>
              </w:rPr>
            </w:pPr>
            <w:r>
              <w:rPr>
                <w:rFonts w:hint="eastAsia" w:ascii="仿宋_GB2312" w:hAnsi="仿宋_GB2312" w:eastAsia="仿宋_GB2312" w:cs="仿宋_GB2312"/>
                <w:bCs/>
                <w:sz w:val="24"/>
              </w:rPr>
              <w:t>提供《诚信承诺函》并加盖公章，格式自拟，提供得5分，内容不符或未提供不得分。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47" w:hRule="atLeast"/>
        </w:trPr>
        <w:tc>
          <w:tcPr>
            <w:tcW w:w="519" w:type="dxa"/>
            <w:vMerge w:val="continue"/>
            <w:vAlign w:val="center"/>
          </w:tcPr>
          <w:p>
            <w:pPr>
              <w:jc w:val="center"/>
              <w:rPr>
                <w:rFonts w:ascii="仿宋_GB2312" w:hAnsi="仿宋_GB2312" w:eastAsia="仿宋_GB2312" w:cs="仿宋_GB2312"/>
                <w:bCs/>
                <w:sz w:val="24"/>
              </w:rPr>
            </w:pPr>
          </w:p>
        </w:tc>
        <w:tc>
          <w:tcPr>
            <w:tcW w:w="1122" w:type="dxa"/>
            <w:vAlign w:val="center"/>
          </w:tcPr>
          <w:p>
            <w:pPr>
              <w:widowControl/>
              <w:jc w:val="center"/>
              <w:textAlignment w:val="center"/>
              <w:rPr>
                <w:rFonts w:ascii="仿宋_GB2312" w:hAnsi="宋体" w:eastAsia="仿宋_GB2312" w:cs="仿宋_GB2312"/>
                <w:sz w:val="26"/>
                <w:szCs w:val="26"/>
              </w:rPr>
            </w:pPr>
            <w:r>
              <w:rPr>
                <w:rFonts w:hint="eastAsia" w:ascii="仿宋_GB2312" w:hAnsi="仿宋_GB2312" w:eastAsia="仿宋_GB2312" w:cs="仿宋_GB2312"/>
                <w:bCs/>
                <w:sz w:val="24"/>
              </w:rPr>
              <w:t>服务承诺书（5分）</w:t>
            </w:r>
          </w:p>
        </w:tc>
        <w:tc>
          <w:tcPr>
            <w:tcW w:w="3628" w:type="dxa"/>
            <w:vAlign w:val="center"/>
          </w:tcPr>
          <w:p>
            <w:pPr>
              <w:rPr>
                <w:rFonts w:ascii="仿宋_GB2312" w:hAnsi="仿宋_GB2312" w:eastAsia="仿宋_GB2312" w:cs="仿宋_GB2312"/>
                <w:bCs/>
                <w:sz w:val="24"/>
              </w:rPr>
            </w:pPr>
            <w:r>
              <w:rPr>
                <w:rFonts w:hint="eastAsia" w:ascii="仿宋_GB2312" w:hAnsi="仿宋_GB2312" w:eastAsia="仿宋_GB2312" w:cs="仿宋_GB2312"/>
                <w:bCs/>
                <w:sz w:val="24"/>
              </w:rPr>
              <w:t>根据对项目的理解及自身管理经验，提出项目完成的服务承诺与违约承诺。</w:t>
            </w:r>
          </w:p>
        </w:tc>
        <w:tc>
          <w:tcPr>
            <w:tcW w:w="3482" w:type="dxa"/>
            <w:vAlign w:val="center"/>
          </w:tcPr>
          <w:p>
            <w:pPr>
              <w:jc w:val="left"/>
              <w:rPr>
                <w:rFonts w:ascii="仿宋_GB2312" w:hAnsi="仿宋_GB2312" w:eastAsia="仿宋_GB2312" w:cs="仿宋_GB2312"/>
                <w:bCs/>
                <w:sz w:val="24"/>
              </w:rPr>
            </w:pPr>
            <w:r>
              <w:rPr>
                <w:rFonts w:hint="eastAsia" w:ascii="仿宋_GB2312" w:hAnsi="仿宋_GB2312" w:eastAsia="仿宋_GB2312" w:cs="仿宋_GB2312"/>
                <w:bCs/>
                <w:sz w:val="24"/>
              </w:rPr>
              <w:t>提供《服务承诺函》并加盖得5分，格式自拟，提供得5分，内容不符或未提供不得分。</w:t>
            </w:r>
          </w:p>
        </w:tc>
      </w:tr>
    </w:tbl>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r>
        <w:rPr>
          <w:rFonts w:hint="eastAsia" w:ascii="仿宋_GB2312" w:eastAsia="仿宋_GB2312"/>
          <w:sz w:val="32"/>
          <w:szCs w:val="32"/>
        </w:rPr>
        <w:t>2.技术能力</w:t>
      </w:r>
    </w:p>
    <w:tbl>
      <w:tblPr>
        <w:tblStyle w:val="9"/>
        <w:tblW w:w="8751"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9"/>
        <w:gridCol w:w="1569"/>
        <w:gridCol w:w="3165"/>
        <w:gridCol w:w="34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5253" w:type="dxa"/>
            <w:gridSpan w:val="3"/>
            <w:vAlign w:val="center"/>
          </w:tcPr>
          <w:p>
            <w:pPr>
              <w:widowControl/>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项目</w:t>
            </w:r>
          </w:p>
        </w:tc>
        <w:tc>
          <w:tcPr>
            <w:tcW w:w="3498" w:type="dxa"/>
            <w:vAlign w:val="center"/>
          </w:tcPr>
          <w:p>
            <w:pPr>
              <w:widowControl/>
              <w:jc w:val="center"/>
              <w:rPr>
                <w:rFonts w:ascii="仿宋_GB2312" w:hAnsi="仿宋_GB2312" w:eastAsia="仿宋_GB2312" w:cs="仿宋_GB2312"/>
                <w:bCs/>
                <w:kern w:val="0"/>
                <w:sz w:val="24"/>
              </w:rPr>
            </w:pPr>
            <w:r>
              <w:rPr>
                <w:rFonts w:hint="eastAsia" w:ascii="仿宋_GB2312" w:hAnsi="仿宋_GB2312" w:eastAsia="仿宋_GB2312" w:cs="仿宋_GB2312"/>
                <w:bCs/>
                <w:kern w:val="0"/>
                <w:sz w:val="24"/>
              </w:rPr>
              <w:t>得分依据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22" w:hRule="atLeast"/>
        </w:trPr>
        <w:tc>
          <w:tcPr>
            <w:tcW w:w="519" w:type="dxa"/>
            <w:vAlign w:val="center"/>
          </w:tcPr>
          <w:p>
            <w:pPr>
              <w:jc w:val="center"/>
              <w:rPr>
                <w:rFonts w:ascii="仿宋_GB2312" w:hAnsi="仿宋_GB2312" w:eastAsia="仿宋_GB2312" w:cs="仿宋_GB2312"/>
                <w:bCs/>
                <w:sz w:val="24"/>
              </w:rPr>
            </w:pPr>
            <w:r>
              <w:rPr>
                <w:rFonts w:hint="eastAsia" w:ascii="仿宋_GB2312" w:hAnsi="仿宋_GB2312" w:eastAsia="仿宋_GB2312" w:cs="仿宋_GB2312"/>
                <w:bCs/>
                <w:sz w:val="24"/>
              </w:rPr>
              <w:t>技术能力分45分</w:t>
            </w:r>
          </w:p>
        </w:tc>
        <w:tc>
          <w:tcPr>
            <w:tcW w:w="1569" w:type="dxa"/>
            <w:vAlign w:val="center"/>
          </w:tcPr>
          <w:p>
            <w:pPr>
              <w:rPr>
                <w:rFonts w:ascii="仿宋_GB2312" w:hAnsi="仿宋_GB2312" w:eastAsia="仿宋_GB2312" w:cs="仿宋_GB2312"/>
                <w:bCs/>
                <w:sz w:val="24"/>
              </w:rPr>
            </w:pPr>
            <w:r>
              <w:rPr>
                <w:rFonts w:hint="eastAsia" w:ascii="仿宋_GB2312" w:hAnsi="仿宋_GB2312" w:eastAsia="仿宋_GB2312" w:cs="仿宋_GB2312"/>
                <w:bCs/>
                <w:sz w:val="24"/>
              </w:rPr>
              <w:t>实施方案（25分）</w:t>
            </w:r>
          </w:p>
        </w:tc>
        <w:tc>
          <w:tcPr>
            <w:tcW w:w="3165" w:type="dxa"/>
            <w:vAlign w:val="center"/>
          </w:tcPr>
          <w:p>
            <w:pPr>
              <w:rPr>
                <w:rFonts w:ascii="仿宋_GB2312" w:hAnsi="仿宋_GB2312" w:eastAsia="仿宋_GB2312" w:cs="仿宋_GB2312"/>
                <w:bCs/>
                <w:sz w:val="24"/>
              </w:rPr>
            </w:pPr>
            <w:r>
              <w:rPr>
                <w:rFonts w:hint="eastAsia" w:ascii="仿宋_GB2312" w:hAnsi="仿宋_GB2312" w:eastAsia="仿宋_GB2312" w:cs="仿宋_GB2312"/>
                <w:bCs/>
                <w:sz w:val="24"/>
              </w:rPr>
              <w:t>根据项目特点，针对活动定位、活动内容、执行方案、应急预案等要点进行项目整体设想和策划，编制实施方案。</w:t>
            </w:r>
          </w:p>
          <w:p>
            <w:pPr>
              <w:pStyle w:val="4"/>
              <w:ind w:left="0" w:leftChars="0" w:right="1470"/>
            </w:pPr>
          </w:p>
        </w:tc>
        <w:tc>
          <w:tcPr>
            <w:tcW w:w="3498" w:type="dxa"/>
            <w:vAlign w:val="center"/>
          </w:tcPr>
          <w:p>
            <w:pPr>
              <w:rPr>
                <w:rFonts w:ascii="仿宋_GB2312" w:hAnsi="仿宋_GB2312" w:eastAsia="仿宋_GB2312" w:cs="仿宋_GB2312"/>
                <w:bCs/>
                <w:sz w:val="24"/>
              </w:rPr>
            </w:pPr>
            <w:r>
              <w:rPr>
                <w:rFonts w:ascii="仿宋_GB2312" w:hAnsi="仿宋_GB2312" w:eastAsia="仿宋_GB2312" w:cs="仿宋_GB2312"/>
                <w:bCs/>
                <w:sz w:val="24"/>
              </w:rPr>
              <w:t>满足</w:t>
            </w:r>
            <w:r>
              <w:rPr>
                <w:rFonts w:hint="eastAsia" w:ascii="仿宋_GB2312" w:hAnsi="仿宋_GB2312" w:eastAsia="仿宋_GB2312" w:cs="仿宋_GB2312"/>
                <w:bCs/>
                <w:sz w:val="24"/>
                <w:lang w:val="en-US" w:eastAsia="zh-CN"/>
              </w:rPr>
              <w:t>左述</w:t>
            </w:r>
            <w:r>
              <w:rPr>
                <w:rFonts w:ascii="仿宋_GB2312" w:hAnsi="仿宋_GB2312" w:eastAsia="仿宋_GB2312" w:cs="仿宋_GB2312"/>
                <w:bCs/>
                <w:sz w:val="24"/>
              </w:rPr>
              <w:t>任意一项内容得</w:t>
            </w:r>
            <w:r>
              <w:rPr>
                <w:rFonts w:hint="eastAsia" w:ascii="仿宋_GB2312" w:hAnsi="仿宋_GB2312" w:eastAsia="仿宋_GB2312" w:cs="仿宋_GB2312"/>
                <w:bCs/>
                <w:sz w:val="24"/>
              </w:rPr>
              <w:t>4</w:t>
            </w:r>
            <w:r>
              <w:rPr>
                <w:rFonts w:ascii="仿宋_GB2312" w:hAnsi="仿宋_GB2312" w:eastAsia="仿宋_GB2312" w:cs="仿宋_GB2312"/>
                <w:bCs/>
                <w:sz w:val="24"/>
              </w:rPr>
              <w:t>分，最高</w:t>
            </w:r>
            <w:r>
              <w:rPr>
                <w:rFonts w:hint="eastAsia" w:ascii="仿宋_GB2312" w:hAnsi="仿宋_GB2312" w:eastAsia="仿宋_GB2312" w:cs="仿宋_GB2312"/>
                <w:bCs/>
                <w:sz w:val="24"/>
              </w:rPr>
              <w:t>16</w:t>
            </w:r>
            <w:r>
              <w:rPr>
                <w:rFonts w:ascii="仿宋_GB2312" w:hAnsi="仿宋_GB2312" w:eastAsia="仿宋_GB2312" w:cs="仿宋_GB2312"/>
                <w:bCs/>
                <w:sz w:val="24"/>
              </w:rPr>
              <w:t>分</w:t>
            </w:r>
          </w:p>
          <w:p>
            <w:pPr>
              <w:rPr>
                <w:rFonts w:ascii="仿宋_GB2312" w:hAnsi="仿宋_GB2312" w:eastAsia="仿宋_GB2312" w:cs="仿宋_GB2312"/>
                <w:bCs/>
                <w:sz w:val="24"/>
              </w:rPr>
            </w:pPr>
            <w:r>
              <w:rPr>
                <w:rFonts w:ascii="仿宋_GB2312" w:hAnsi="仿宋_GB2312" w:eastAsia="仿宋_GB2312" w:cs="仿宋_GB2312"/>
                <w:bCs/>
                <w:sz w:val="24"/>
              </w:rPr>
              <w:t>评分标准：</w:t>
            </w:r>
          </w:p>
          <w:p>
            <w:pPr>
              <w:rPr>
                <w:rFonts w:ascii="仿宋_GB2312" w:hAnsi="仿宋_GB2312" w:eastAsia="仿宋_GB2312" w:cs="仿宋_GB2312"/>
                <w:bCs/>
                <w:sz w:val="24"/>
              </w:rPr>
            </w:pPr>
            <w:r>
              <w:rPr>
                <w:rFonts w:ascii="仿宋_GB2312" w:hAnsi="仿宋_GB2312" w:eastAsia="仿宋_GB2312" w:cs="仿宋_GB2312"/>
                <w:bCs/>
                <w:sz w:val="24"/>
              </w:rPr>
              <w:t>由评标委员会对实施方案</w:t>
            </w:r>
            <w:r>
              <w:rPr>
                <w:rFonts w:hint="eastAsia" w:ascii="仿宋_GB2312" w:hAnsi="仿宋_GB2312" w:eastAsia="仿宋_GB2312" w:cs="仿宋_GB2312"/>
                <w:bCs/>
                <w:sz w:val="24"/>
              </w:rPr>
              <w:t>进一步</w:t>
            </w:r>
            <w:r>
              <w:rPr>
                <w:rFonts w:ascii="仿宋_GB2312" w:hAnsi="仿宋_GB2312" w:eastAsia="仿宋_GB2312" w:cs="仿宋_GB2312"/>
                <w:bCs/>
                <w:sz w:val="24"/>
              </w:rPr>
              <w:t>评审：</w:t>
            </w:r>
          </w:p>
          <w:p>
            <w:pPr>
              <w:rPr>
                <w:rFonts w:ascii="仿宋_GB2312" w:hAnsi="仿宋_GB2312" w:eastAsia="仿宋_GB2312" w:cs="仿宋_GB2312"/>
                <w:bCs/>
                <w:sz w:val="24"/>
              </w:rPr>
            </w:pPr>
            <w:r>
              <w:rPr>
                <w:rFonts w:ascii="仿宋_GB2312" w:hAnsi="仿宋_GB2312" w:eastAsia="仿宋_GB2312" w:cs="仿宋_GB2312"/>
                <w:bCs/>
                <w:sz w:val="24"/>
              </w:rPr>
              <w:t>（1）实施方案内容全面具体。</w:t>
            </w:r>
          </w:p>
          <w:p>
            <w:pPr>
              <w:rPr>
                <w:rFonts w:ascii="仿宋_GB2312" w:hAnsi="仿宋_GB2312" w:eastAsia="仿宋_GB2312" w:cs="仿宋_GB2312"/>
                <w:bCs/>
                <w:sz w:val="24"/>
              </w:rPr>
            </w:pPr>
            <w:r>
              <w:rPr>
                <w:rFonts w:ascii="仿宋_GB2312" w:hAnsi="仿宋_GB2312" w:eastAsia="仿宋_GB2312" w:cs="仿宋_GB2312"/>
                <w:bCs/>
                <w:sz w:val="24"/>
              </w:rPr>
              <w:t>（2）实施方案内容科学合理。</w:t>
            </w:r>
          </w:p>
          <w:p>
            <w:pPr>
              <w:rPr>
                <w:rFonts w:ascii="仿宋_GB2312" w:hAnsi="仿宋_GB2312" w:eastAsia="仿宋_GB2312" w:cs="仿宋_GB2312"/>
                <w:bCs/>
                <w:sz w:val="24"/>
              </w:rPr>
            </w:pPr>
            <w:r>
              <w:rPr>
                <w:rFonts w:ascii="仿宋_GB2312" w:hAnsi="仿宋_GB2312" w:eastAsia="仿宋_GB2312" w:cs="仿宋_GB2312"/>
                <w:bCs/>
                <w:sz w:val="24"/>
              </w:rPr>
              <w:t>（3）实施方案内容针对性强。</w:t>
            </w:r>
          </w:p>
          <w:p>
            <w:r>
              <w:rPr>
                <w:rFonts w:ascii="仿宋_GB2312" w:hAnsi="仿宋_GB2312" w:eastAsia="仿宋_GB2312" w:cs="仿宋_GB2312"/>
                <w:bCs/>
                <w:sz w:val="24"/>
              </w:rPr>
              <w:t>（4）实施方案内容可操作性强。（5）实施方案内容</w:t>
            </w:r>
            <w:r>
              <w:rPr>
                <w:rFonts w:hint="eastAsia" w:ascii="仿宋_GB2312" w:hAnsi="仿宋_GB2312" w:eastAsia="仿宋_GB2312" w:cs="仿宋_GB2312"/>
                <w:bCs/>
                <w:sz w:val="24"/>
              </w:rPr>
              <w:t>承办活动资源优势性强。</w:t>
            </w:r>
          </w:p>
          <w:p>
            <w:pPr>
              <w:rPr>
                <w:rFonts w:ascii="仿宋_GB2312" w:hAnsi="仿宋_GB2312" w:eastAsia="仿宋_GB2312" w:cs="仿宋_GB2312"/>
                <w:bCs/>
                <w:sz w:val="24"/>
              </w:rPr>
            </w:pPr>
            <w:r>
              <w:rPr>
                <w:rFonts w:ascii="仿宋_GB2312" w:hAnsi="仿宋_GB2312" w:eastAsia="仿宋_GB2312" w:cs="仿宋_GB2312"/>
                <w:bCs/>
                <w:sz w:val="24"/>
              </w:rPr>
              <w:t>优评分标准：满足以上五项要求的评价为优，得</w:t>
            </w:r>
            <w:r>
              <w:rPr>
                <w:rFonts w:hint="eastAsia" w:ascii="仿宋_GB2312" w:hAnsi="仿宋_GB2312" w:eastAsia="仿宋_GB2312" w:cs="仿宋_GB2312"/>
                <w:bCs/>
                <w:sz w:val="24"/>
              </w:rPr>
              <w:t>9</w:t>
            </w:r>
            <w:r>
              <w:rPr>
                <w:rFonts w:ascii="仿宋_GB2312" w:hAnsi="仿宋_GB2312" w:eastAsia="仿宋_GB2312" w:cs="仿宋_GB2312"/>
                <w:bCs/>
                <w:sz w:val="24"/>
              </w:rPr>
              <w:t>分。</w:t>
            </w:r>
          </w:p>
          <w:p>
            <w:pPr>
              <w:rPr>
                <w:rFonts w:ascii="仿宋_GB2312" w:hAnsi="仿宋_GB2312" w:eastAsia="仿宋_GB2312" w:cs="仿宋_GB2312"/>
                <w:bCs/>
                <w:sz w:val="24"/>
              </w:rPr>
            </w:pPr>
            <w:r>
              <w:rPr>
                <w:rFonts w:ascii="仿宋_GB2312" w:hAnsi="仿宋_GB2312" w:eastAsia="仿宋_GB2312" w:cs="仿宋_GB2312"/>
                <w:bCs/>
                <w:sz w:val="24"/>
              </w:rPr>
              <w:t>良评分标准：满足以上四项要求的评价为良，得6分。</w:t>
            </w:r>
          </w:p>
          <w:p>
            <w:pPr>
              <w:rPr>
                <w:rFonts w:ascii="仿宋_GB2312" w:hAnsi="仿宋_GB2312" w:eastAsia="仿宋_GB2312" w:cs="仿宋_GB2312"/>
                <w:bCs/>
                <w:sz w:val="24"/>
              </w:rPr>
            </w:pPr>
            <w:r>
              <w:rPr>
                <w:rFonts w:ascii="仿宋_GB2312" w:hAnsi="仿宋_GB2312" w:eastAsia="仿宋_GB2312" w:cs="仿宋_GB2312"/>
                <w:bCs/>
                <w:sz w:val="24"/>
              </w:rPr>
              <w:t>中评分标准：满足以上三项要求的评价为中，得</w:t>
            </w:r>
            <w:r>
              <w:rPr>
                <w:rFonts w:hint="eastAsia" w:ascii="仿宋_GB2312" w:hAnsi="仿宋_GB2312" w:eastAsia="仿宋_GB2312" w:cs="仿宋_GB2312"/>
                <w:bCs/>
                <w:sz w:val="24"/>
              </w:rPr>
              <w:t>3</w:t>
            </w:r>
            <w:r>
              <w:rPr>
                <w:rFonts w:ascii="仿宋_GB2312" w:hAnsi="仿宋_GB2312" w:eastAsia="仿宋_GB2312" w:cs="仿宋_GB2312"/>
                <w:bCs/>
                <w:sz w:val="24"/>
              </w:rPr>
              <w:t>分。</w:t>
            </w:r>
          </w:p>
          <w:p>
            <w:pPr>
              <w:rPr>
                <w:rFonts w:ascii="仿宋_GB2312" w:hAnsi="仿宋_GB2312" w:eastAsia="仿宋_GB2312" w:cs="仿宋_GB2312"/>
                <w:bCs/>
                <w:sz w:val="24"/>
              </w:rPr>
            </w:pPr>
            <w:r>
              <w:rPr>
                <w:rFonts w:ascii="仿宋_GB2312" w:hAnsi="仿宋_GB2312" w:eastAsia="仿宋_GB2312" w:cs="仿宋_GB2312"/>
                <w:bCs/>
                <w:sz w:val="24"/>
              </w:rPr>
              <w:t>差评分标准：上述情况之外的，评差不得分。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4" w:hRule="atLeast"/>
        </w:trPr>
        <w:tc>
          <w:tcPr>
            <w:tcW w:w="519" w:type="dxa"/>
            <w:vAlign w:val="center"/>
          </w:tcPr>
          <w:p>
            <w:pPr>
              <w:jc w:val="center"/>
              <w:rPr>
                <w:rFonts w:ascii="仿宋_GB2312" w:hAnsi="仿宋_GB2312" w:eastAsia="仿宋_GB2312" w:cs="仿宋_GB2312"/>
                <w:bCs/>
                <w:sz w:val="24"/>
              </w:rPr>
            </w:pPr>
          </w:p>
        </w:tc>
        <w:tc>
          <w:tcPr>
            <w:tcW w:w="1569" w:type="dxa"/>
            <w:vAlign w:val="center"/>
          </w:tcPr>
          <w:p>
            <w:pPr>
              <w:widowControl/>
              <w:jc w:val="left"/>
              <w:textAlignment w:val="center"/>
              <w:rPr>
                <w:rFonts w:ascii="仿宋_GB2312" w:hAnsi="仿宋_GB2312" w:eastAsia="仿宋_GB2312" w:cs="仿宋_GB2312"/>
                <w:bCs/>
                <w:sz w:val="24"/>
              </w:rPr>
            </w:pPr>
            <w:r>
              <w:rPr>
                <w:rFonts w:hint="eastAsia" w:ascii="仿宋_GB2312" w:hAnsi="仿宋_GB2312" w:eastAsia="仿宋_GB2312" w:cs="仿宋_GB2312"/>
                <w:bCs/>
                <w:sz w:val="24"/>
              </w:rPr>
              <w:t>质量保障措施及方案（20分）</w:t>
            </w:r>
          </w:p>
        </w:tc>
        <w:tc>
          <w:tcPr>
            <w:tcW w:w="3165" w:type="dxa"/>
            <w:vAlign w:val="center"/>
          </w:tcPr>
          <w:p>
            <w:pPr>
              <w:rPr>
                <w:rFonts w:ascii="仿宋_GB2312" w:hAnsi="仿宋_GB2312" w:eastAsia="仿宋_GB2312" w:cs="仿宋_GB2312"/>
                <w:bCs/>
                <w:sz w:val="24"/>
              </w:rPr>
            </w:pPr>
            <w:r>
              <w:rPr>
                <w:rFonts w:hint="eastAsia" w:ascii="仿宋_GB2312" w:hAnsi="仿宋_GB2312" w:eastAsia="仿宋_GB2312" w:cs="仿宋_GB2312"/>
                <w:bCs/>
                <w:sz w:val="24"/>
              </w:rPr>
              <w:t>投标人需针对本项目提供质量（完成时间、安全）保障措施及方案方案内容包括但不限于：</w:t>
            </w:r>
          </w:p>
          <w:p>
            <w:pPr>
              <w:rPr>
                <w:rFonts w:ascii="仿宋_GB2312" w:hAnsi="仿宋_GB2312" w:eastAsia="仿宋_GB2312" w:cs="仿宋_GB2312"/>
                <w:bCs/>
                <w:sz w:val="24"/>
              </w:rPr>
            </w:pPr>
            <w:r>
              <w:rPr>
                <w:rFonts w:hint="eastAsia" w:ascii="仿宋_GB2312" w:hAnsi="仿宋_GB2312" w:eastAsia="仿宋_GB2312" w:cs="仿宋_GB2312"/>
                <w:bCs/>
                <w:sz w:val="24"/>
              </w:rPr>
              <w:t>（1）给出分阶段项目时间安排、工作进度；具备详细的完成时间保障措施；</w:t>
            </w:r>
          </w:p>
          <w:p>
            <w:pPr>
              <w:rPr>
                <w:rFonts w:ascii="仿宋_GB2312" w:hAnsi="仿宋_GB2312" w:eastAsia="仿宋_GB2312" w:cs="仿宋_GB2312"/>
                <w:bCs/>
                <w:sz w:val="24"/>
              </w:rPr>
            </w:pPr>
            <w:r>
              <w:rPr>
                <w:rFonts w:hint="eastAsia" w:ascii="仿宋_GB2312" w:hAnsi="仿宋_GB2312" w:eastAsia="仿宋_GB2312" w:cs="仿宋_GB2312"/>
                <w:bCs/>
                <w:sz w:val="24"/>
              </w:rPr>
              <w:t>（2）详细阐述项目人员管理措施；</w:t>
            </w:r>
          </w:p>
          <w:p>
            <w:pPr>
              <w:rPr>
                <w:rFonts w:ascii="仿宋_GB2312" w:hAnsi="仿宋_GB2312" w:eastAsia="仿宋_GB2312" w:cs="仿宋_GB2312"/>
                <w:bCs/>
                <w:sz w:val="24"/>
              </w:rPr>
            </w:pPr>
            <w:r>
              <w:rPr>
                <w:rFonts w:hint="eastAsia" w:ascii="仿宋_GB2312" w:hAnsi="仿宋_GB2312" w:eastAsia="仿宋_GB2312" w:cs="仿宋_GB2312"/>
                <w:bCs/>
                <w:sz w:val="24"/>
              </w:rPr>
              <w:t>（3）详细阐述项目质量管理措施；</w:t>
            </w:r>
          </w:p>
        </w:tc>
        <w:tc>
          <w:tcPr>
            <w:tcW w:w="3498" w:type="dxa"/>
            <w:vAlign w:val="center"/>
          </w:tcPr>
          <w:p>
            <w:pPr>
              <w:rPr>
                <w:rFonts w:ascii="仿宋_GB2312" w:hAnsi="仿宋_GB2312" w:eastAsia="仿宋_GB2312" w:cs="仿宋_GB2312"/>
                <w:bCs/>
                <w:sz w:val="24"/>
              </w:rPr>
            </w:pPr>
            <w:r>
              <w:rPr>
                <w:rFonts w:hint="eastAsia" w:ascii="仿宋_GB2312" w:hAnsi="仿宋_GB2312" w:eastAsia="仿宋_GB2312" w:cs="仿宋_GB2312"/>
                <w:bCs/>
                <w:sz w:val="24"/>
              </w:rPr>
              <w:t>满足</w:t>
            </w:r>
            <w:r>
              <w:rPr>
                <w:rFonts w:hint="eastAsia" w:ascii="仿宋_GB2312" w:hAnsi="仿宋_GB2312" w:eastAsia="仿宋_GB2312" w:cs="仿宋_GB2312"/>
                <w:bCs/>
                <w:sz w:val="24"/>
                <w:lang w:val="en-US" w:eastAsia="zh-CN"/>
              </w:rPr>
              <w:t>左述</w:t>
            </w:r>
            <w:r>
              <w:rPr>
                <w:rFonts w:hint="eastAsia" w:ascii="仿宋_GB2312" w:hAnsi="仿宋_GB2312" w:eastAsia="仿宋_GB2312" w:cs="仿宋_GB2312"/>
                <w:bCs/>
                <w:sz w:val="24"/>
              </w:rPr>
              <w:t>任意一项内容得4 分，最高12分。</w:t>
            </w:r>
          </w:p>
          <w:p>
            <w:pPr>
              <w:rPr>
                <w:rFonts w:ascii="仿宋_GB2312" w:hAnsi="仿宋_GB2312" w:eastAsia="仿宋_GB2312" w:cs="仿宋_GB2312"/>
                <w:bCs/>
                <w:sz w:val="24"/>
              </w:rPr>
            </w:pPr>
            <w:r>
              <w:rPr>
                <w:rFonts w:hint="eastAsia" w:ascii="仿宋_GB2312" w:hAnsi="仿宋_GB2312" w:eastAsia="仿宋_GB2312" w:cs="仿宋_GB2312"/>
                <w:bCs/>
                <w:sz w:val="24"/>
              </w:rPr>
              <w:t>评分标准：</w:t>
            </w:r>
          </w:p>
          <w:p>
            <w:pPr>
              <w:rPr>
                <w:rFonts w:ascii="仿宋_GB2312" w:hAnsi="仿宋_GB2312" w:eastAsia="仿宋_GB2312" w:cs="仿宋_GB2312"/>
                <w:bCs/>
                <w:sz w:val="24"/>
              </w:rPr>
            </w:pPr>
            <w:r>
              <w:rPr>
                <w:rFonts w:hint="eastAsia" w:ascii="仿宋_GB2312" w:hAnsi="仿宋_GB2312" w:eastAsia="仿宋_GB2312" w:cs="仿宋_GB2312"/>
                <w:bCs/>
                <w:sz w:val="24"/>
              </w:rPr>
              <w:t>在此基础上，由评标委员会对实施方案进一步评审：</w:t>
            </w:r>
          </w:p>
          <w:p>
            <w:pPr>
              <w:rPr>
                <w:rFonts w:ascii="仿宋_GB2312" w:hAnsi="仿宋_GB2312" w:eastAsia="仿宋_GB2312" w:cs="仿宋_GB2312"/>
                <w:bCs/>
                <w:sz w:val="24"/>
              </w:rPr>
            </w:pPr>
            <w:r>
              <w:rPr>
                <w:rFonts w:hint="eastAsia" w:ascii="仿宋_GB2312" w:hAnsi="仿宋_GB2312" w:eastAsia="仿宋_GB2312" w:cs="仿宋_GB2312"/>
                <w:bCs/>
                <w:sz w:val="24"/>
              </w:rPr>
              <w:t>（1）质量保障措施及方案内容全面。</w:t>
            </w:r>
          </w:p>
          <w:p>
            <w:pPr>
              <w:rPr>
                <w:rFonts w:ascii="仿宋_GB2312" w:hAnsi="仿宋_GB2312" w:eastAsia="仿宋_GB2312" w:cs="仿宋_GB2312"/>
                <w:bCs/>
                <w:sz w:val="24"/>
              </w:rPr>
            </w:pPr>
            <w:r>
              <w:rPr>
                <w:rFonts w:hint="eastAsia" w:ascii="仿宋_GB2312" w:hAnsi="仿宋_GB2312" w:eastAsia="仿宋_GB2312" w:cs="仿宋_GB2312"/>
                <w:bCs/>
                <w:sz w:val="24"/>
              </w:rPr>
              <w:t>（2）质量保障措施及方案内容具体。</w:t>
            </w:r>
          </w:p>
          <w:p>
            <w:pPr>
              <w:rPr>
                <w:rFonts w:ascii="仿宋_GB2312" w:hAnsi="仿宋_GB2312" w:eastAsia="仿宋_GB2312" w:cs="仿宋_GB2312"/>
                <w:bCs/>
                <w:sz w:val="24"/>
              </w:rPr>
            </w:pPr>
            <w:r>
              <w:rPr>
                <w:rFonts w:hint="eastAsia" w:ascii="仿宋_GB2312" w:hAnsi="仿宋_GB2312" w:eastAsia="仿宋_GB2312" w:cs="仿宋_GB2312"/>
                <w:bCs/>
                <w:sz w:val="24"/>
              </w:rPr>
              <w:t>（3）质量保障措施及方案内容科学合理。</w:t>
            </w:r>
          </w:p>
          <w:p>
            <w:pPr>
              <w:rPr>
                <w:rFonts w:ascii="仿宋_GB2312" w:hAnsi="仿宋_GB2312" w:eastAsia="仿宋_GB2312" w:cs="仿宋_GB2312"/>
                <w:bCs/>
                <w:sz w:val="24"/>
              </w:rPr>
            </w:pPr>
            <w:r>
              <w:rPr>
                <w:rFonts w:hint="eastAsia" w:ascii="仿宋_GB2312" w:hAnsi="仿宋_GB2312" w:eastAsia="仿宋_GB2312" w:cs="仿宋_GB2312"/>
                <w:bCs/>
                <w:sz w:val="24"/>
              </w:rPr>
              <w:t>（4）质量保障措施及方案内容针对性强。</w:t>
            </w:r>
          </w:p>
          <w:p>
            <w:pPr>
              <w:rPr>
                <w:rFonts w:ascii="仿宋_GB2312" w:hAnsi="仿宋_GB2312" w:eastAsia="仿宋_GB2312" w:cs="仿宋_GB2312"/>
                <w:bCs/>
                <w:sz w:val="24"/>
              </w:rPr>
            </w:pPr>
            <w:r>
              <w:rPr>
                <w:rFonts w:hint="eastAsia" w:ascii="仿宋_GB2312" w:hAnsi="仿宋_GB2312" w:eastAsia="仿宋_GB2312" w:cs="仿宋_GB2312"/>
                <w:bCs/>
                <w:sz w:val="24"/>
              </w:rPr>
              <w:t>（5）质量保障措施及方案内容可操作性强。</w:t>
            </w:r>
          </w:p>
          <w:p>
            <w:pPr>
              <w:rPr>
                <w:rFonts w:ascii="仿宋_GB2312" w:hAnsi="仿宋_GB2312" w:eastAsia="仿宋_GB2312" w:cs="仿宋_GB2312"/>
                <w:bCs/>
                <w:sz w:val="24"/>
              </w:rPr>
            </w:pPr>
            <w:r>
              <w:rPr>
                <w:rFonts w:hint="eastAsia" w:ascii="仿宋_GB2312" w:hAnsi="仿宋_GB2312" w:eastAsia="仿宋_GB2312" w:cs="仿宋_GB2312"/>
                <w:bCs/>
                <w:sz w:val="24"/>
              </w:rPr>
              <w:t>优评分标准：满足以上五项要求的评价为优，得 8分。</w:t>
            </w:r>
          </w:p>
          <w:p>
            <w:pPr>
              <w:rPr>
                <w:rFonts w:ascii="仿宋_GB2312" w:hAnsi="仿宋_GB2312" w:eastAsia="仿宋_GB2312" w:cs="仿宋_GB2312"/>
                <w:bCs/>
                <w:sz w:val="24"/>
              </w:rPr>
            </w:pPr>
            <w:r>
              <w:rPr>
                <w:rFonts w:hint="eastAsia" w:ascii="仿宋_GB2312" w:hAnsi="仿宋_GB2312" w:eastAsia="仿宋_GB2312" w:cs="仿宋_GB2312"/>
                <w:bCs/>
                <w:sz w:val="24"/>
              </w:rPr>
              <w:t>良评分标准：满足以上四项要求的评价为良，得 6分。</w:t>
            </w:r>
          </w:p>
          <w:p>
            <w:pPr>
              <w:rPr>
                <w:rFonts w:ascii="仿宋_GB2312" w:hAnsi="仿宋_GB2312" w:eastAsia="仿宋_GB2312" w:cs="仿宋_GB2312"/>
                <w:bCs/>
                <w:sz w:val="24"/>
              </w:rPr>
            </w:pPr>
            <w:r>
              <w:rPr>
                <w:rFonts w:hint="eastAsia" w:ascii="仿宋_GB2312" w:hAnsi="仿宋_GB2312" w:eastAsia="仿宋_GB2312" w:cs="仿宋_GB2312"/>
                <w:bCs/>
                <w:sz w:val="24"/>
              </w:rPr>
              <w:t>中评分标准：满足以上三项要求的评价为中，得 4分。</w:t>
            </w:r>
          </w:p>
          <w:p>
            <w:pPr>
              <w:rPr>
                <w:rFonts w:ascii="仿宋_GB2312" w:hAnsi="仿宋_GB2312" w:eastAsia="仿宋_GB2312" w:cs="仿宋_GB2312"/>
                <w:bCs/>
                <w:sz w:val="24"/>
              </w:rPr>
            </w:pPr>
            <w:r>
              <w:rPr>
                <w:rFonts w:hint="eastAsia" w:ascii="仿宋_GB2312" w:hAnsi="仿宋_GB2312" w:eastAsia="仿宋_GB2312" w:cs="仿宋_GB2312"/>
                <w:bCs/>
                <w:sz w:val="24"/>
              </w:rPr>
              <w:t>差评分标准：上述情况之外的，评差不得分。</w:t>
            </w:r>
          </w:p>
        </w:tc>
      </w:tr>
    </w:tbl>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3.报价</w:t>
      </w:r>
    </w:p>
    <w:p>
      <w:pPr>
        <w:spacing w:line="560" w:lineRule="exact"/>
        <w:ind w:firstLine="640" w:firstLineChars="200"/>
        <w:rPr>
          <w:rFonts w:ascii="仿宋_GB2312" w:eastAsia="仿宋_GB2312"/>
          <w:color w:val="000000"/>
          <w:sz w:val="32"/>
          <w:szCs w:val="32"/>
        </w:rPr>
      </w:pPr>
      <w:r>
        <w:rPr>
          <w:rFonts w:hint="eastAsia" w:ascii="仿宋_GB2312" w:eastAsia="仿宋_GB2312"/>
          <w:color w:val="000000"/>
          <w:sz w:val="32"/>
          <w:szCs w:val="32"/>
        </w:rPr>
        <w:t>以本次报价或投标人所报的有效报价中的最低价作为基准报价。投标人报价得分=（基准价/投标人报价）*30分。</w:t>
      </w:r>
    </w:p>
    <w:p>
      <w:pPr>
        <w:pStyle w:val="13"/>
        <w:spacing w:line="560" w:lineRule="exact"/>
        <w:ind w:firstLine="640" w:firstLineChars="200"/>
        <w:rPr>
          <w:rFonts w:ascii="楷体_GB2312" w:hAnsi="楷体_GB2312" w:eastAsia="楷体_GB2312" w:cs="楷体_GB2312"/>
          <w:b w:val="0"/>
          <w:bCs/>
          <w:color w:val="000000"/>
          <w:sz w:val="32"/>
          <w:szCs w:val="32"/>
        </w:rPr>
      </w:pPr>
      <w:r>
        <w:rPr>
          <w:rFonts w:hint="eastAsia" w:ascii="楷体_GB2312" w:hAnsi="楷体_GB2312" w:eastAsia="楷体_GB2312" w:cs="楷体_GB2312"/>
          <w:b w:val="0"/>
          <w:bCs/>
          <w:color w:val="000000"/>
          <w:sz w:val="32"/>
          <w:szCs w:val="32"/>
        </w:rPr>
        <w:t>（四）供应商提供资料清单</w:t>
      </w:r>
    </w:p>
    <w:p>
      <w:pPr>
        <w:spacing w:line="560" w:lineRule="exact"/>
        <w:ind w:firstLine="640" w:firstLineChars="200"/>
        <w:rPr>
          <w:rFonts w:ascii="仿宋_GB2312" w:hAnsi="仿宋" w:eastAsia="仿宋_GB2312" w:cs="Times New Roman"/>
          <w:sz w:val="32"/>
        </w:rPr>
      </w:pPr>
      <w:r>
        <w:rPr>
          <w:rFonts w:hint="eastAsia" w:ascii="仿宋_GB2312" w:hAnsi="仿宋" w:eastAsia="仿宋_GB2312" w:cs="Times New Roman"/>
          <w:sz w:val="32"/>
        </w:rPr>
        <w:t>1.营业执照、事业法人证书、社会团体法人登记证书（加盖公章）；</w:t>
      </w:r>
    </w:p>
    <w:p>
      <w:pPr>
        <w:spacing w:line="560" w:lineRule="exact"/>
        <w:ind w:firstLine="640" w:firstLineChars="200"/>
      </w:pPr>
      <w:r>
        <w:rPr>
          <w:rFonts w:hint="eastAsia" w:ascii="仿宋_GB2312" w:hAnsi="仿宋" w:eastAsia="仿宋_GB2312" w:cs="Times New Roman"/>
          <w:sz w:val="32"/>
        </w:rPr>
        <w:t>2.法定代表人身份证复印件（加盖公章）；</w:t>
      </w:r>
    </w:p>
    <w:p>
      <w:pPr>
        <w:pStyle w:val="4"/>
        <w:spacing w:after="0" w:line="560" w:lineRule="exact"/>
        <w:ind w:left="0" w:leftChars="0" w:right="0" w:rightChars="0" w:firstLine="640"/>
        <w:rPr>
          <w:rFonts w:ascii="仿宋_GB2312" w:hAnsi="仿宋" w:eastAsia="仿宋_GB2312" w:cs="Times New Roman"/>
          <w:sz w:val="32"/>
        </w:rPr>
      </w:pPr>
      <w:r>
        <w:rPr>
          <w:rFonts w:hint="eastAsia" w:ascii="仿宋_GB2312" w:hAnsi="仿宋" w:eastAsia="仿宋_GB2312" w:cs="Times New Roman"/>
          <w:sz w:val="32"/>
        </w:rPr>
        <w:t>3.项目报价清单（加盖公章）；</w:t>
      </w:r>
    </w:p>
    <w:p>
      <w:pPr>
        <w:pStyle w:val="4"/>
        <w:spacing w:after="0" w:line="560" w:lineRule="exact"/>
        <w:ind w:left="0" w:leftChars="0" w:right="0" w:rightChars="0" w:firstLine="640"/>
        <w:rPr>
          <w:rFonts w:ascii="仿宋_GB2312" w:hAnsi="仿宋" w:eastAsia="仿宋_GB2312" w:cs="Times New Roman"/>
          <w:sz w:val="32"/>
        </w:rPr>
      </w:pPr>
      <w:r>
        <w:rPr>
          <w:rFonts w:hint="eastAsia" w:ascii="仿宋_GB2312" w:hAnsi="仿宋" w:eastAsia="仿宋_GB2312" w:cs="Times New Roman"/>
          <w:sz w:val="32"/>
        </w:rPr>
        <w:t>4.评分规则所需资料（同类业绩证明、方案等）；</w:t>
      </w:r>
    </w:p>
    <w:p>
      <w:pPr>
        <w:pStyle w:val="4"/>
        <w:spacing w:after="0" w:line="560" w:lineRule="exact"/>
        <w:ind w:left="0" w:leftChars="0" w:right="0" w:rightChars="0" w:firstLine="640"/>
        <w:rPr>
          <w:rFonts w:ascii="仿宋_GB2312" w:hAnsi="仿宋" w:eastAsia="仿宋_GB2312" w:cs="Times New Roman"/>
          <w:sz w:val="32"/>
        </w:rPr>
      </w:pPr>
      <w:r>
        <w:rPr>
          <w:rFonts w:hint="eastAsia" w:ascii="仿宋_GB2312" w:hAnsi="仿宋" w:eastAsia="仿宋_GB2312" w:cs="Times New Roman"/>
          <w:sz w:val="32"/>
        </w:rPr>
        <w:t>5.《供应商基本情况表》（加盖公章，详见附件）。</w:t>
      </w:r>
    </w:p>
    <w:p>
      <w:pPr>
        <w:pStyle w:val="4"/>
        <w:spacing w:after="0" w:line="560" w:lineRule="exact"/>
        <w:ind w:left="0" w:leftChars="0" w:right="0" w:rightChars="0" w:firstLine="640"/>
        <w:rPr>
          <w:rFonts w:ascii="仿宋_GB2312" w:hAnsi="仿宋" w:eastAsia="仿宋_GB2312" w:cs="Times New Roman"/>
          <w:sz w:val="32"/>
        </w:rPr>
      </w:pP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left"/>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 w:eastAsia="仿宋_GB2312" w:cs="Times New Roman"/>
          <w:sz w:val="32"/>
        </w:rPr>
        <w:t>注：供应商需</w:t>
      </w:r>
      <w:r>
        <w:rPr>
          <w:rFonts w:hint="eastAsia" w:ascii="仿宋_GB2312" w:hAnsi="仿宋" w:eastAsia="仿宋_GB2312" w:cs="Times New Roman"/>
          <w:sz w:val="32"/>
          <w:lang w:val="en-US" w:eastAsia="zh-CN"/>
        </w:rPr>
        <w:t>以</w:t>
      </w:r>
      <w:r>
        <w:rPr>
          <w:rFonts w:hint="eastAsia" w:ascii="仿宋_GB2312" w:hAnsi="仿宋" w:eastAsia="仿宋_GB2312" w:cs="Times New Roman"/>
          <w:sz w:val="32"/>
        </w:rPr>
        <w:t>邮寄</w:t>
      </w:r>
      <w:r>
        <w:rPr>
          <w:rFonts w:hint="eastAsia" w:ascii="仿宋_GB2312" w:hAnsi="仿宋" w:eastAsia="仿宋_GB2312" w:cs="Times New Roman"/>
          <w:sz w:val="32"/>
          <w:lang w:val="en-US" w:eastAsia="zh-CN"/>
        </w:rPr>
        <w:t>方式提供</w:t>
      </w:r>
      <w:r>
        <w:rPr>
          <w:rFonts w:hint="eastAsia" w:ascii="仿宋_GB2312" w:hAnsi="仿宋" w:eastAsia="仿宋_GB2312" w:cs="Times New Roman"/>
          <w:sz w:val="32"/>
        </w:rPr>
        <w:t>7份密封纸质版投标资料至本单位</w:t>
      </w:r>
      <w:r>
        <w:rPr>
          <w:rFonts w:hint="eastAsia" w:ascii="仿宋_GB2312" w:hAnsi="仿宋" w:eastAsia="仿宋_GB2312" w:cs="Times New Roman"/>
          <w:sz w:val="32"/>
          <w:lang w:eastAsia="zh-CN"/>
        </w:rPr>
        <w:t>，</w:t>
      </w:r>
      <w:r>
        <w:rPr>
          <w:rFonts w:hint="eastAsia" w:ascii="仿宋_GB2312" w:hAnsi="仿宋" w:eastAsia="仿宋_GB2312" w:cs="Times New Roman"/>
          <w:sz w:val="32"/>
          <w:lang w:val="en-US" w:eastAsia="zh-CN"/>
        </w:rPr>
        <w:t>并在封面备注“</w:t>
      </w:r>
      <w:r>
        <w:rPr>
          <w:rFonts w:hint="eastAsia" w:ascii="仿宋_GB2312" w:hAnsi="仿宋_GB2312" w:eastAsia="仿宋_GB2312" w:cs="仿宋_GB2312"/>
          <w:color w:val="000000"/>
          <w:kern w:val="0"/>
          <w:sz w:val="32"/>
          <w:szCs w:val="32"/>
        </w:rPr>
        <w:t>2025年“文体四季·YUE动龙华”系列活动——“周末喜乐汇”</w:t>
      </w:r>
      <w:r>
        <w:rPr>
          <w:rFonts w:hint="eastAsia" w:ascii="仿宋_GB2312" w:hAnsi="仿宋_GB2312" w:eastAsia="仿宋_GB2312" w:cs="仿宋_GB2312"/>
          <w:color w:val="000000"/>
          <w:kern w:val="0"/>
          <w:sz w:val="32"/>
          <w:szCs w:val="32"/>
          <w:lang w:val="en-US" w:eastAsia="zh-CN"/>
        </w:rPr>
        <w:t>项目+公司全称+日期+联系人+联系方式”</w:t>
      </w:r>
    </w:p>
    <w:p>
      <w:pPr>
        <w:pStyle w:val="4"/>
        <w:keepNext w:val="0"/>
        <w:keepLines w:val="0"/>
        <w:pageBreakBefore w:val="0"/>
        <w:widowControl w:val="0"/>
        <w:kinsoku/>
        <w:wordWrap/>
        <w:overflowPunct/>
        <w:topLinePunct w:val="0"/>
        <w:autoSpaceDE/>
        <w:autoSpaceDN/>
        <w:bidi w:val="0"/>
        <w:adjustRightInd/>
        <w:snapToGrid/>
        <w:spacing w:after="0" w:line="560" w:lineRule="exact"/>
        <w:ind w:left="0" w:leftChars="0" w:right="0" w:rightChars="0" w:firstLine="640" w:firstLineChars="200"/>
        <w:jc w:val="left"/>
        <w:textAlignment w:val="auto"/>
        <w:rPr>
          <w:rFonts w:ascii="仿宋_GB2312" w:hAnsi="仿宋" w:eastAsia="仿宋_GB2312" w:cs="Times New Roman"/>
          <w:sz w:val="32"/>
        </w:rPr>
      </w:pPr>
      <w:r>
        <w:rPr>
          <w:rFonts w:hint="eastAsia" w:ascii="仿宋_GB2312" w:hAnsi="仿宋" w:eastAsia="仿宋_GB2312" w:cs="Times New Roman"/>
          <w:sz w:val="32"/>
        </w:rPr>
        <w:t>地址：深圳市龙华区</w:t>
      </w:r>
      <w:r>
        <w:rPr>
          <w:rFonts w:hint="eastAsia" w:ascii="仿宋_GB2312" w:hAnsi="仿宋" w:eastAsia="仿宋_GB2312" w:cs="Times New Roman"/>
          <w:sz w:val="32"/>
          <w:lang w:val="en-US" w:eastAsia="zh-CN"/>
        </w:rPr>
        <w:t>龙华街道</w:t>
      </w:r>
      <w:r>
        <w:rPr>
          <w:rFonts w:hint="eastAsia" w:ascii="仿宋_GB2312" w:hAnsi="仿宋" w:eastAsia="仿宋_GB2312" w:cs="Times New Roman"/>
          <w:sz w:val="32"/>
        </w:rPr>
        <w:t>富康行政</w:t>
      </w:r>
      <w:r>
        <w:rPr>
          <w:rFonts w:hint="eastAsia" w:ascii="仿宋_GB2312" w:hAnsi="仿宋" w:eastAsia="仿宋_GB2312" w:cs="Times New Roman"/>
          <w:sz w:val="32"/>
          <w:lang w:val="en-US" w:eastAsia="zh-CN"/>
        </w:rPr>
        <w:t>服务</w:t>
      </w:r>
      <w:r>
        <w:rPr>
          <w:rFonts w:hint="eastAsia" w:ascii="仿宋_GB2312" w:hAnsi="仿宋" w:eastAsia="仿宋_GB2312" w:cs="Times New Roman"/>
          <w:sz w:val="32"/>
        </w:rPr>
        <w:t>办公区</w:t>
      </w:r>
    </w:p>
    <w:p>
      <w:pPr>
        <w:pStyle w:val="15"/>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rPr>
          <w:rFonts w:ascii="仿宋_GB2312" w:hAnsi="仿宋" w:eastAsia="仿宋_GB2312" w:cs="Times New Roman"/>
          <w:sz w:val="32"/>
        </w:rPr>
      </w:pPr>
      <w:r>
        <w:rPr>
          <w:rFonts w:hint="eastAsia" w:ascii="仿宋_GB2312" w:hAnsi="仿宋" w:eastAsia="仿宋_GB2312" w:cs="Times New Roman"/>
          <w:sz w:val="32"/>
        </w:rPr>
        <w:t>收件人：吴先生</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ascii="仿宋_GB2312" w:hAnsi="仿宋" w:eastAsia="仿宋_GB2312" w:cs="Times New Roman"/>
          <w:sz w:val="32"/>
          <w:szCs w:val="22"/>
        </w:rPr>
      </w:pPr>
      <w:r>
        <w:rPr>
          <w:rFonts w:hint="eastAsia" w:ascii="仿宋_GB2312" w:hAnsi="仿宋" w:eastAsia="仿宋_GB2312" w:cs="Times New Roman"/>
          <w:sz w:val="32"/>
        </w:rPr>
        <w:t>联系方式</w:t>
      </w:r>
      <w:r>
        <w:rPr>
          <w:rFonts w:hint="eastAsia" w:ascii="仿宋_GB2312" w:hAnsi="仿宋" w:eastAsia="仿宋_GB2312" w:cs="Times New Roman"/>
          <w:sz w:val="32"/>
          <w:lang w:eastAsia="zh-CN"/>
        </w:rPr>
        <w:t>：</w:t>
      </w:r>
      <w:bookmarkStart w:id="0" w:name="_GoBack"/>
      <w:bookmarkEnd w:id="0"/>
      <w:r>
        <w:rPr>
          <w:rFonts w:hint="eastAsia" w:ascii="仿宋_GB2312" w:hAnsi="仿宋" w:eastAsia="仿宋_GB2312" w:cs="Times New Roman"/>
          <w:sz w:val="32"/>
          <w:szCs w:val="22"/>
        </w:rPr>
        <w:t>0755-23338140</w:t>
      </w:r>
    </w:p>
    <w:p>
      <w:pPr>
        <w:pStyle w:val="15"/>
        <w:spacing w:line="560" w:lineRule="exact"/>
        <w:ind w:firstLine="0" w:firstLineChars="0"/>
        <w:rPr>
          <w:rFonts w:ascii="仿宋_GB2312" w:hAnsi="仿宋" w:eastAsia="仿宋_GB2312" w:cs="Times New Roman"/>
          <w:sz w:val="32"/>
        </w:rPr>
      </w:pPr>
    </w:p>
    <w:p>
      <w:pPr>
        <w:pStyle w:val="15"/>
        <w:spacing w:line="560" w:lineRule="exact"/>
        <w:ind w:firstLine="0" w:firstLineChars="0"/>
        <w:rPr>
          <w:rFonts w:ascii="仿宋_GB2312" w:hAnsi="仿宋" w:eastAsia="仿宋_GB2312" w:cs="Times New Roman"/>
          <w:sz w:val="32"/>
        </w:rPr>
      </w:pPr>
    </w:p>
    <w:p>
      <w:pPr>
        <w:pStyle w:val="15"/>
        <w:spacing w:line="560" w:lineRule="exact"/>
        <w:ind w:firstLine="0" w:firstLineChars="0"/>
        <w:rPr>
          <w:rFonts w:ascii="仿宋_GB2312" w:hAnsi="仿宋" w:eastAsia="仿宋_GB2312" w:cs="Times New Roman"/>
          <w:sz w:val="32"/>
        </w:rPr>
      </w:pPr>
    </w:p>
    <w:p>
      <w:pPr>
        <w:pStyle w:val="15"/>
        <w:spacing w:line="560" w:lineRule="exact"/>
        <w:ind w:firstLine="0" w:firstLineChars="0"/>
        <w:rPr>
          <w:rFonts w:ascii="仿宋_GB2312" w:hAnsi="仿宋" w:eastAsia="仿宋_GB2312" w:cs="Times New Roman"/>
          <w:sz w:val="32"/>
        </w:rPr>
      </w:pPr>
    </w:p>
    <w:p>
      <w:pPr>
        <w:pStyle w:val="15"/>
        <w:spacing w:line="560" w:lineRule="exact"/>
        <w:ind w:firstLine="0" w:firstLineChars="0"/>
        <w:rPr>
          <w:rFonts w:ascii="仿宋_GB2312" w:hAnsi="仿宋" w:eastAsia="仿宋_GB2312" w:cs="Times New Roman"/>
          <w:sz w:val="32"/>
        </w:rPr>
      </w:pPr>
    </w:p>
    <w:p>
      <w:pPr>
        <w:pStyle w:val="15"/>
        <w:spacing w:line="560" w:lineRule="exact"/>
        <w:ind w:firstLine="0" w:firstLineChars="0"/>
        <w:rPr>
          <w:rFonts w:ascii="仿宋_GB2312" w:hAnsi="仿宋" w:eastAsia="仿宋_GB2312" w:cs="Times New Roman"/>
          <w:sz w:val="32"/>
        </w:rPr>
      </w:pPr>
    </w:p>
    <w:p>
      <w:pPr>
        <w:pStyle w:val="15"/>
        <w:spacing w:line="560" w:lineRule="exact"/>
        <w:ind w:firstLine="0" w:firstLineChars="0"/>
        <w:rPr>
          <w:rFonts w:ascii="仿宋_GB2312" w:hAnsi="仿宋" w:eastAsia="仿宋_GB2312" w:cs="Times New Roman"/>
          <w:sz w:val="32"/>
        </w:rPr>
      </w:pPr>
    </w:p>
    <w:p>
      <w:pPr>
        <w:pStyle w:val="15"/>
        <w:spacing w:line="560" w:lineRule="exact"/>
        <w:ind w:firstLine="0" w:firstLineChars="0"/>
        <w:rPr>
          <w:rFonts w:ascii="仿宋_GB2312" w:hAnsi="仿宋" w:eastAsia="仿宋_GB2312" w:cs="Times New Roman"/>
          <w:sz w:val="32"/>
        </w:rPr>
      </w:pPr>
    </w:p>
    <w:p>
      <w:pPr>
        <w:pStyle w:val="15"/>
        <w:spacing w:line="560" w:lineRule="exact"/>
        <w:ind w:firstLine="0" w:firstLineChars="0"/>
        <w:rPr>
          <w:rFonts w:ascii="仿宋_GB2312" w:hAnsi="仿宋" w:eastAsia="仿宋_GB2312" w:cs="Times New Roman"/>
          <w:sz w:val="32"/>
        </w:rPr>
      </w:pPr>
    </w:p>
    <w:p>
      <w:pPr>
        <w:pStyle w:val="15"/>
        <w:spacing w:line="560" w:lineRule="exact"/>
        <w:ind w:firstLine="0" w:firstLineChars="0"/>
        <w:rPr>
          <w:rFonts w:ascii="仿宋_GB2312" w:hAnsi="仿宋" w:eastAsia="仿宋_GB2312" w:cs="Times New Roman"/>
          <w:sz w:val="32"/>
        </w:rPr>
      </w:pPr>
    </w:p>
    <w:p>
      <w:pPr>
        <w:pStyle w:val="15"/>
        <w:spacing w:line="560" w:lineRule="exact"/>
        <w:ind w:firstLine="0" w:firstLineChars="0"/>
        <w:rPr>
          <w:rFonts w:ascii="仿宋_GB2312" w:hAnsi="仿宋" w:eastAsia="仿宋_GB2312" w:cs="Times New Roman"/>
          <w:sz w:val="32"/>
        </w:rPr>
      </w:pPr>
    </w:p>
    <w:p>
      <w:pPr>
        <w:pStyle w:val="15"/>
        <w:spacing w:line="560" w:lineRule="exact"/>
        <w:ind w:firstLine="0" w:firstLineChars="0"/>
        <w:rPr>
          <w:rFonts w:ascii="仿宋_GB2312" w:hAnsi="仿宋" w:eastAsia="仿宋_GB2312" w:cs="Times New Roman"/>
          <w:sz w:val="32"/>
        </w:rPr>
      </w:pPr>
    </w:p>
    <w:p>
      <w:pPr>
        <w:pStyle w:val="15"/>
        <w:spacing w:line="560" w:lineRule="exact"/>
        <w:ind w:firstLine="0" w:firstLineChars="0"/>
        <w:rPr>
          <w:rFonts w:ascii="仿宋_GB2312" w:hAnsi="仿宋" w:eastAsia="仿宋_GB2312" w:cs="Times New Roman"/>
          <w:sz w:val="32"/>
        </w:rPr>
      </w:pPr>
    </w:p>
    <w:p>
      <w:pPr>
        <w:pStyle w:val="15"/>
        <w:spacing w:line="560" w:lineRule="exact"/>
        <w:ind w:firstLine="0" w:firstLineChars="0"/>
        <w:rPr>
          <w:rFonts w:ascii="仿宋_GB2312" w:hAnsi="仿宋" w:eastAsia="仿宋_GB2312" w:cs="Times New Roman"/>
          <w:sz w:val="32"/>
        </w:rPr>
      </w:pPr>
    </w:p>
    <w:p>
      <w:pPr>
        <w:pStyle w:val="15"/>
        <w:spacing w:line="560" w:lineRule="exact"/>
        <w:ind w:firstLine="0" w:firstLineChars="0"/>
        <w:rPr>
          <w:rFonts w:ascii="黑体" w:hAnsi="黑体" w:eastAsia="黑体" w:cs="黑体"/>
          <w:color w:val="000000"/>
          <w:sz w:val="32"/>
          <w:szCs w:val="32"/>
        </w:rPr>
      </w:pPr>
      <w:r>
        <w:rPr>
          <w:rFonts w:hint="eastAsia" w:ascii="黑体" w:hAnsi="黑体" w:eastAsia="黑体" w:cs="黑体"/>
          <w:color w:val="000000"/>
          <w:sz w:val="32"/>
          <w:szCs w:val="32"/>
        </w:rPr>
        <w:t>附件</w:t>
      </w:r>
    </w:p>
    <w:p>
      <w:pPr>
        <w:pStyle w:val="8"/>
        <w:snapToGrid w:val="0"/>
        <w:spacing w:before="0" w:after="0" w:line="560" w:lineRule="exact"/>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供应商基本情况表</w:t>
      </w:r>
    </w:p>
    <w:p>
      <w:pPr>
        <w:spacing w:line="560" w:lineRule="exact"/>
        <w:jc w:val="left"/>
        <w:rPr>
          <w:rFonts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填表单位：（加盖单位公章）</w:t>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ab/>
      </w:r>
      <w:r>
        <w:rPr>
          <w:rFonts w:hint="eastAsia" w:ascii="方正仿宋_GBK" w:hAnsi="方正仿宋_GBK" w:eastAsia="方正仿宋_GBK" w:cs="方正仿宋_GBK"/>
          <w:sz w:val="28"/>
          <w:szCs w:val="28"/>
        </w:rPr>
        <w:t xml:space="preserve">   填表日期：    年   月   日</w:t>
      </w:r>
    </w:p>
    <w:tbl>
      <w:tblPr>
        <w:tblStyle w:val="10"/>
        <w:tblW w:w="9737" w:type="dxa"/>
        <w:tblInd w:w="-4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1062"/>
        <w:gridCol w:w="1283"/>
        <w:gridCol w:w="1270"/>
        <w:gridCol w:w="791"/>
        <w:gridCol w:w="1200"/>
        <w:gridCol w:w="1500"/>
        <w:gridCol w:w="18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1881" w:type="dxa"/>
            <w:gridSpan w:val="2"/>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采购人</w:t>
            </w:r>
          </w:p>
        </w:tc>
        <w:tc>
          <w:tcPr>
            <w:tcW w:w="2553" w:type="dxa"/>
            <w:gridSpan w:val="2"/>
            <w:vAlign w:val="center"/>
          </w:tcPr>
          <w:p>
            <w:pPr>
              <w:jc w:val="left"/>
              <w:rPr>
                <w:rFonts w:ascii="方正仿宋_GBK" w:hAnsi="方正仿宋_GBK" w:eastAsia="方正仿宋_GBK" w:cs="方正仿宋_GBK"/>
                <w:sz w:val="24"/>
              </w:rPr>
            </w:pPr>
          </w:p>
        </w:tc>
        <w:tc>
          <w:tcPr>
            <w:tcW w:w="1991" w:type="dxa"/>
            <w:gridSpan w:val="2"/>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3312" w:type="dxa"/>
            <w:gridSpan w:val="2"/>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81" w:type="dxa"/>
            <w:gridSpan w:val="2"/>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投标（响应）供应商</w:t>
            </w:r>
          </w:p>
        </w:tc>
        <w:tc>
          <w:tcPr>
            <w:tcW w:w="2553" w:type="dxa"/>
            <w:gridSpan w:val="2"/>
            <w:vAlign w:val="center"/>
          </w:tcPr>
          <w:p>
            <w:pPr>
              <w:jc w:val="left"/>
              <w:rPr>
                <w:rFonts w:ascii="方正仿宋_GBK" w:hAnsi="方正仿宋_GBK" w:eastAsia="方正仿宋_GBK" w:cs="方正仿宋_GBK"/>
                <w:sz w:val="24"/>
              </w:rPr>
            </w:pPr>
          </w:p>
        </w:tc>
        <w:tc>
          <w:tcPr>
            <w:tcW w:w="1991" w:type="dxa"/>
            <w:gridSpan w:val="2"/>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供应商统一社会信用代码</w:t>
            </w:r>
          </w:p>
        </w:tc>
        <w:tc>
          <w:tcPr>
            <w:tcW w:w="3312" w:type="dxa"/>
            <w:gridSpan w:val="2"/>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9737" w:type="dxa"/>
            <w:gridSpan w:val="8"/>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投标（响应）供应商相关人员情况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19" w:type="dxa"/>
            <w:tcBorders>
              <w:bottom w:val="single" w:color="auto" w:sz="4" w:space="0"/>
            </w:tcBorders>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345" w:type="dxa"/>
            <w:gridSpan w:val="2"/>
            <w:tcBorders>
              <w:bottom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职务</w:t>
            </w:r>
          </w:p>
        </w:tc>
        <w:tc>
          <w:tcPr>
            <w:tcW w:w="1270" w:type="dxa"/>
            <w:tcBorders>
              <w:bottom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姓名</w:t>
            </w:r>
          </w:p>
        </w:tc>
        <w:tc>
          <w:tcPr>
            <w:tcW w:w="1991" w:type="dxa"/>
            <w:gridSpan w:val="2"/>
            <w:tcBorders>
              <w:bottom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身份证号码</w:t>
            </w:r>
          </w:p>
        </w:tc>
        <w:tc>
          <w:tcPr>
            <w:tcW w:w="1500" w:type="dxa"/>
            <w:tcBorders>
              <w:bottom w:val="single" w:color="auto" w:sz="4" w:space="0"/>
            </w:tcBorders>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劳动合同</w:t>
            </w:r>
          </w:p>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关系单位</w:t>
            </w:r>
          </w:p>
        </w:tc>
        <w:tc>
          <w:tcPr>
            <w:tcW w:w="1812" w:type="dxa"/>
            <w:tcBorders>
              <w:bottom w:val="single" w:color="auto" w:sz="4" w:space="0"/>
            </w:tcBorders>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缴纳社会</w:t>
            </w:r>
          </w:p>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保险单位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34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法定代表人/单位负责人/主要经营负责人</w:t>
            </w:r>
          </w:p>
        </w:tc>
        <w:tc>
          <w:tcPr>
            <w:tcW w:w="1270" w:type="dxa"/>
            <w:tcBorders>
              <w:top w:val="single" w:color="auto" w:sz="4" w:space="0"/>
              <w:left w:val="single" w:color="auto" w:sz="4" w:space="0"/>
              <w:bottom w:val="single" w:color="auto" w:sz="4" w:space="0"/>
              <w:right w:val="single" w:color="auto" w:sz="4" w:space="0"/>
            </w:tcBorders>
            <w:vAlign w:val="center"/>
          </w:tcPr>
          <w:p>
            <w:pPr>
              <w:jc w:val="left"/>
              <w:rPr>
                <w:rFonts w:ascii="方正仿宋_GBK" w:hAnsi="方正仿宋_GBK" w:eastAsia="方正仿宋_GBK" w:cs="方正仿宋_GBK"/>
                <w:sz w:val="24"/>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pPr>
              <w:jc w:val="left"/>
              <w:rPr>
                <w:rFonts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jc w:val="left"/>
              <w:rPr>
                <w:rFonts w:ascii="方正仿宋_GBK" w:hAnsi="方正仿宋_GBK" w:eastAsia="方正仿宋_GBK" w:cs="方正仿宋_GBK"/>
                <w:sz w:val="24"/>
              </w:rPr>
            </w:pPr>
          </w:p>
        </w:tc>
        <w:tc>
          <w:tcPr>
            <w:tcW w:w="1812" w:type="dxa"/>
            <w:tcBorders>
              <w:top w:val="single" w:color="auto" w:sz="4" w:space="0"/>
              <w:left w:val="single" w:color="auto" w:sz="4" w:space="0"/>
              <w:bottom w:val="single" w:color="auto" w:sz="4" w:space="0"/>
              <w:right w:val="single" w:color="auto" w:sz="4" w:space="0"/>
            </w:tcBorders>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1" w:hRule="atLeast"/>
        </w:trPr>
        <w:tc>
          <w:tcPr>
            <w:tcW w:w="819" w:type="dxa"/>
            <w:tcBorders>
              <w:top w:val="single" w:color="auto" w:sz="4" w:space="0"/>
              <w:left w:val="single" w:color="auto" w:sz="4" w:space="0"/>
              <w:bottom w:val="single" w:color="auto" w:sz="4" w:space="0"/>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34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2"/>
                <w:szCs w:val="22"/>
              </w:rPr>
              <w:t>项目投标授权代表人</w:t>
            </w:r>
          </w:p>
        </w:tc>
        <w:tc>
          <w:tcPr>
            <w:tcW w:w="1270" w:type="dxa"/>
            <w:tcBorders>
              <w:top w:val="single" w:color="auto" w:sz="4" w:space="0"/>
              <w:left w:val="single" w:color="auto" w:sz="4" w:space="0"/>
              <w:bottom w:val="single" w:color="auto" w:sz="4" w:space="0"/>
              <w:right w:val="single" w:color="auto" w:sz="4" w:space="0"/>
            </w:tcBorders>
            <w:vAlign w:val="center"/>
          </w:tcPr>
          <w:p>
            <w:pPr>
              <w:jc w:val="left"/>
              <w:rPr>
                <w:rFonts w:ascii="方正仿宋_GBK" w:hAnsi="方正仿宋_GBK" w:eastAsia="方正仿宋_GBK" w:cs="方正仿宋_GBK"/>
                <w:sz w:val="24"/>
              </w:rPr>
            </w:pPr>
          </w:p>
        </w:tc>
        <w:tc>
          <w:tcPr>
            <w:tcW w:w="1991" w:type="dxa"/>
            <w:gridSpan w:val="2"/>
            <w:tcBorders>
              <w:top w:val="single" w:color="auto" w:sz="4" w:space="0"/>
              <w:left w:val="single" w:color="auto" w:sz="4" w:space="0"/>
              <w:bottom w:val="single" w:color="auto" w:sz="4" w:space="0"/>
              <w:right w:val="single" w:color="auto" w:sz="4" w:space="0"/>
            </w:tcBorders>
            <w:vAlign w:val="center"/>
          </w:tcPr>
          <w:p>
            <w:pPr>
              <w:jc w:val="left"/>
              <w:rPr>
                <w:rFonts w:ascii="方正仿宋_GBK" w:hAnsi="方正仿宋_GBK" w:eastAsia="方正仿宋_GBK" w:cs="方正仿宋_GBK"/>
                <w:sz w:val="24"/>
              </w:rPr>
            </w:pPr>
          </w:p>
        </w:tc>
        <w:tc>
          <w:tcPr>
            <w:tcW w:w="1500" w:type="dxa"/>
            <w:tcBorders>
              <w:top w:val="single" w:color="auto" w:sz="4" w:space="0"/>
              <w:left w:val="single" w:color="auto" w:sz="4" w:space="0"/>
              <w:bottom w:val="single" w:color="auto" w:sz="4" w:space="0"/>
              <w:right w:val="single" w:color="auto" w:sz="4" w:space="0"/>
            </w:tcBorders>
            <w:vAlign w:val="center"/>
          </w:tcPr>
          <w:p>
            <w:pPr>
              <w:jc w:val="left"/>
              <w:rPr>
                <w:rFonts w:ascii="方正仿宋_GBK" w:hAnsi="方正仿宋_GBK" w:eastAsia="方正仿宋_GBK" w:cs="方正仿宋_GBK"/>
                <w:sz w:val="24"/>
              </w:rPr>
            </w:pPr>
          </w:p>
        </w:tc>
        <w:tc>
          <w:tcPr>
            <w:tcW w:w="1812" w:type="dxa"/>
            <w:tcBorders>
              <w:top w:val="single" w:color="auto" w:sz="4" w:space="0"/>
              <w:left w:val="single" w:color="auto" w:sz="4" w:space="0"/>
              <w:bottom w:val="single" w:color="auto" w:sz="4" w:space="0"/>
              <w:right w:val="single" w:color="auto" w:sz="4" w:space="0"/>
            </w:tcBorders>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Borders>
              <w:top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3</w:t>
            </w:r>
          </w:p>
        </w:tc>
        <w:tc>
          <w:tcPr>
            <w:tcW w:w="2345" w:type="dxa"/>
            <w:gridSpan w:val="2"/>
            <w:tcBorders>
              <w:top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项目负责人</w:t>
            </w:r>
          </w:p>
        </w:tc>
        <w:tc>
          <w:tcPr>
            <w:tcW w:w="1270" w:type="dxa"/>
            <w:tcBorders>
              <w:top w:val="single" w:color="auto" w:sz="4" w:space="0"/>
            </w:tcBorders>
            <w:vAlign w:val="center"/>
          </w:tcPr>
          <w:p>
            <w:pPr>
              <w:jc w:val="left"/>
              <w:rPr>
                <w:rFonts w:ascii="方正仿宋_GBK" w:hAnsi="方正仿宋_GBK" w:eastAsia="方正仿宋_GBK" w:cs="方正仿宋_GBK"/>
                <w:sz w:val="24"/>
              </w:rPr>
            </w:pPr>
          </w:p>
        </w:tc>
        <w:tc>
          <w:tcPr>
            <w:tcW w:w="1991" w:type="dxa"/>
            <w:gridSpan w:val="2"/>
            <w:tcBorders>
              <w:top w:val="single" w:color="auto" w:sz="4" w:space="0"/>
            </w:tcBorders>
            <w:vAlign w:val="center"/>
          </w:tcPr>
          <w:p>
            <w:pPr>
              <w:jc w:val="left"/>
              <w:rPr>
                <w:rFonts w:ascii="方正仿宋_GBK" w:hAnsi="方正仿宋_GBK" w:eastAsia="方正仿宋_GBK" w:cs="方正仿宋_GBK"/>
                <w:sz w:val="24"/>
              </w:rPr>
            </w:pPr>
          </w:p>
        </w:tc>
        <w:tc>
          <w:tcPr>
            <w:tcW w:w="1500" w:type="dxa"/>
            <w:tcBorders>
              <w:top w:val="single" w:color="auto" w:sz="4" w:space="0"/>
            </w:tcBorders>
            <w:vAlign w:val="center"/>
          </w:tcPr>
          <w:p>
            <w:pPr>
              <w:jc w:val="left"/>
              <w:rPr>
                <w:rFonts w:ascii="方正仿宋_GBK" w:hAnsi="方正仿宋_GBK" w:eastAsia="方正仿宋_GBK" w:cs="方正仿宋_GBK"/>
                <w:sz w:val="24"/>
              </w:rPr>
            </w:pPr>
          </w:p>
        </w:tc>
        <w:tc>
          <w:tcPr>
            <w:tcW w:w="1812" w:type="dxa"/>
            <w:tcBorders>
              <w:top w:val="single" w:color="auto" w:sz="4" w:space="0"/>
            </w:tcBorders>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4</w:t>
            </w:r>
          </w:p>
        </w:tc>
        <w:tc>
          <w:tcPr>
            <w:tcW w:w="2345" w:type="dxa"/>
            <w:gridSpan w:val="2"/>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主要技术人员</w:t>
            </w:r>
          </w:p>
        </w:tc>
        <w:tc>
          <w:tcPr>
            <w:tcW w:w="1270" w:type="dxa"/>
            <w:vAlign w:val="center"/>
          </w:tcPr>
          <w:p>
            <w:pPr>
              <w:jc w:val="left"/>
              <w:rPr>
                <w:rFonts w:ascii="方正仿宋_GBK" w:hAnsi="方正仿宋_GBK" w:eastAsia="方正仿宋_GBK" w:cs="方正仿宋_GBK"/>
                <w:sz w:val="24"/>
              </w:rPr>
            </w:pPr>
          </w:p>
        </w:tc>
        <w:tc>
          <w:tcPr>
            <w:tcW w:w="1991" w:type="dxa"/>
            <w:gridSpan w:val="2"/>
            <w:vAlign w:val="center"/>
          </w:tcPr>
          <w:p>
            <w:pPr>
              <w:jc w:val="left"/>
              <w:rPr>
                <w:rFonts w:ascii="方正仿宋_GBK" w:hAnsi="方正仿宋_GBK" w:eastAsia="方正仿宋_GBK" w:cs="方正仿宋_GBK"/>
                <w:sz w:val="24"/>
              </w:rPr>
            </w:pPr>
          </w:p>
        </w:tc>
        <w:tc>
          <w:tcPr>
            <w:tcW w:w="1500" w:type="dxa"/>
            <w:vAlign w:val="center"/>
          </w:tcPr>
          <w:p>
            <w:pPr>
              <w:jc w:val="left"/>
              <w:rPr>
                <w:rFonts w:ascii="方正仿宋_GBK" w:hAnsi="方正仿宋_GBK" w:eastAsia="方正仿宋_GBK" w:cs="方正仿宋_GBK"/>
                <w:sz w:val="24"/>
              </w:rPr>
            </w:pPr>
          </w:p>
        </w:tc>
        <w:tc>
          <w:tcPr>
            <w:tcW w:w="1812" w:type="dxa"/>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5</w:t>
            </w:r>
          </w:p>
        </w:tc>
        <w:tc>
          <w:tcPr>
            <w:tcW w:w="2345" w:type="dxa"/>
            <w:gridSpan w:val="2"/>
            <w:vAlign w:val="center"/>
          </w:tcPr>
          <w:p>
            <w:pPr>
              <w:pStyle w:val="2"/>
              <w:snapToGrid w:val="0"/>
              <w:spacing w:line="240" w:lineRule="auto"/>
              <w:ind w:firstLine="0" w:firstLineChars="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投标文件编制人员</w:t>
            </w:r>
          </w:p>
        </w:tc>
        <w:tc>
          <w:tcPr>
            <w:tcW w:w="1270" w:type="dxa"/>
            <w:vAlign w:val="center"/>
          </w:tcPr>
          <w:p>
            <w:pPr>
              <w:jc w:val="left"/>
              <w:rPr>
                <w:rFonts w:ascii="方正仿宋_GBK" w:hAnsi="方正仿宋_GBK" w:eastAsia="方正仿宋_GBK" w:cs="方正仿宋_GBK"/>
                <w:sz w:val="24"/>
              </w:rPr>
            </w:pPr>
          </w:p>
        </w:tc>
        <w:tc>
          <w:tcPr>
            <w:tcW w:w="1991" w:type="dxa"/>
            <w:gridSpan w:val="2"/>
            <w:vAlign w:val="center"/>
          </w:tcPr>
          <w:p>
            <w:pPr>
              <w:jc w:val="left"/>
              <w:rPr>
                <w:rFonts w:ascii="方正仿宋_GBK" w:hAnsi="方正仿宋_GBK" w:eastAsia="方正仿宋_GBK" w:cs="方正仿宋_GBK"/>
                <w:sz w:val="24"/>
              </w:rPr>
            </w:pPr>
          </w:p>
        </w:tc>
        <w:tc>
          <w:tcPr>
            <w:tcW w:w="1500" w:type="dxa"/>
            <w:vAlign w:val="center"/>
          </w:tcPr>
          <w:p>
            <w:pPr>
              <w:jc w:val="left"/>
              <w:rPr>
                <w:rFonts w:ascii="方正仿宋_GBK" w:hAnsi="方正仿宋_GBK" w:eastAsia="方正仿宋_GBK" w:cs="方正仿宋_GBK"/>
                <w:sz w:val="24"/>
              </w:rPr>
            </w:pPr>
          </w:p>
        </w:tc>
        <w:tc>
          <w:tcPr>
            <w:tcW w:w="1812" w:type="dxa"/>
            <w:vAlign w:val="center"/>
          </w:tcPr>
          <w:p>
            <w:pPr>
              <w:jc w:val="lef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7" w:type="dxa"/>
            <w:gridSpan w:val="8"/>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说明：同一职务有多人担任（如主要技术人员），应分行填写。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737" w:type="dxa"/>
            <w:gridSpan w:val="8"/>
            <w:vAlign w:val="center"/>
          </w:tcPr>
          <w:p>
            <w:pPr>
              <w:jc w:val="left"/>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投标（响应）供应商关联关系情况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Borders>
              <w:bottom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序号</w:t>
            </w:r>
          </w:p>
        </w:tc>
        <w:tc>
          <w:tcPr>
            <w:tcW w:w="2345" w:type="dxa"/>
            <w:gridSpan w:val="2"/>
            <w:tcBorders>
              <w:bottom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关联关系类型</w:t>
            </w:r>
          </w:p>
        </w:tc>
        <w:tc>
          <w:tcPr>
            <w:tcW w:w="2061" w:type="dxa"/>
            <w:gridSpan w:val="2"/>
            <w:tcBorders>
              <w:bottom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关联主体名称</w:t>
            </w:r>
          </w:p>
        </w:tc>
        <w:tc>
          <w:tcPr>
            <w:tcW w:w="4512" w:type="dxa"/>
            <w:gridSpan w:val="3"/>
            <w:tcBorders>
              <w:bottom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1</w:t>
            </w:r>
          </w:p>
        </w:tc>
        <w:tc>
          <w:tcPr>
            <w:tcW w:w="234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控股股东</w:t>
            </w:r>
          </w:p>
        </w:tc>
        <w:tc>
          <w:tcPr>
            <w:tcW w:w="2061" w:type="dxa"/>
            <w:gridSpan w:val="2"/>
            <w:tcBorders>
              <w:top w:val="single" w:color="auto" w:sz="4" w:space="0"/>
              <w:left w:val="single" w:color="auto" w:sz="4" w:space="0"/>
              <w:bottom w:val="single" w:color="auto" w:sz="4" w:space="0"/>
              <w:right w:val="single" w:color="auto" w:sz="4" w:space="0"/>
            </w:tcBorders>
            <w:vAlign w:val="center"/>
          </w:tcPr>
          <w:p>
            <w:pPr>
              <w:jc w:val="left"/>
              <w:rPr>
                <w:rFonts w:ascii="方正仿宋_GBK" w:hAnsi="方正仿宋_GBK" w:eastAsia="方正仿宋_GBK" w:cs="方正仿宋_GBK"/>
                <w:sz w:val="24"/>
              </w:rPr>
            </w:pPr>
          </w:p>
        </w:tc>
        <w:tc>
          <w:tcPr>
            <w:tcW w:w="4512"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18"/>
                <w:szCs w:val="18"/>
              </w:rPr>
              <w:t>指出资额（或持有股份）占投标（响应）供应商资本总额（或股本总额）50%以上的股东，以及出资额（或持有股份）的比例虽然不足50%，但依其出资额（或持有股份）所享有的表决权已足以对投标（响应）供应商股东会（或股东大会）的决议产生重要影响的股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9" w:type="dxa"/>
            <w:tcBorders>
              <w:top w:val="single" w:color="auto" w:sz="4" w:space="0"/>
              <w:left w:val="single" w:color="auto" w:sz="4" w:space="0"/>
              <w:bottom w:val="single" w:color="auto" w:sz="4" w:space="0"/>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2</w:t>
            </w:r>
          </w:p>
        </w:tc>
        <w:tc>
          <w:tcPr>
            <w:tcW w:w="234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管理关系</w:t>
            </w:r>
          </w:p>
        </w:tc>
        <w:tc>
          <w:tcPr>
            <w:tcW w:w="2061" w:type="dxa"/>
            <w:gridSpan w:val="2"/>
            <w:tcBorders>
              <w:top w:val="single" w:color="auto" w:sz="4" w:space="0"/>
              <w:left w:val="single" w:color="auto" w:sz="4" w:space="0"/>
              <w:bottom w:val="single" w:color="auto" w:sz="4" w:space="0"/>
              <w:right w:val="single" w:color="auto" w:sz="4" w:space="0"/>
            </w:tcBorders>
            <w:vAlign w:val="center"/>
          </w:tcPr>
          <w:p>
            <w:pPr>
              <w:jc w:val="left"/>
              <w:rPr>
                <w:rFonts w:ascii="方正仿宋_GBK" w:hAnsi="方正仿宋_GBK" w:eastAsia="方正仿宋_GBK" w:cs="方正仿宋_GBK"/>
                <w:sz w:val="24"/>
              </w:rPr>
            </w:pPr>
          </w:p>
        </w:tc>
        <w:tc>
          <w:tcPr>
            <w:tcW w:w="4512" w:type="dxa"/>
            <w:gridSpan w:val="3"/>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指对投标（响应）供应商不具有出资持股关系，但对其存在管理关系的主体。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7" w:type="dxa"/>
            <w:gridSpan w:val="8"/>
            <w:tcBorders>
              <w:top w:val="single" w:color="auto" w:sz="4" w:space="0"/>
              <w:left w:val="single" w:color="auto" w:sz="4" w:space="0"/>
              <w:bottom w:val="single" w:color="auto" w:sz="4" w:space="0"/>
              <w:right w:val="single" w:color="auto" w:sz="4" w:space="0"/>
            </w:tcBorders>
            <w:vAlign w:val="center"/>
          </w:tcPr>
          <w:p>
            <w:pPr>
              <w:snapToGrid w:val="0"/>
              <w:jc w:val="left"/>
              <w:rPr>
                <w:rFonts w:ascii="方正仿宋_GBK" w:hAnsi="方正仿宋_GBK" w:eastAsia="方正仿宋_GBK" w:cs="方正仿宋_GBK"/>
                <w:sz w:val="24"/>
              </w:rPr>
            </w:pPr>
            <w:r>
              <w:rPr>
                <w:rFonts w:hint="eastAsia" w:ascii="方正仿宋_GBK" w:hAnsi="方正仿宋_GBK" w:eastAsia="方正仿宋_GBK" w:cs="方正仿宋_GBK"/>
                <w:b/>
                <w:bCs/>
                <w:sz w:val="24"/>
              </w:rPr>
              <w:t>说明：同一关联关系类型有多个主体的，应分行填写。</w:t>
            </w:r>
          </w:p>
        </w:tc>
      </w:tr>
    </w:tbl>
    <w:p>
      <w:pPr>
        <w:pStyle w:val="4"/>
        <w:spacing w:after="0" w:line="560" w:lineRule="exact"/>
        <w:ind w:left="0" w:leftChars="0" w:right="0" w:rightChars="0"/>
        <w:rPr>
          <w:rFonts w:ascii="仿宋_GB2312" w:hAnsi="仿宋" w:eastAsia="仿宋_GB2312" w:cs="Times New Roman"/>
          <w:sz w:val="32"/>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FangSong_GB2312">
    <w:panose1 w:val="02010609030101010101"/>
    <w:charset w:val="86"/>
    <w:family w:val="roma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imes">
    <w:altName w:val="DejaVu Sans"/>
    <w:panose1 w:val="02020603050405020304"/>
    <w:charset w:val="00"/>
    <w:family w:val="roman"/>
    <w:pitch w:val="default"/>
    <w:sig w:usb0="00000000" w:usb1="00000000" w:usb2="00000009" w:usb3="00000000" w:csb0="000001FF" w:csb1="00000000"/>
  </w:font>
  <w:font w:name="等线">
    <w:altName w:val="华文中宋"/>
    <w:panose1 w:val="02010600030101010101"/>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xZjMzMTZmMjc5ZmNlOTEwMTNiNDgwYzg5OWRkYjAifQ=="/>
    <w:docVar w:name="KSO_WPS_MARK_KEY" w:val="d28bc483-413f-41c0-992e-3806d3aeebb6"/>
  </w:docVars>
  <w:rsids>
    <w:rsidRoot w:val="06A51632"/>
    <w:rsid w:val="00295EF0"/>
    <w:rsid w:val="0070080B"/>
    <w:rsid w:val="00713B25"/>
    <w:rsid w:val="00C27156"/>
    <w:rsid w:val="00E1350D"/>
    <w:rsid w:val="00F44D16"/>
    <w:rsid w:val="00FA70C9"/>
    <w:rsid w:val="00FF4A49"/>
    <w:rsid w:val="0109531D"/>
    <w:rsid w:val="02072325"/>
    <w:rsid w:val="02590E63"/>
    <w:rsid w:val="04BC4490"/>
    <w:rsid w:val="06231E4A"/>
    <w:rsid w:val="06A51632"/>
    <w:rsid w:val="100B0368"/>
    <w:rsid w:val="17091D01"/>
    <w:rsid w:val="18454E55"/>
    <w:rsid w:val="1AF95904"/>
    <w:rsid w:val="1D655C40"/>
    <w:rsid w:val="1F4303AF"/>
    <w:rsid w:val="22466F3D"/>
    <w:rsid w:val="24883C59"/>
    <w:rsid w:val="24FF2DC6"/>
    <w:rsid w:val="28120E46"/>
    <w:rsid w:val="291853E7"/>
    <w:rsid w:val="2A2C4D44"/>
    <w:rsid w:val="2AA33A14"/>
    <w:rsid w:val="2FB14853"/>
    <w:rsid w:val="312D39F9"/>
    <w:rsid w:val="316F741E"/>
    <w:rsid w:val="31F830D6"/>
    <w:rsid w:val="33C30645"/>
    <w:rsid w:val="342310E4"/>
    <w:rsid w:val="358C6714"/>
    <w:rsid w:val="388177F2"/>
    <w:rsid w:val="38DA439C"/>
    <w:rsid w:val="3A6D21CF"/>
    <w:rsid w:val="3F316DAB"/>
    <w:rsid w:val="474E5135"/>
    <w:rsid w:val="49B32E40"/>
    <w:rsid w:val="505F3056"/>
    <w:rsid w:val="53ABBCBF"/>
    <w:rsid w:val="596A6270"/>
    <w:rsid w:val="5EC16571"/>
    <w:rsid w:val="62127FE9"/>
    <w:rsid w:val="627F5974"/>
    <w:rsid w:val="62841777"/>
    <w:rsid w:val="636D2D43"/>
    <w:rsid w:val="69265FFB"/>
    <w:rsid w:val="6B231FA9"/>
    <w:rsid w:val="6C621A04"/>
    <w:rsid w:val="6D613BCF"/>
    <w:rsid w:val="71B66B18"/>
    <w:rsid w:val="720F001C"/>
    <w:rsid w:val="72D130E6"/>
    <w:rsid w:val="74C432FA"/>
    <w:rsid w:val="75F66D43"/>
    <w:rsid w:val="760A57C3"/>
    <w:rsid w:val="7A794B87"/>
    <w:rsid w:val="7ADA3941"/>
    <w:rsid w:val="7D0D15B6"/>
    <w:rsid w:val="7F7B4EFD"/>
    <w:rsid w:val="A3B55153"/>
    <w:rsid w:val="DFFF1EF3"/>
    <w:rsid w:val="FFBB47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spacing w:line="560" w:lineRule="exact"/>
      <w:ind w:firstLine="420" w:firstLineChars="200"/>
    </w:pPr>
  </w:style>
  <w:style w:type="paragraph" w:styleId="3">
    <w:name w:val="Body Text"/>
    <w:basedOn w:val="1"/>
    <w:next w:val="1"/>
    <w:qFormat/>
    <w:uiPriority w:val="0"/>
    <w:pPr>
      <w:spacing w:after="120"/>
    </w:pPr>
  </w:style>
  <w:style w:type="paragraph" w:styleId="4">
    <w:name w:val="Block Text"/>
    <w:basedOn w:val="1"/>
    <w:qFormat/>
    <w:uiPriority w:val="0"/>
    <w:pPr>
      <w:tabs>
        <w:tab w:val="left" w:pos="426"/>
      </w:tabs>
      <w:spacing w:after="120"/>
      <w:ind w:left="1440" w:leftChars="700" w:right="1440" w:rightChars="700"/>
    </w:pPr>
  </w:style>
  <w:style w:type="paragraph" w:styleId="5">
    <w:name w:val="Plain Text"/>
    <w:basedOn w:val="1"/>
    <w:unhideWhenUsed/>
    <w:qFormat/>
    <w:uiPriority w:val="99"/>
    <w:rPr>
      <w:rFonts w:ascii="宋体" w:hAnsi="Calibri" w:cs="Courier New"/>
      <w:szCs w:val="21"/>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link w:val="16"/>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10"/>
    <w:pPr>
      <w:spacing w:before="240" w:after="60"/>
      <w:jc w:val="center"/>
      <w:outlineLvl w:val="0"/>
    </w:pPr>
    <w:rPr>
      <w:rFonts w:ascii="等线 Light" w:hAnsi="等线 Light" w:eastAsia="宋体" w:cs="Times New Roman"/>
      <w:b/>
      <w:bCs/>
      <w:sz w:val="32"/>
      <w:szCs w:val="32"/>
    </w:rPr>
  </w:style>
  <w:style w:type="table" w:styleId="10">
    <w:name w:val="Table Grid"/>
    <w:basedOn w:val="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2">
    <w:name w:val="List Paragraph"/>
    <w:basedOn w:val="1"/>
    <w:qFormat/>
    <w:uiPriority w:val="34"/>
    <w:pPr>
      <w:ind w:firstLine="420" w:firstLineChars="200"/>
    </w:pPr>
  </w:style>
  <w:style w:type="paragraph" w:customStyle="1" w:styleId="13">
    <w:name w:val="USE 1"/>
    <w:basedOn w:val="1"/>
    <w:qFormat/>
    <w:uiPriority w:val="0"/>
    <w:pPr>
      <w:spacing w:line="200" w:lineRule="atLeast"/>
      <w:jc w:val="left"/>
    </w:pPr>
    <w:rPr>
      <w:rFonts w:ascii="宋体" w:hAnsi="宋体"/>
      <w:b/>
      <w:sz w:val="24"/>
      <w:szCs w:val="28"/>
    </w:rPr>
  </w:style>
  <w:style w:type="paragraph" w:customStyle="1" w:styleId="14">
    <w:name w:val="_Style 1"/>
    <w:basedOn w:val="1"/>
    <w:qFormat/>
    <w:uiPriority w:val="0"/>
    <w:pPr>
      <w:ind w:firstLine="200" w:firstLineChars="200"/>
    </w:pPr>
    <w:rPr>
      <w:rFonts w:ascii="宋体" w:hAnsi="宋体" w:eastAsia="FangSong_GB2312" w:cs="Times New Roman"/>
      <w:sz w:val="32"/>
      <w:szCs w:val="32"/>
    </w:rPr>
  </w:style>
  <w:style w:type="paragraph" w:customStyle="1" w:styleId="15">
    <w:name w:val="l正文"/>
    <w:basedOn w:val="1"/>
    <w:qFormat/>
    <w:uiPriority w:val="0"/>
    <w:pPr>
      <w:spacing w:line="300" w:lineRule="auto"/>
      <w:ind w:firstLine="200" w:firstLineChars="200"/>
      <w:jc w:val="left"/>
    </w:pPr>
    <w:rPr>
      <w:rFonts w:ascii="楷体_GB2312" w:hAnsi="Times" w:eastAsia="楷体_GB2312" w:cs="等线"/>
      <w:sz w:val="24"/>
    </w:rPr>
  </w:style>
  <w:style w:type="character" w:customStyle="1" w:styleId="16">
    <w:name w:val="页眉 Char"/>
    <w:basedOn w:val="11"/>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2923</Words>
  <Characters>3018</Characters>
  <Lines>23</Lines>
  <Paragraphs>6</Paragraphs>
  <TotalTime>9</TotalTime>
  <ScaleCrop>false</ScaleCrop>
  <LinksUpToDate>false</LinksUpToDate>
  <CharactersWithSpaces>3038</CharactersWithSpaces>
  <Application>WPS Office_11.8.2.12128_F1E327BC-269C-435d-A152-05C5408002CA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2024-04-16T10:50:00Z</dcterms:created>
  <dc:creator>JOCHUNG</dc:creator>
  <cp:lastModifiedBy>lxy</cp:lastModifiedBy>
  <cp:lastPrinted>2025-03-29T16:32:00Z</cp:lastPrinted>
  <dcterms:modified xsi:type="dcterms:W3CDTF">2025-04-08T16:11:01Z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2052-11.8.2.12128</vt:lpwstr>
  </property>
  <property fmtid="{D5CDD505-2E9C-101B-9397-08002B2CF9AE}" pid="3" name="ICV">
    <vt:lpwstr>F8A07C9AE9AE2232567EF367C6682708</vt:lpwstr>
  </property>
  <property fmtid="{D5CDD505-2E9C-101B-9397-08002B2CF9AE}" pid="4" name="KSOTemplateDocerSaveRecord">
    <vt:lpwstr>eyJoZGlkIjoiNDUwOTk5NjBiYjlkZWM3ZDVlMmQzYmJkYzg2YTQwZGUiLCJ1c2VySWQiOiIzNjM1MjI3MjUifQ==</vt:lpwstr>
  </property>
</Properties>
</file>