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2025年“文体四季·YUE动龙华”系列活动——“周末喜乐汇”项目需求书</w:t>
      </w:r>
    </w:p>
    <w:p>
      <w:pPr>
        <w:pStyle w:val="5"/>
        <w:spacing w:line="560" w:lineRule="exact"/>
        <w:jc w:val="center"/>
        <w:rPr>
          <w:rFonts w:ascii="方正小标宋简体" w:hAnsi="方正小标宋简体" w:eastAsia="方正小标宋简体" w:cs="方正小标宋简体"/>
          <w:spacing w:val="17"/>
          <w:sz w:val="44"/>
          <w:szCs w:val="44"/>
        </w:rPr>
      </w:pP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一、项目目标</w:t>
      </w:r>
    </w:p>
    <w:p>
      <w:pPr>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根据《龙华区文化体育事业发展第十四个五年规划》相关要求</w:t>
      </w:r>
      <w:r>
        <w:rPr>
          <w:rFonts w:hint="eastAsia" w:ascii="仿宋_GB2312" w:hAnsi="仿宋_GB2312" w:eastAsia="仿宋_GB2312" w:cs="仿宋_GB2312"/>
          <w:color w:val="000000"/>
          <w:kern w:val="0"/>
          <w:sz w:val="32"/>
          <w:szCs w:val="32"/>
        </w:rPr>
        <w:t>，进一步强化文化活动品牌建设，围绕龙华特色文化元素，充实龙华文化内涵，挖掘基层文化人才，搭建公共艺术普及体系，促进艺术普及工作品质化、品牌化、多元化、常态化和便捷化，不断推进文体活动进街区、进社区、进商圈，着力提升市民文化艺术素养、专业技能和审美水平，推动公共文化服务高质量发展。</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二、时间安排</w:t>
      </w:r>
    </w:p>
    <w:p>
      <w:pPr>
        <w:pStyle w:val="4"/>
        <w:spacing w:after="0" w:line="560" w:lineRule="exact"/>
        <w:ind w:left="0" w:leftChars="0" w:right="0" w:rightChars="0"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2025年4月-11月（暂定）</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pPr>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项目创新采用“专业表演团队与群众文艺队伍协同”模式，将舞台搭建至社区基层，致力于打造兼具颜值、品质与爱心的周末群众大舞台。此次活动涵盖四大分项，分别为</w:t>
      </w:r>
      <w:r>
        <w:rPr>
          <w:rFonts w:hint="eastAsia" w:ascii="仿宋_GB2312" w:hAnsi="仿宋_GB2312" w:eastAsia="仿宋_GB2312" w:cs="Times New Roman"/>
          <w:sz w:val="32"/>
          <w:szCs w:val="32"/>
          <w:lang w:val="en-US" w:eastAsia="zh-CN"/>
        </w:rPr>
        <w:t>曲艺专场</w:t>
      </w:r>
      <w:r>
        <w:rPr>
          <w:rFonts w:hint="eastAsia" w:ascii="仿宋_GB2312" w:hAnsi="仿宋_GB2312" w:eastAsia="仿宋_GB2312" w:cs="Times New Roman"/>
          <w:sz w:val="32"/>
          <w:szCs w:val="32"/>
        </w:rPr>
        <w:t>、原创音乐会、广场舞展演及群众文艺汇演，共计30场，具体场次将在各街道有序安排。</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（二）具体要求</w:t>
      </w:r>
    </w:p>
    <w:p>
      <w:pPr>
        <w:pStyle w:val="12"/>
        <w:spacing w:line="560" w:lineRule="exact"/>
        <w:ind w:firstLine="640"/>
        <w:rPr>
          <w:rFonts w:ascii="仿宋_GB2312" w:eastAsia="仿宋_GB2312"/>
          <w:sz w:val="32"/>
          <w:szCs w:val="32"/>
        </w:rPr>
      </w:pPr>
      <w:r>
        <w:rPr>
          <w:rFonts w:hint="eastAsia" w:ascii="仿宋_GB2312" w:eastAsia="仿宋_GB2312"/>
          <w:sz w:val="32"/>
          <w:szCs w:val="32"/>
        </w:rPr>
        <w:t>1.负责各分项活动的策划、主背景设计等；</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负责</w:t>
      </w:r>
      <w:r>
        <w:rPr>
          <w:rFonts w:hint="eastAsia" w:ascii="仿宋_GB2312" w:hAnsi="仿宋" w:eastAsia="仿宋_GB2312" w:cs="仿宋"/>
          <w:sz w:val="32"/>
          <w:szCs w:val="32"/>
        </w:rPr>
        <w:t>发放相关节目补助、荣誉证书和演出费等；</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3.负责甲方工作人员及公益演出人员用餐；</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4.负责活动现场的照片直播；</w:t>
      </w:r>
    </w:p>
    <w:p>
      <w:pPr>
        <w:pStyle w:val="12"/>
        <w:spacing w:line="560" w:lineRule="exact"/>
        <w:ind w:firstLine="640"/>
        <w:rPr>
          <w:rFonts w:hint="eastAsia" w:ascii="仿宋_GB2312" w:hAnsi="仿宋" w:eastAsia="仿宋_GB2312" w:cs="仿宋"/>
          <w:sz w:val="32"/>
          <w:szCs w:val="32"/>
        </w:rPr>
      </w:pPr>
      <w:bookmarkStart w:id="1" w:name="OLE_LINK1"/>
      <w:r>
        <w:rPr>
          <w:rFonts w:hint="eastAsia" w:ascii="仿宋_GB2312" w:hAnsi="仿宋" w:eastAsia="仿宋_GB2312" w:cs="仿宋"/>
          <w:sz w:val="32"/>
          <w:szCs w:val="32"/>
        </w:rPr>
        <w:t>5.负责活动现场的布置，包括灯光音响设备、LED屏幕</w:t>
      </w:r>
      <w:r>
        <w:rPr>
          <w:rFonts w:hint="eastAsia" w:ascii="仿宋_GB2312" w:hAnsi="仿宋" w:eastAsia="仿宋_GB2312" w:cs="仿宋"/>
          <w:color w:val="FF0000"/>
          <w:sz w:val="32"/>
          <w:szCs w:val="32"/>
          <w:lang w:eastAsia="zh-CN"/>
        </w:rPr>
        <w:t>（</w:t>
      </w:r>
      <w:r>
        <w:rPr>
          <w:rFonts w:hint="eastAsia" w:ascii="仿宋_GB2312" w:hAnsi="仿宋" w:eastAsia="仿宋_GB2312" w:cs="仿宋"/>
          <w:color w:val="FF0000"/>
          <w:sz w:val="32"/>
          <w:szCs w:val="32"/>
          <w:lang w:val="en-US" w:eastAsia="zh-CN"/>
        </w:rPr>
        <w:t>尺寸长度不得少于14米，高度不少于4米，型号为P3)</w:t>
      </w:r>
      <w:r>
        <w:rPr>
          <w:rFonts w:hint="eastAsia" w:ascii="仿宋_GB2312" w:hAnsi="仿宋" w:eastAsia="仿宋_GB2312" w:cs="仿宋"/>
          <w:sz w:val="32"/>
          <w:szCs w:val="32"/>
        </w:rPr>
        <w:t>、观众座椅摆放、饮用水供应等。</w:t>
      </w:r>
    </w:p>
    <w:bookmarkEnd w:id="1"/>
    <w:p>
      <w:pPr>
        <w:pStyle w:val="12"/>
        <w:spacing w:line="560" w:lineRule="exact"/>
        <w:ind w:left="0" w:leftChars="0" w:firstLine="0" w:firstLineChars="0"/>
        <w:rPr>
          <w:rFonts w:hint="eastAsia" w:ascii="仿宋_GB2312" w:hAnsi="仿宋" w:eastAsia="仿宋_GB2312" w:cs="仿宋"/>
          <w:sz w:val="32"/>
          <w:szCs w:val="32"/>
        </w:rPr>
      </w:pPr>
    </w:p>
    <w:p>
      <w:p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四、报价限额</w:t>
      </w:r>
    </w:p>
    <w:p>
      <w:pPr>
        <w:pStyle w:val="4"/>
        <w:spacing w:line="560" w:lineRule="exact"/>
        <w:ind w:left="0" w:leftChars="0" w:right="1470"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49.3万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报价项目</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p>
    <w:tbl>
      <w:tblPr>
        <w:tblStyle w:val="9"/>
        <w:tblpPr w:leftFromText="180" w:rightFromText="180" w:vertAnchor="text" w:horzAnchor="page" w:tblpX="1620" w:tblpY="220"/>
        <w:tblOverlap w:val="never"/>
        <w:tblW w:w="8927" w:type="dxa"/>
        <w:tblInd w:w="0" w:type="dxa"/>
        <w:tblLayout w:type="fixed"/>
        <w:tblCellMar>
          <w:top w:w="0" w:type="dxa"/>
          <w:left w:w="108" w:type="dxa"/>
          <w:bottom w:w="0" w:type="dxa"/>
          <w:right w:w="108" w:type="dxa"/>
        </w:tblCellMar>
      </w:tblPr>
      <w:tblGrid>
        <w:gridCol w:w="550"/>
        <w:gridCol w:w="1237"/>
        <w:gridCol w:w="1113"/>
        <w:gridCol w:w="657"/>
        <w:gridCol w:w="750"/>
        <w:gridCol w:w="4620"/>
      </w:tblGrid>
      <w:tr>
        <w:tblPrEx>
          <w:tblCellMar>
            <w:top w:w="0" w:type="dxa"/>
            <w:left w:w="108" w:type="dxa"/>
            <w:bottom w:w="0" w:type="dxa"/>
            <w:right w:w="108" w:type="dxa"/>
          </w:tblCellMar>
        </w:tblPrEx>
        <w:trPr>
          <w:trHeight w:val="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bookmarkStart w:id="2" w:name="OLE_LINK3" w:colFirst="1" w:colLast="5"/>
            <w:r>
              <w:rPr>
                <w:rFonts w:hint="eastAsia" w:ascii="宋体" w:hAnsi="宋体" w:eastAsia="宋体" w:cs="宋体"/>
                <w:b/>
                <w:bCs/>
                <w:color w:val="000000"/>
                <w:kern w:val="0"/>
                <w:sz w:val="18"/>
                <w:szCs w:val="18"/>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活动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项目内容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数量</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bookmarkEnd w:id="2"/>
      <w:tr>
        <w:tblPrEx>
          <w:tblCellMar>
            <w:top w:w="0" w:type="dxa"/>
            <w:left w:w="108" w:type="dxa"/>
            <w:bottom w:w="0" w:type="dxa"/>
            <w:right w:w="108" w:type="dxa"/>
          </w:tblCellMar>
        </w:tblPrEx>
        <w:trPr>
          <w:trHeight w:val="9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曲艺专场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r>
              <w:rPr>
                <w:rFonts w:hint="eastAsia"/>
                <w:color w:val="000000"/>
                <w:sz w:val="21"/>
                <w:szCs w:val="21"/>
              </w:rPr>
              <w:t>曲艺专场演出</w:t>
            </w:r>
          </w:p>
        </w:tc>
      </w:tr>
      <w:tr>
        <w:tblPrEx>
          <w:tblCellMar>
            <w:top w:w="0" w:type="dxa"/>
            <w:left w:w="108" w:type="dxa"/>
            <w:bottom w:w="0" w:type="dxa"/>
            <w:right w:w="108" w:type="dxa"/>
          </w:tblCellMar>
        </w:tblPrEx>
        <w:trPr>
          <w:trHeight w:val="9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原创音乐会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原创作品及演出费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r>
              <w:rPr>
                <w:rFonts w:hint="eastAsia"/>
                <w:color w:val="000000"/>
                <w:sz w:val="21"/>
                <w:szCs w:val="21"/>
              </w:rPr>
              <w:t>原创音乐专场演出</w:t>
            </w:r>
          </w:p>
        </w:tc>
      </w:tr>
      <w:tr>
        <w:tblPrEx>
          <w:tblCellMar>
            <w:top w:w="0" w:type="dxa"/>
            <w:left w:w="108" w:type="dxa"/>
            <w:bottom w:w="0" w:type="dxa"/>
            <w:right w:w="108" w:type="dxa"/>
          </w:tblCellMar>
        </w:tblPrEx>
        <w:trPr>
          <w:trHeight w:val="8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bookmarkStart w:id="3" w:name="OLE_LINK4" w:colFirst="0" w:colLast="5"/>
            <w:r>
              <w:rPr>
                <w:rFonts w:hint="eastAsia" w:ascii="宋体" w:hAnsi="宋体" w:eastAsia="宋体" w:cs="宋体"/>
                <w:color w:val="000000"/>
                <w:kern w:val="0"/>
                <w:sz w:val="21"/>
                <w:szCs w:val="21"/>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广场舞展演</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获奖证书</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1"/>
                <w:szCs w:val="21"/>
                <w:lang w:val="en-US" w:eastAsia="zh-CN"/>
              </w:rPr>
            </w:pPr>
            <w:r>
              <w:rPr>
                <w:rFonts w:hint="eastAsia"/>
                <w:color w:val="FF0000"/>
                <w:sz w:val="21"/>
                <w:szCs w:val="21"/>
                <w:lang w:val="en-US" w:eastAsia="zh-CN"/>
              </w:rPr>
              <w:t>合计需</w:t>
            </w:r>
            <w:r>
              <w:rPr>
                <w:rFonts w:hint="eastAsia" w:asciiTheme="minorEastAsia" w:hAnsiTheme="minorEastAsia" w:eastAsiaTheme="minorEastAsia" w:cstheme="minorEastAsia"/>
                <w:color w:val="FF0000"/>
                <w:sz w:val="21"/>
                <w:szCs w:val="21"/>
                <w:lang w:val="en-US" w:eastAsia="zh-CN"/>
              </w:rPr>
              <w:t>制作</w:t>
            </w:r>
            <w:r>
              <w:rPr>
                <w:rFonts w:hint="eastAsia" w:asciiTheme="minorEastAsia" w:hAnsiTheme="minorEastAsia" w:cstheme="minorEastAsia"/>
                <w:color w:val="FF0000"/>
                <w:sz w:val="21"/>
                <w:szCs w:val="21"/>
                <w:lang w:val="en-US" w:eastAsia="zh-CN"/>
              </w:rPr>
              <w:t>1800</w:t>
            </w:r>
            <w:r>
              <w:rPr>
                <w:rFonts w:hint="eastAsia" w:asciiTheme="minorEastAsia" w:hAnsiTheme="minorEastAsia" w:eastAsiaTheme="minorEastAsia" w:cstheme="minorEastAsia"/>
                <w:color w:val="FF0000"/>
                <w:sz w:val="21"/>
                <w:szCs w:val="21"/>
                <w:lang w:val="en-US" w:eastAsia="zh-CN"/>
              </w:rPr>
              <w:t>份证书</w:t>
            </w:r>
          </w:p>
        </w:tc>
      </w:tr>
      <w:tr>
        <w:tblPrEx>
          <w:tblCellMar>
            <w:top w:w="0" w:type="dxa"/>
            <w:left w:w="108" w:type="dxa"/>
            <w:bottom w:w="0" w:type="dxa"/>
            <w:right w:w="108" w:type="dxa"/>
          </w:tblCellMar>
        </w:tblPrEx>
        <w:trPr>
          <w:trHeight w:val="8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群众文艺汇演</w:t>
            </w:r>
          </w:p>
        </w:tc>
        <w:tc>
          <w:tcPr>
            <w:tcW w:w="111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节目补助</w:t>
            </w:r>
            <w:r>
              <w:rPr>
                <w:rFonts w:hint="eastAsia" w:ascii="宋体" w:hAnsi="宋体" w:eastAsia="宋体" w:cs="宋体"/>
                <w:color w:val="000000"/>
                <w:kern w:val="0"/>
                <w:sz w:val="21"/>
                <w:szCs w:val="21"/>
                <w:lang w:eastAsia="zh-CN"/>
              </w:rPr>
              <w:t>、</w:t>
            </w:r>
            <w:r>
              <w:rPr>
                <w:rFonts w:hint="eastAsia" w:ascii="宋体" w:hAnsi="宋体" w:eastAsia="宋体" w:cs="宋体"/>
                <w:color w:val="FF0000"/>
                <w:kern w:val="0"/>
                <w:sz w:val="21"/>
                <w:szCs w:val="21"/>
                <w:lang w:val="en-US" w:eastAsia="zh-CN"/>
              </w:rPr>
              <w:t>证书</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各街道组织辖区居民表演，预计10-12队伍</w:t>
            </w:r>
            <w:r>
              <w:rPr>
                <w:rFonts w:hint="eastAsia" w:ascii="宋体" w:hAnsi="宋体" w:eastAsia="宋体" w:cs="宋体"/>
                <w:color w:val="000000"/>
                <w:kern w:val="0"/>
                <w:sz w:val="21"/>
                <w:szCs w:val="21"/>
                <w:lang w:eastAsia="zh-CN"/>
              </w:rPr>
              <w:t>，</w:t>
            </w:r>
            <w:r>
              <w:rPr>
                <w:rFonts w:hint="eastAsia" w:ascii="宋体" w:hAnsi="宋体" w:eastAsia="宋体" w:cs="宋体"/>
                <w:color w:val="FF0000"/>
                <w:kern w:val="0"/>
                <w:sz w:val="21"/>
                <w:szCs w:val="21"/>
                <w:lang w:val="en-US" w:eastAsia="zh-CN"/>
              </w:rPr>
              <w:t>以及6场公益演出360份证书</w:t>
            </w:r>
          </w:p>
        </w:tc>
      </w:tr>
      <w:bookmarkEnd w:id="3"/>
      <w:tr>
        <w:tblPrEx>
          <w:tblCellMar>
            <w:top w:w="0" w:type="dxa"/>
            <w:left w:w="108" w:type="dxa"/>
            <w:bottom w:w="0" w:type="dxa"/>
            <w:right w:w="108" w:type="dxa"/>
          </w:tblCellMar>
        </w:tblPrEx>
        <w:trPr>
          <w:trHeight w:val="88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灯光、音响、LED大屏幕等设备租赁和</w:t>
            </w:r>
            <w:r>
              <w:rPr>
                <w:rFonts w:hint="eastAsia" w:ascii="宋体" w:hAnsi="宋体" w:eastAsia="宋体" w:cs="宋体"/>
                <w:color w:val="000000"/>
                <w:sz w:val="21"/>
                <w:szCs w:val="21"/>
              </w:rPr>
              <w:t>活动现场布置</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包含30场活动的灯光、音响、LED大屏幕、行架等设备的租赁和现场布置</w:t>
            </w:r>
          </w:p>
        </w:tc>
      </w:tr>
      <w:tr>
        <w:tblPrEx>
          <w:tblCellMar>
            <w:top w:w="0" w:type="dxa"/>
            <w:left w:w="108" w:type="dxa"/>
            <w:bottom w:w="0" w:type="dxa"/>
            <w:right w:w="108" w:type="dxa"/>
          </w:tblCellMar>
        </w:tblPrEx>
        <w:trPr>
          <w:trHeight w:val="58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主KV视觉设计</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5</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包含4项活动</w:t>
            </w:r>
            <w:r>
              <w:rPr>
                <w:rFonts w:hint="eastAsia" w:ascii="宋体" w:hAnsi="宋体" w:eastAsia="宋体" w:cs="宋体"/>
                <w:color w:val="000000"/>
                <w:kern w:val="0"/>
                <w:sz w:val="21"/>
                <w:szCs w:val="21"/>
                <w:lang w:val="en-US" w:eastAsia="zh-CN"/>
              </w:rPr>
              <w:t>以及1项总</w:t>
            </w:r>
            <w:r>
              <w:rPr>
                <w:rFonts w:hint="eastAsia" w:ascii="宋体" w:hAnsi="宋体" w:eastAsia="宋体" w:cs="宋体"/>
                <w:color w:val="000000"/>
                <w:kern w:val="0"/>
                <w:sz w:val="21"/>
                <w:szCs w:val="21"/>
              </w:rPr>
              <w:t>主视觉</w:t>
            </w:r>
            <w:r>
              <w:rPr>
                <w:rFonts w:hint="eastAsia" w:ascii="宋体" w:hAnsi="宋体" w:eastAsia="宋体" w:cs="宋体"/>
                <w:color w:val="000000"/>
                <w:kern w:val="0"/>
                <w:sz w:val="21"/>
                <w:szCs w:val="21"/>
                <w:lang w:val="en-US" w:eastAsia="zh-CN"/>
              </w:rPr>
              <w:t>的</w:t>
            </w:r>
            <w:r>
              <w:rPr>
                <w:rFonts w:hint="eastAsia" w:ascii="宋体" w:hAnsi="宋体" w:eastAsia="宋体" w:cs="宋体"/>
                <w:color w:val="000000"/>
                <w:kern w:val="0"/>
                <w:sz w:val="21"/>
                <w:szCs w:val="21"/>
              </w:rPr>
              <w:t>设计</w:t>
            </w:r>
          </w:p>
        </w:tc>
      </w:tr>
      <w:tr>
        <w:tblPrEx>
          <w:tblCellMar>
            <w:top w:w="0" w:type="dxa"/>
            <w:left w:w="108" w:type="dxa"/>
            <w:bottom w:w="0" w:type="dxa"/>
            <w:right w:w="108" w:type="dxa"/>
          </w:tblCellMar>
        </w:tblPrEx>
        <w:trPr>
          <w:trHeight w:val="64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照片直播</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1机位+直播系统+2工作人员</w:t>
            </w:r>
          </w:p>
        </w:tc>
      </w:tr>
      <w:tr>
        <w:tblPrEx>
          <w:tblCellMar>
            <w:top w:w="0" w:type="dxa"/>
            <w:left w:w="108" w:type="dxa"/>
            <w:bottom w:w="0" w:type="dxa"/>
            <w:right w:w="108" w:type="dxa"/>
          </w:tblCellMar>
        </w:tblPrEx>
        <w:trPr>
          <w:trHeight w:val="6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活动策划、服装费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包含30场活动的策划费、个别演员和主持人的服装租赁等</w:t>
            </w:r>
          </w:p>
        </w:tc>
      </w:tr>
      <w:tr>
        <w:tblPrEx>
          <w:tblCellMar>
            <w:top w:w="0" w:type="dxa"/>
            <w:left w:w="108" w:type="dxa"/>
            <w:bottom w:w="0" w:type="dxa"/>
            <w:right w:w="108" w:type="dxa"/>
          </w:tblCellMar>
        </w:tblPrEx>
        <w:trPr>
          <w:trHeight w:val="1131" w:hRule="atLeast"/>
        </w:trPr>
        <w:tc>
          <w:tcPr>
            <w:tcW w:w="55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2350" w:type="dxa"/>
            <w:gridSpan w:val="2"/>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sz w:val="21"/>
                <w:szCs w:val="21"/>
              </w:rPr>
              <w:t>餐费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sz w:val="21"/>
                <w:szCs w:val="21"/>
              </w:rPr>
            </w:pPr>
            <w:r>
              <w:rPr>
                <w:rFonts w:hint="eastAsia"/>
                <w:sz w:val="21"/>
                <w:szCs w:val="21"/>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Theme="minorEastAsia" w:hAnsiTheme="minorEastAsia" w:eastAsiaTheme="minorEastAsia" w:cstheme="minorEastAsia"/>
                <w:color w:val="000000"/>
                <w:sz w:val="21"/>
                <w:szCs w:val="21"/>
                <w:lang w:val="en-US" w:eastAsia="zh-CN"/>
              </w:rPr>
              <w:t>636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rPr>
              <w:t>包含10名工作人员</w:t>
            </w:r>
            <w:r>
              <w:rPr>
                <w:rFonts w:hint="eastAsia" w:ascii="宋体" w:hAnsi="宋体" w:eastAsia="宋体" w:cs="宋体"/>
                <w:color w:val="000000"/>
                <w:kern w:val="0"/>
                <w:sz w:val="21"/>
                <w:szCs w:val="21"/>
                <w:lang w:eastAsia="zh-CN"/>
              </w:rPr>
              <w:t>与</w:t>
            </w:r>
            <w:r>
              <w:rPr>
                <w:rFonts w:hint="eastAsia" w:ascii="宋体" w:hAnsi="宋体" w:eastAsia="宋体" w:cs="宋体"/>
                <w:color w:val="000000"/>
                <w:kern w:val="0"/>
                <w:sz w:val="21"/>
                <w:szCs w:val="21"/>
              </w:rPr>
              <w:t>56名公益演出人员的餐费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10名工作人员30场、56名演员6场公益演出）</w:t>
            </w:r>
          </w:p>
        </w:tc>
      </w:tr>
      <w:tr>
        <w:tblPrEx>
          <w:tblCellMar>
            <w:top w:w="0" w:type="dxa"/>
            <w:left w:w="108" w:type="dxa"/>
            <w:bottom w:w="0" w:type="dxa"/>
            <w:right w:w="108" w:type="dxa"/>
          </w:tblCellMar>
        </w:tblPrEx>
        <w:trPr>
          <w:trHeight w:val="55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120</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kern w:val="0"/>
                <w:sz w:val="21"/>
                <w:szCs w:val="21"/>
              </w:rPr>
              <w:t>包含活动期间的饮用水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24支/箱</w:t>
            </w:r>
            <w:r>
              <w:rPr>
                <w:rFonts w:hint="eastAsia" w:ascii="宋体" w:hAnsi="宋体" w:eastAsia="宋体" w:cs="宋体"/>
                <w:color w:val="000000"/>
                <w:kern w:val="0"/>
                <w:sz w:val="21"/>
                <w:szCs w:val="21"/>
                <w:lang w:eastAsia="zh-CN"/>
              </w:rPr>
              <w:t>）</w:t>
            </w:r>
          </w:p>
        </w:tc>
      </w:tr>
    </w:tbl>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2"/>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（三）单位负责人为同一人或者存在直接控股、管理关系的不同供应商，不得同时参加本项目的采购活动。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综合评分法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七、评分要求</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9"/>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146"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244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50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146"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44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50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3"/>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1.商务能力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82" w:type="dxa"/>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商务能力评分（25分）</w:t>
            </w: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同类项目经验</w:t>
            </w:r>
          </w:p>
          <w:p>
            <w:pPr>
              <w:jc w:val="center"/>
              <w:rPr>
                <w:rFonts w:ascii="仿宋_GB2312" w:hAnsi="仿宋_GB2312" w:eastAsia="仿宋_GB2312" w:cs="仿宋_GB2312"/>
                <w:bCs/>
                <w:kern w:val="0"/>
                <w:sz w:val="24"/>
              </w:rPr>
            </w:pPr>
            <w:r>
              <w:rPr>
                <w:rFonts w:hint="eastAsia" w:ascii="仿宋_GB2312" w:hAnsi="仿宋_GB2312" w:eastAsia="仿宋_GB2312" w:cs="仿宋_GB2312"/>
                <w:bCs/>
                <w:sz w:val="24"/>
              </w:rPr>
              <w:t>（10分）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具有举办</w:t>
            </w:r>
            <w:r>
              <w:rPr>
                <w:rFonts w:hint="eastAsia" w:ascii="仿宋_GB2312" w:hAnsi="仿宋_GB2312" w:eastAsia="仿宋_GB2312" w:cs="仿宋_GB2312"/>
                <w:bCs/>
                <w:sz w:val="24"/>
                <w:lang w:val="en-US" w:eastAsia="zh-CN"/>
              </w:rPr>
              <w:t>文体</w:t>
            </w:r>
            <w:r>
              <w:rPr>
                <w:rFonts w:hint="eastAsia" w:ascii="仿宋_GB2312" w:hAnsi="仿宋_GB2312" w:eastAsia="仿宋_GB2312" w:cs="仿宋_GB2312"/>
                <w:bCs/>
                <w:sz w:val="24"/>
              </w:rPr>
              <w:t>活动的丰富经验项目，提供至多2个过往活动合同关键页；每提供一项以往同类项目证明材料得5分，本项最高得分为10分。</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提供往期活动合同关键页佐证材料。（同个合作方、同个项目续签不累计加分）证明材料不清晰评委无法辨认的，不得分。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拟安排的项目团队成员情况（5分）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1.具备本科或以上学历的，每提供一个得1分，最高得2分；</w:t>
            </w:r>
          </w:p>
          <w:p>
            <w:pPr>
              <w:rPr>
                <w:rFonts w:ascii="仿宋_GB2312" w:hAnsi="仿宋_GB2312" w:eastAsia="仿宋_GB2312" w:cs="仿宋_GB2312"/>
                <w:bCs/>
                <w:sz w:val="24"/>
              </w:rPr>
            </w:pPr>
            <w:r>
              <w:rPr>
                <w:rFonts w:hint="eastAsia" w:ascii="仿宋_GB2312" w:hAnsi="仿宋_GB2312" w:eastAsia="仿宋_GB2312" w:cs="仿宋_GB2312"/>
                <w:bCs/>
                <w:sz w:val="24"/>
              </w:rPr>
              <w:t>2.团队成员参与过艺术类活动</w:t>
            </w:r>
            <w:r>
              <w:rPr>
                <w:rFonts w:hint="eastAsia" w:ascii="仿宋_GB2312" w:hAnsi="仿宋_GB2312" w:eastAsia="仿宋_GB2312" w:cs="仿宋_GB2312"/>
                <w:bCs/>
                <w:sz w:val="24"/>
                <w:lang w:val="en-US" w:eastAsia="zh-CN"/>
              </w:rPr>
              <w:t>策划、执行</w:t>
            </w:r>
            <w:r>
              <w:rPr>
                <w:rFonts w:hint="eastAsia" w:ascii="仿宋_GB2312" w:hAnsi="仿宋_GB2312" w:eastAsia="仿宋_GB2312" w:cs="仿宋_GB2312"/>
                <w:bCs/>
                <w:sz w:val="24"/>
              </w:rPr>
              <w:t>经验的，每提供团队人员参与的项目经验的，得1分，最高得3分。</w:t>
            </w:r>
          </w:p>
          <w:p>
            <w:pPr>
              <w:rPr>
                <w:rFonts w:ascii="仿宋_GB2312" w:hAnsi="仿宋_GB2312" w:eastAsia="仿宋_GB2312" w:cs="仿宋_GB2312"/>
                <w:bCs/>
                <w:sz w:val="24"/>
              </w:rPr>
            </w:pPr>
            <w:r>
              <w:rPr>
                <w:rFonts w:hint="eastAsia" w:ascii="仿宋_GB2312" w:hAnsi="仿宋_GB2312" w:eastAsia="仿宋_GB2312" w:cs="仿宋_GB2312"/>
                <w:bCs/>
                <w:sz w:val="24"/>
              </w:rPr>
              <w:t>以上两项同一人可累计得分，两项累计总分最高得5分。</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1.提供项目团队成员学位证书、毕业证书扫描件或复印件；提供类似经验合作证明或相关资料，扫描件或复印件。</w:t>
            </w:r>
          </w:p>
          <w:p>
            <w:pPr>
              <w:jc w:val="left"/>
              <w:rPr>
                <w:rFonts w:ascii="仿宋_GB2312" w:hAnsi="仿宋_GB2312" w:eastAsia="仿宋_GB2312" w:cs="仿宋_GB2312"/>
                <w:bCs/>
                <w:sz w:val="24"/>
              </w:rPr>
            </w:pPr>
            <w:r>
              <w:rPr>
                <w:rFonts w:hint="eastAsia" w:ascii="仿宋_GB2312" w:hAnsi="仿宋_GB2312" w:eastAsia="仿宋_GB2312" w:cs="仿宋_GB2312"/>
                <w:bCs/>
                <w:sz w:val="24"/>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诚信评价（5分）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投标人在参与政府采购活动中不存在诚信相关问题且不在主管部门相关处理措施实施期限内的。</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提供《诚信承诺函》并加盖公章，格式自拟，提供得5分，内容不符或未提供不得分。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widowControl/>
              <w:jc w:val="center"/>
              <w:textAlignment w:val="center"/>
              <w:rPr>
                <w:rFonts w:ascii="仿宋_GB2312" w:hAnsi="宋体" w:eastAsia="仿宋_GB2312" w:cs="仿宋_GB2312"/>
                <w:sz w:val="26"/>
                <w:szCs w:val="26"/>
              </w:rPr>
            </w:pPr>
            <w:r>
              <w:rPr>
                <w:rFonts w:hint="eastAsia" w:ascii="仿宋_GB2312" w:hAnsi="仿宋_GB2312" w:eastAsia="仿宋_GB2312" w:cs="仿宋_GB2312"/>
                <w:bCs/>
                <w:sz w:val="24"/>
              </w:rPr>
              <w:t>服务承诺书（5分）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根据对项目的理解及自身管理经验，提出项目完成的服务承诺与违约承诺。</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提供《服务承诺函》并加盖得5分，格式自拟，提供得5分，内容不符或未提供不得分。</w:t>
            </w:r>
          </w:p>
        </w:tc>
      </w:tr>
    </w:tbl>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2.技术能力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69"/>
        <w:gridCol w:w="3165"/>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53" w:type="dxa"/>
            <w:gridSpan w:val="3"/>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98" w:type="dxa"/>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2" w:hRule="atLeast"/>
        </w:trPr>
        <w:tc>
          <w:tcPr>
            <w:tcW w:w="519"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技术能力分45分</w:t>
            </w:r>
          </w:p>
        </w:tc>
        <w:tc>
          <w:tcPr>
            <w:tcW w:w="15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实施方案（25分）</w:t>
            </w:r>
          </w:p>
        </w:tc>
        <w:tc>
          <w:tcPr>
            <w:tcW w:w="3165" w:type="dxa"/>
            <w:vAlign w:val="center"/>
          </w:tcPr>
          <w:p>
            <w:r>
              <w:rPr>
                <w:rFonts w:hint="eastAsia" w:ascii="仿宋_GB2312" w:hAnsi="仿宋_GB2312" w:eastAsia="仿宋_GB2312" w:cs="仿宋_GB2312"/>
                <w:bCs/>
                <w:sz w:val="24"/>
              </w:rPr>
              <w:t>根据项目特点，针对活动定位、活动内容、执行方案、应急预案等要点进行项目整体设想和策划，编制实施方案。</w:t>
            </w:r>
          </w:p>
        </w:tc>
        <w:tc>
          <w:tcPr>
            <w:tcW w:w="3498" w:type="dxa"/>
            <w:vAlign w:val="center"/>
          </w:tcPr>
          <w:p>
            <w:pPr>
              <w:rPr>
                <w:rFonts w:ascii="仿宋_GB2312" w:hAnsi="仿宋_GB2312" w:eastAsia="仿宋_GB2312" w:cs="仿宋_GB2312"/>
                <w:bCs/>
                <w:sz w:val="24"/>
              </w:rPr>
            </w:pPr>
            <w:r>
              <w:rPr>
                <w:rFonts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ascii="仿宋_GB2312" w:hAnsi="仿宋_GB2312" w:eastAsia="仿宋_GB2312" w:cs="仿宋_GB2312"/>
                <w:bCs/>
                <w:sz w:val="24"/>
              </w:rPr>
              <w:t>任意一项内容得</w:t>
            </w:r>
            <w:r>
              <w:rPr>
                <w:rFonts w:hint="eastAsia" w:ascii="仿宋_GB2312" w:hAnsi="仿宋_GB2312" w:eastAsia="仿宋_GB2312" w:cs="仿宋_GB2312"/>
                <w:bCs/>
                <w:sz w:val="24"/>
              </w:rPr>
              <w:t>4</w:t>
            </w:r>
            <w:r>
              <w:rPr>
                <w:rFonts w:ascii="仿宋_GB2312" w:hAnsi="仿宋_GB2312" w:eastAsia="仿宋_GB2312" w:cs="仿宋_GB2312"/>
                <w:bCs/>
                <w:sz w:val="24"/>
              </w:rPr>
              <w:t>分，最高</w:t>
            </w:r>
            <w:r>
              <w:rPr>
                <w:rFonts w:hint="eastAsia" w:ascii="仿宋_GB2312" w:hAnsi="仿宋_GB2312" w:eastAsia="仿宋_GB2312" w:cs="仿宋_GB2312"/>
                <w:bCs/>
                <w:sz w:val="24"/>
              </w:rPr>
              <w:t>16</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评分标准：</w:t>
            </w:r>
          </w:p>
          <w:p>
            <w:pPr>
              <w:rPr>
                <w:rFonts w:ascii="仿宋_GB2312" w:hAnsi="仿宋_GB2312" w:eastAsia="仿宋_GB2312" w:cs="仿宋_GB2312"/>
                <w:bCs/>
                <w:sz w:val="24"/>
              </w:rPr>
            </w:pPr>
            <w:r>
              <w:rPr>
                <w:rFonts w:ascii="仿宋_GB2312" w:hAnsi="仿宋_GB2312" w:eastAsia="仿宋_GB2312" w:cs="仿宋_GB2312"/>
                <w:bCs/>
                <w:sz w:val="24"/>
              </w:rPr>
              <w:t>由评标委员会对实施方案</w:t>
            </w:r>
            <w:r>
              <w:rPr>
                <w:rFonts w:hint="eastAsia" w:ascii="仿宋_GB2312" w:hAnsi="仿宋_GB2312" w:eastAsia="仿宋_GB2312" w:cs="仿宋_GB2312"/>
                <w:bCs/>
                <w:sz w:val="24"/>
              </w:rPr>
              <w:t>进一步</w:t>
            </w:r>
            <w:r>
              <w:rPr>
                <w:rFonts w:ascii="仿宋_GB2312" w:hAnsi="仿宋_GB2312" w:eastAsia="仿宋_GB2312" w:cs="仿宋_GB2312"/>
                <w:bCs/>
                <w:sz w:val="24"/>
              </w:rPr>
              <w:t>评审：</w:t>
            </w:r>
          </w:p>
          <w:p>
            <w:pPr>
              <w:rPr>
                <w:rFonts w:ascii="仿宋_GB2312" w:hAnsi="仿宋_GB2312" w:eastAsia="仿宋_GB2312" w:cs="仿宋_GB2312"/>
                <w:bCs/>
                <w:sz w:val="24"/>
              </w:rPr>
            </w:pPr>
            <w:r>
              <w:rPr>
                <w:rFonts w:ascii="仿宋_GB2312" w:hAnsi="仿宋_GB2312" w:eastAsia="仿宋_GB2312" w:cs="仿宋_GB2312"/>
                <w:bCs/>
                <w:sz w:val="24"/>
              </w:rPr>
              <w:t>（1）实施方案内容全面具体。</w:t>
            </w:r>
          </w:p>
          <w:p>
            <w:pPr>
              <w:rPr>
                <w:rFonts w:ascii="仿宋_GB2312" w:hAnsi="仿宋_GB2312" w:eastAsia="仿宋_GB2312" w:cs="仿宋_GB2312"/>
                <w:bCs/>
                <w:sz w:val="24"/>
              </w:rPr>
            </w:pPr>
            <w:r>
              <w:rPr>
                <w:rFonts w:ascii="仿宋_GB2312" w:hAnsi="仿宋_GB2312" w:eastAsia="仿宋_GB2312" w:cs="仿宋_GB2312"/>
                <w:bCs/>
                <w:sz w:val="24"/>
              </w:rPr>
              <w:t>（2）实施方案内容科学合理。</w:t>
            </w:r>
          </w:p>
          <w:p>
            <w:pPr>
              <w:rPr>
                <w:rFonts w:ascii="仿宋_GB2312" w:hAnsi="仿宋_GB2312" w:eastAsia="仿宋_GB2312" w:cs="仿宋_GB2312"/>
                <w:bCs/>
                <w:sz w:val="24"/>
              </w:rPr>
            </w:pPr>
            <w:r>
              <w:rPr>
                <w:rFonts w:ascii="仿宋_GB2312" w:hAnsi="仿宋_GB2312" w:eastAsia="仿宋_GB2312" w:cs="仿宋_GB2312"/>
                <w:bCs/>
                <w:sz w:val="24"/>
              </w:rPr>
              <w:t>（3）实施方案内容针对性强。</w:t>
            </w:r>
          </w:p>
          <w:p>
            <w:r>
              <w:rPr>
                <w:rFonts w:ascii="仿宋_GB2312" w:hAnsi="仿宋_GB2312" w:eastAsia="仿宋_GB2312" w:cs="仿宋_GB2312"/>
                <w:bCs/>
                <w:sz w:val="24"/>
              </w:rPr>
              <w:t>（4</w:t>
            </w:r>
            <w:r>
              <w:rPr>
                <w:rFonts w:hint="eastAsia" w:ascii="仿宋_GB2312" w:hAnsi="仿宋_GB2312" w:eastAsia="仿宋_GB2312" w:cs="仿宋_GB2312"/>
                <w:bCs/>
                <w:sz w:val="24"/>
                <w:lang w:eastAsia="zh-CN"/>
              </w:rPr>
              <w:t>）</w:t>
            </w:r>
            <w:r>
              <w:rPr>
                <w:rFonts w:ascii="仿宋_GB2312" w:hAnsi="仿宋_GB2312" w:eastAsia="仿宋_GB2312" w:cs="仿宋_GB2312"/>
                <w:bCs/>
                <w:sz w:val="24"/>
              </w:rPr>
              <w:t>实施方案内容可操作性强。（5）实施方案内容</w:t>
            </w:r>
            <w:r>
              <w:rPr>
                <w:rFonts w:hint="eastAsia" w:ascii="仿宋_GB2312" w:hAnsi="仿宋_GB2312" w:eastAsia="仿宋_GB2312" w:cs="仿宋_GB2312"/>
                <w:bCs/>
                <w:sz w:val="24"/>
              </w:rPr>
              <w:t>承办活动资源优势性强。</w:t>
            </w:r>
          </w:p>
          <w:p>
            <w:pPr>
              <w:rPr>
                <w:rFonts w:ascii="仿宋_GB2312" w:hAnsi="仿宋_GB2312" w:eastAsia="仿宋_GB2312" w:cs="仿宋_GB2312"/>
                <w:bCs/>
                <w:sz w:val="24"/>
              </w:rPr>
            </w:pPr>
            <w:r>
              <w:rPr>
                <w:rFonts w:ascii="仿宋_GB2312" w:hAnsi="仿宋_GB2312" w:eastAsia="仿宋_GB2312" w:cs="仿宋_GB2312"/>
                <w:bCs/>
                <w:sz w:val="24"/>
              </w:rPr>
              <w:t>优评分标准：满足以上五项要求的评价为优，得</w:t>
            </w:r>
            <w:r>
              <w:rPr>
                <w:rFonts w:hint="eastAsia" w:ascii="仿宋_GB2312" w:hAnsi="仿宋_GB2312" w:eastAsia="仿宋_GB2312" w:cs="仿宋_GB2312"/>
                <w:bCs/>
                <w:sz w:val="24"/>
              </w:rPr>
              <w:t>9</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良评分标准：满足以上四项要求的评价为良，得6分。</w:t>
            </w:r>
          </w:p>
          <w:p>
            <w:pPr>
              <w:rPr>
                <w:rFonts w:ascii="仿宋_GB2312" w:hAnsi="仿宋_GB2312" w:eastAsia="仿宋_GB2312" w:cs="仿宋_GB2312"/>
                <w:bCs/>
                <w:sz w:val="24"/>
              </w:rPr>
            </w:pPr>
            <w:r>
              <w:rPr>
                <w:rFonts w:ascii="仿宋_GB2312" w:hAnsi="仿宋_GB2312" w:eastAsia="仿宋_GB2312" w:cs="仿宋_GB2312"/>
                <w:bCs/>
                <w:sz w:val="24"/>
              </w:rPr>
              <w:t>中评分标准：满足以上三项要求的评价为中，得</w:t>
            </w:r>
            <w:r>
              <w:rPr>
                <w:rFonts w:hint="eastAsia" w:ascii="仿宋_GB2312" w:hAnsi="仿宋_GB2312" w:eastAsia="仿宋_GB2312" w:cs="仿宋_GB2312"/>
                <w:bCs/>
                <w:sz w:val="24"/>
              </w:rPr>
              <w:t>3</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4" w:hRule="atLeast"/>
        </w:trPr>
        <w:tc>
          <w:tcPr>
            <w:tcW w:w="519" w:type="dxa"/>
            <w:vAlign w:val="center"/>
          </w:tcPr>
          <w:p>
            <w:pPr>
              <w:jc w:val="center"/>
              <w:rPr>
                <w:rFonts w:ascii="仿宋_GB2312" w:hAnsi="仿宋_GB2312" w:eastAsia="仿宋_GB2312" w:cs="仿宋_GB2312"/>
                <w:bCs/>
                <w:sz w:val="24"/>
              </w:rPr>
            </w:pPr>
          </w:p>
        </w:tc>
        <w:tc>
          <w:tcPr>
            <w:tcW w:w="1569" w:type="dxa"/>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质量保障措施及方案（20分）</w:t>
            </w:r>
          </w:p>
        </w:tc>
        <w:tc>
          <w:tcPr>
            <w:tcW w:w="3165"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w:t>
            </w:r>
            <w:r>
              <w:rPr>
                <w:rFonts w:hint="eastAsia" w:ascii="仿宋_GB2312" w:hAnsi="仿宋_GB2312" w:eastAsia="仿宋_GB2312" w:cs="仿宋_GB2312"/>
                <w:bCs/>
                <w:sz w:val="24"/>
                <w:highlight w:val="none"/>
              </w:rPr>
              <w:t>标人需针对本项目提供质量（完成时间、安全）保障措施及方案内容包括</w:t>
            </w:r>
            <w:r>
              <w:rPr>
                <w:rFonts w:hint="eastAsia" w:ascii="仿宋_GB2312" w:hAnsi="仿宋_GB2312" w:eastAsia="仿宋_GB2312" w:cs="仿宋_GB2312"/>
                <w:bCs/>
                <w:sz w:val="24"/>
              </w:rPr>
              <w:t>但不限于：</w:t>
            </w:r>
          </w:p>
          <w:p>
            <w:pPr>
              <w:rPr>
                <w:rFonts w:ascii="仿宋_GB2312" w:hAnsi="仿宋_GB2312" w:eastAsia="仿宋_GB2312" w:cs="仿宋_GB2312"/>
                <w:bCs/>
                <w:sz w:val="24"/>
              </w:rPr>
            </w:pPr>
            <w:r>
              <w:rPr>
                <w:rFonts w:hint="eastAsia" w:ascii="仿宋_GB2312" w:hAnsi="仿宋_GB2312" w:eastAsia="仿宋_GB2312" w:cs="仿宋_GB2312"/>
                <w:bCs/>
                <w:sz w:val="24"/>
              </w:rPr>
              <w:t>（1）给出分阶段项目时间安排、工作进度；具备详细的完成时间保障措施；</w:t>
            </w:r>
          </w:p>
          <w:p>
            <w:pPr>
              <w:rPr>
                <w:rFonts w:ascii="仿宋_GB2312" w:hAnsi="仿宋_GB2312" w:eastAsia="仿宋_GB2312" w:cs="仿宋_GB2312"/>
                <w:bCs/>
                <w:sz w:val="24"/>
              </w:rPr>
            </w:pPr>
            <w:r>
              <w:rPr>
                <w:rFonts w:hint="eastAsia" w:ascii="仿宋_GB2312" w:hAnsi="仿宋_GB2312" w:eastAsia="仿宋_GB2312" w:cs="仿宋_GB2312"/>
                <w:bCs/>
                <w:sz w:val="24"/>
              </w:rPr>
              <w:t>（2）详细阐述项目人员管理措施；</w:t>
            </w:r>
          </w:p>
          <w:p>
            <w:pP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（3）详细阐述项目质量管理措施</w:t>
            </w:r>
            <w:r>
              <w:rPr>
                <w:rFonts w:hint="eastAsia" w:ascii="仿宋_GB2312" w:hAnsi="仿宋_GB2312" w:eastAsia="仿宋_GB2312" w:cs="仿宋_GB2312"/>
                <w:bCs/>
                <w:sz w:val="24"/>
                <w:lang w:eastAsia="zh-CN"/>
              </w:rPr>
              <w:t>。</w:t>
            </w:r>
          </w:p>
        </w:tc>
        <w:tc>
          <w:tcPr>
            <w:tcW w:w="349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hint="eastAsia" w:ascii="仿宋_GB2312" w:hAnsi="仿宋_GB2312" w:eastAsia="仿宋_GB2312" w:cs="仿宋_GB2312"/>
                <w:bCs/>
                <w:sz w:val="24"/>
              </w:rPr>
              <w:t>任意一项内容得4 分，最高12分。</w:t>
            </w:r>
          </w:p>
          <w:p>
            <w:pPr>
              <w:rPr>
                <w:rFonts w:ascii="仿宋_GB2312" w:hAnsi="仿宋_GB2312" w:eastAsia="仿宋_GB2312" w:cs="仿宋_GB2312"/>
                <w:bCs/>
                <w:sz w:val="24"/>
              </w:rPr>
            </w:pPr>
            <w:r>
              <w:rPr>
                <w:rFonts w:hint="eastAsia" w:ascii="仿宋_GB2312" w:hAnsi="仿宋_GB2312" w:eastAsia="仿宋_GB2312" w:cs="仿宋_GB2312"/>
                <w:bCs/>
                <w:sz w:val="24"/>
              </w:rPr>
              <w:t>评分标准：</w:t>
            </w:r>
          </w:p>
          <w:p>
            <w:pPr>
              <w:rPr>
                <w:rFonts w:ascii="仿宋_GB2312" w:hAnsi="仿宋_GB2312" w:eastAsia="仿宋_GB2312" w:cs="仿宋_GB2312"/>
                <w:bCs/>
                <w:sz w:val="24"/>
              </w:rPr>
            </w:pPr>
            <w:r>
              <w:rPr>
                <w:rFonts w:hint="eastAsia" w:ascii="仿宋_GB2312" w:hAnsi="仿宋_GB2312" w:eastAsia="仿宋_GB2312" w:cs="仿宋_GB2312"/>
                <w:bCs/>
                <w:sz w:val="24"/>
              </w:rPr>
              <w:t>在此基础上，由评标委员会对实施方案进一步评审：</w:t>
            </w:r>
          </w:p>
          <w:p>
            <w:pPr>
              <w:numPr>
                <w:ilvl w:val="0"/>
                <w:numId w:val="0"/>
              </w:numPr>
              <w:rPr>
                <w:rFonts w:ascii="仿宋_GB2312" w:hAnsi="仿宋_GB2312" w:eastAsia="仿宋_GB2312" w:cs="仿宋_GB2312"/>
                <w:bCs/>
                <w:sz w:val="24"/>
              </w:rPr>
            </w:pP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质量保障措施及方案内容全面。</w:t>
            </w:r>
          </w:p>
          <w:p>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2</w:t>
            </w:r>
            <w:r>
              <w:rPr>
                <w:rFonts w:hint="eastAsia" w:ascii="仿宋_GB2312" w:hAnsi="仿宋_GB2312" w:eastAsia="仿宋_GB2312" w:cs="仿宋_GB2312"/>
                <w:bCs/>
                <w:sz w:val="24"/>
              </w:rPr>
              <w:t>）质量保障措施及方案内容具体。</w:t>
            </w:r>
          </w:p>
          <w:p>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sz w:val="24"/>
              </w:rPr>
              <w:t>）质量保障措施及方案内容科学合理。</w:t>
            </w:r>
          </w:p>
          <w:p>
            <w:pPr>
              <w:rPr>
                <w:rFonts w:ascii="仿宋_GB2312" w:hAnsi="仿宋_GB2312" w:eastAsia="仿宋_GB2312" w:cs="仿宋_GB2312"/>
                <w:bCs/>
                <w:sz w:val="24"/>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）质量保障措施及方案内容针对性强。</w:t>
            </w:r>
          </w:p>
          <w:p>
            <w:pP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）质量保障措施及方案内容可操作性强。</w:t>
            </w:r>
          </w:p>
          <w:p>
            <w:pPr>
              <w:rPr>
                <w:rFonts w:ascii="仿宋_GB2312" w:hAnsi="仿宋_GB2312" w:eastAsia="仿宋_GB2312" w:cs="仿宋_GB2312"/>
                <w:bCs/>
                <w:sz w:val="24"/>
              </w:rPr>
            </w:pPr>
            <w:r>
              <w:rPr>
                <w:rFonts w:hint="eastAsia" w:ascii="仿宋_GB2312" w:hAnsi="仿宋_GB2312" w:eastAsia="仿宋_GB2312" w:cs="仿宋_GB2312"/>
                <w:bCs/>
                <w:sz w:val="24"/>
              </w:rPr>
              <w:t>优评分标准：满足以上五项要求的评价为优，得 8分。</w:t>
            </w:r>
          </w:p>
          <w:p>
            <w:pPr>
              <w:rPr>
                <w:rFonts w:ascii="仿宋_GB2312" w:hAnsi="仿宋_GB2312" w:eastAsia="仿宋_GB2312" w:cs="仿宋_GB2312"/>
                <w:bCs/>
                <w:sz w:val="24"/>
              </w:rPr>
            </w:pPr>
            <w:r>
              <w:rPr>
                <w:rFonts w:hint="eastAsia" w:ascii="仿宋_GB2312" w:hAnsi="仿宋_GB2312" w:eastAsia="仿宋_GB2312" w:cs="仿宋_GB2312"/>
                <w:bCs/>
                <w:sz w:val="24"/>
              </w:rPr>
              <w:t>良评分标准：满足以上四项要求的评价为良，得 6分。</w:t>
            </w:r>
          </w:p>
          <w:p>
            <w:pPr>
              <w:rPr>
                <w:rFonts w:ascii="仿宋_GB2312" w:hAnsi="仿宋_GB2312" w:eastAsia="仿宋_GB2312" w:cs="仿宋_GB2312"/>
                <w:bCs/>
                <w:sz w:val="24"/>
              </w:rPr>
            </w:pPr>
            <w:r>
              <w:rPr>
                <w:rFonts w:hint="eastAsia" w:ascii="仿宋_GB2312" w:hAnsi="仿宋_GB2312" w:eastAsia="仿宋_GB2312" w:cs="仿宋_GB2312"/>
                <w:bCs/>
                <w:sz w:val="24"/>
              </w:rPr>
              <w:t>中评分标准：满足以上三项要求的评价为中，得 4分。</w:t>
            </w:r>
          </w:p>
          <w:p>
            <w:pPr>
              <w:rPr>
                <w:rFonts w:ascii="仿宋_GB2312" w:hAnsi="仿宋_GB2312" w:eastAsia="仿宋_GB2312" w:cs="仿宋_GB2312"/>
                <w:bCs/>
                <w:sz w:val="24"/>
              </w:rPr>
            </w:pPr>
            <w:r>
              <w:rPr>
                <w:rFonts w:hint="eastAsia" w:ascii="仿宋_GB2312" w:hAnsi="仿宋_GB2312" w:eastAsia="仿宋_GB2312" w:cs="仿宋_GB2312"/>
                <w:bCs/>
                <w:sz w:val="24"/>
              </w:rPr>
              <w:t>差评分标准：上述情况之外的，评差不得分。</w:t>
            </w:r>
          </w:p>
        </w:tc>
      </w:tr>
    </w:tbl>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3.报价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以本次报价或投标人所报的有效报价中的最低价作为基准报价。投标人报价得分=（基准价/投标人报价）*30分。</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（四）供应商提供资料清单</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1.营业执照、事业法人证书、社会团体法人登记证书（加盖公章）；</w:t>
      </w:r>
    </w:p>
    <w:p>
      <w:pPr>
        <w:spacing w:line="560" w:lineRule="exact"/>
        <w:ind w:firstLine="640" w:firstLineChars="200"/>
      </w:pPr>
      <w:r>
        <w:rPr>
          <w:rFonts w:hint="eastAsia" w:ascii="仿宋_GB2312" w:hAnsi="仿宋" w:eastAsia="仿宋_GB2312" w:cs="Times New Roman"/>
          <w:sz w:val="32"/>
        </w:rPr>
        <w:t>2.法定代表人身份证复印件（加盖公章）；</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3.项目报价清单（加盖公章）；</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5.《供应商基本情况表》（加盖公章，详见附件）。</w:t>
      </w:r>
    </w:p>
    <w:p>
      <w:pPr>
        <w:pStyle w:val="4"/>
        <w:spacing w:after="0" w:line="560" w:lineRule="exact"/>
        <w:ind w:left="0" w:leftChars="0" w:right="0" w:rightChars="0" w:firstLine="640"/>
        <w:rPr>
          <w:rFonts w:ascii="仿宋_GB2312" w:hAnsi="仿宋" w:eastAsia="仿宋_GB2312" w:cs="Times New Roman"/>
          <w:sz w:val="32"/>
        </w:rPr>
      </w:pPr>
    </w:p>
    <w:p>
      <w:pPr>
        <w:pStyle w:val="4"/>
        <w:spacing w:after="0" w:line="560" w:lineRule="exact"/>
        <w:ind w:left="0" w:leftChars="0" w:right="0" w:rightChars="0" w:firstLine="640"/>
        <w:rPr>
          <w:rFonts w:hint="default" w:ascii="仿宋_GB2312" w:hAnsi="仿宋" w:eastAsia="仿宋_GB2312" w:cs="Times New Roman"/>
          <w:sz w:val="32"/>
          <w:lang w:val="en-US" w:eastAsia="zh-CN"/>
        </w:rPr>
      </w:pPr>
      <w:r>
        <w:rPr>
          <w:rFonts w:hint="eastAsia" w:ascii="仿宋_GB2312" w:hAnsi="仿宋" w:eastAsia="仿宋_GB2312" w:cs="Times New Roman"/>
          <w:sz w:val="32"/>
        </w:rPr>
        <w:t>注：供应商需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color w:val="000000"/>
          <w:kern w:val="0"/>
          <w:sz w:val="32"/>
          <w:szCs w:val="32"/>
        </w:rPr>
        <w:t>2025年“文体四季·YUE动龙华”系列活动——“周末喜乐汇”</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4"/>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ascii="仿宋_GB2312" w:hAnsi="仿宋" w:eastAsia="仿宋_GB2312" w:cs="Times New Roman"/>
          <w:sz w:val="32"/>
        </w:rPr>
      </w:pPr>
      <w:bookmarkStart w:id="5" w:name="_GoBack"/>
      <w:r>
        <w:rPr>
          <w:rFonts w:hint="eastAsia" w:ascii="仿宋_GB2312" w:hAnsi="仿宋" w:eastAsia="仿宋_GB2312" w:cs="Times New Roman"/>
          <w:sz w:val="32"/>
        </w:rPr>
        <w:t>地址：</w:t>
      </w:r>
      <w:bookmarkStart w:id="4"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4"/>
    </w:p>
    <w:p>
      <w:pPr>
        <w:pStyle w:val="15"/>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_GB2312" w:hAnsi="仿宋" w:eastAsia="仿宋_GB2312" w:cs="Times New Roman"/>
          <w:sz w:val="32"/>
        </w:rPr>
      </w:pPr>
      <w:r>
        <w:rPr>
          <w:rFonts w:hint="eastAsia" w:ascii="仿宋_GB2312" w:hAnsi="仿宋" w:eastAsia="仿宋_GB2312" w:cs="Times New Roman"/>
          <w:sz w:val="32"/>
        </w:rPr>
        <w:t>收件人：吴先生</w:t>
      </w:r>
    </w:p>
    <w:p>
      <w:pPr>
        <w:keepNext w:val="0"/>
        <w:keepLines w:val="0"/>
        <w:pageBreakBefore w:val="0"/>
        <w:widowControl w:val="0"/>
        <w:kinsoku/>
        <w:wordWrap/>
        <w:overflowPunct/>
        <w:topLinePunct w:val="0"/>
        <w:autoSpaceDE/>
        <w:autoSpaceDN/>
        <w:bidi w:val="0"/>
        <w:adjustRightInd w:val="0"/>
        <w:snapToGrid/>
        <w:ind w:firstLine="640" w:firstLineChars="200"/>
        <w:jc w:val="left"/>
        <w:textAlignment w:val="auto"/>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bookmarkEnd w:id="5"/>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w:t>
      </w:r>
    </w:p>
    <w:p>
      <w:pPr>
        <w:pStyle w:val="8"/>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0"/>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1"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312" w:type="dxa"/>
            <w:gridSpan w:val="2"/>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vAlign w:val="center"/>
          </w:tcPr>
          <w:p>
            <w:pPr>
              <w:jc w:val="left"/>
              <w:rPr>
                <w:rFonts w:ascii="方正仿宋_GBK" w:hAnsi="方正仿宋_GBK" w:eastAsia="方正仿宋_GBK" w:cs="方正仿宋_GBK"/>
                <w:sz w:val="24"/>
              </w:rPr>
            </w:pPr>
          </w:p>
        </w:tc>
        <w:tc>
          <w:tcPr>
            <w:tcW w:w="1991"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312" w:type="dxa"/>
            <w:gridSpan w:val="2"/>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37" w:type="dxa"/>
            <w:gridSpan w:val="8"/>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812"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p>
        </w:tc>
        <w:tc>
          <w:tcPr>
            <w:tcW w:w="1500" w:type="dxa"/>
            <w:vAlign w:val="center"/>
          </w:tcPr>
          <w:p>
            <w:pPr>
              <w:jc w:val="left"/>
              <w:rPr>
                <w:rFonts w:ascii="方正仿宋_GBK" w:hAnsi="方正仿宋_GBK" w:eastAsia="方正仿宋_GBK" w:cs="方正仿宋_GBK"/>
                <w:sz w:val="24"/>
              </w:rPr>
            </w:pPr>
          </w:p>
        </w:tc>
        <w:tc>
          <w:tcPr>
            <w:tcW w:w="1812" w:type="dxa"/>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vAlign w:val="center"/>
          </w:tcPr>
          <w:p>
            <w:pPr>
              <w:pStyle w:val="2"/>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p>
        </w:tc>
        <w:tc>
          <w:tcPr>
            <w:tcW w:w="1500" w:type="dxa"/>
            <w:vAlign w:val="center"/>
          </w:tcPr>
          <w:p>
            <w:pPr>
              <w:jc w:val="left"/>
              <w:rPr>
                <w:rFonts w:ascii="方正仿宋_GBK" w:hAnsi="方正仿宋_GBK" w:eastAsia="方正仿宋_GBK" w:cs="方正仿宋_GBK"/>
                <w:sz w:val="24"/>
              </w:rPr>
            </w:pPr>
          </w:p>
        </w:tc>
        <w:tc>
          <w:tcPr>
            <w:tcW w:w="1812" w:type="dxa"/>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37" w:type="dxa"/>
            <w:gridSpan w:val="8"/>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512" w:type="dxa"/>
            <w:gridSpan w:val="3"/>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4"/>
        <w:spacing w:after="0" w:line="560" w:lineRule="exact"/>
        <w:ind w:left="0" w:leftChars="0" w:right="0" w:rightChars="0"/>
        <w:rPr>
          <w:rFonts w:ascii="仿宋_GB2312" w:hAnsi="仿宋" w:eastAsia="仿宋_GB2312" w:cs="Times New Roman"/>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jMzMTZmMjc5ZmNlOTEwMTNiNDgwYzg5OWRkYjAifQ=="/>
    <w:docVar w:name="KSO_WPS_MARK_KEY" w:val="d28bc483-413f-41c0-992e-3806d3aeebb6"/>
  </w:docVars>
  <w:rsids>
    <w:rsidRoot w:val="06A51632"/>
    <w:rsid w:val="00295EF0"/>
    <w:rsid w:val="0070080B"/>
    <w:rsid w:val="00713B25"/>
    <w:rsid w:val="00C27156"/>
    <w:rsid w:val="00E1350D"/>
    <w:rsid w:val="00F44D16"/>
    <w:rsid w:val="00FA70C9"/>
    <w:rsid w:val="00FF4A49"/>
    <w:rsid w:val="0109531D"/>
    <w:rsid w:val="02072325"/>
    <w:rsid w:val="02590E63"/>
    <w:rsid w:val="04BC4490"/>
    <w:rsid w:val="06231E4A"/>
    <w:rsid w:val="06A51632"/>
    <w:rsid w:val="100B0368"/>
    <w:rsid w:val="17091D01"/>
    <w:rsid w:val="18454E55"/>
    <w:rsid w:val="1AF95904"/>
    <w:rsid w:val="1D655C40"/>
    <w:rsid w:val="1F4303AF"/>
    <w:rsid w:val="1FAD0CAB"/>
    <w:rsid w:val="22466F3D"/>
    <w:rsid w:val="24883C59"/>
    <w:rsid w:val="24FF2DC6"/>
    <w:rsid w:val="28120E46"/>
    <w:rsid w:val="291853E7"/>
    <w:rsid w:val="2A2C4D44"/>
    <w:rsid w:val="2AA33A14"/>
    <w:rsid w:val="2FB14853"/>
    <w:rsid w:val="312D39F9"/>
    <w:rsid w:val="316F741E"/>
    <w:rsid w:val="31F830D6"/>
    <w:rsid w:val="33C30645"/>
    <w:rsid w:val="342310E4"/>
    <w:rsid w:val="358C6714"/>
    <w:rsid w:val="388177F2"/>
    <w:rsid w:val="38DA439C"/>
    <w:rsid w:val="3A6D21CF"/>
    <w:rsid w:val="3F316DAB"/>
    <w:rsid w:val="474E5135"/>
    <w:rsid w:val="49B32E40"/>
    <w:rsid w:val="505F3056"/>
    <w:rsid w:val="51E0071F"/>
    <w:rsid w:val="53ABBCBF"/>
    <w:rsid w:val="548C2080"/>
    <w:rsid w:val="596A6270"/>
    <w:rsid w:val="59E9098B"/>
    <w:rsid w:val="5EC048C8"/>
    <w:rsid w:val="5EC16571"/>
    <w:rsid w:val="62127FE9"/>
    <w:rsid w:val="627F5974"/>
    <w:rsid w:val="62841777"/>
    <w:rsid w:val="636D2D43"/>
    <w:rsid w:val="67922B7F"/>
    <w:rsid w:val="69265FFB"/>
    <w:rsid w:val="6B231FA9"/>
    <w:rsid w:val="6C621A04"/>
    <w:rsid w:val="6D613BCF"/>
    <w:rsid w:val="71B66B18"/>
    <w:rsid w:val="720F001C"/>
    <w:rsid w:val="72D130E6"/>
    <w:rsid w:val="74C432FA"/>
    <w:rsid w:val="75F66D43"/>
    <w:rsid w:val="760A57C3"/>
    <w:rsid w:val="7A794B87"/>
    <w:rsid w:val="7ADA3941"/>
    <w:rsid w:val="7C6F4493"/>
    <w:rsid w:val="7D0D15B6"/>
    <w:rsid w:val="7F7B4EFD"/>
    <w:rsid w:val="8F2F4EC3"/>
    <w:rsid w:val="A3B55153"/>
    <w:rsid w:val="DFFF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Plain Text"/>
    <w:basedOn w:val="1"/>
    <w:unhideWhenUsed/>
    <w:qFormat/>
    <w:uiPriority w:val="99"/>
    <w:rPr>
      <w:rFonts w:ascii="宋体" w:hAnsi="Calibri"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USE 1"/>
    <w:basedOn w:val="1"/>
    <w:qFormat/>
    <w:uiPriority w:val="0"/>
    <w:pPr>
      <w:spacing w:line="200" w:lineRule="atLeast"/>
      <w:jc w:val="left"/>
    </w:pPr>
    <w:rPr>
      <w:rFonts w:ascii="宋体" w:hAnsi="宋体"/>
      <w:b/>
      <w:sz w:val="24"/>
      <w:szCs w:val="28"/>
    </w:rPr>
  </w:style>
  <w:style w:type="paragraph" w:customStyle="1" w:styleId="14">
    <w:name w:val="_Style 1"/>
    <w:basedOn w:val="1"/>
    <w:qFormat/>
    <w:uiPriority w:val="0"/>
    <w:pPr>
      <w:ind w:firstLine="200" w:firstLineChars="200"/>
    </w:pPr>
    <w:rPr>
      <w:rFonts w:ascii="宋体" w:hAnsi="宋体" w:eastAsia="FangSong_GB2312" w:cs="Times New Roman"/>
      <w:sz w:val="32"/>
      <w:szCs w:val="32"/>
    </w:rPr>
  </w:style>
  <w:style w:type="paragraph" w:customStyle="1" w:styleId="15">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3002</Words>
  <Characters>3102</Characters>
  <Lines>23</Lines>
  <Paragraphs>6</Paragraphs>
  <TotalTime>31</TotalTime>
  <ScaleCrop>false</ScaleCrop>
  <LinksUpToDate>false</LinksUpToDate>
  <CharactersWithSpaces>3122</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2024-04-16T10:50:00Z</dcterms:created>
  <dc:creator>JOCHUNG</dc:creator>
  <cp:lastModifiedBy>lxy</cp:lastModifiedBy>
  <cp:lastPrinted>2025-04-09T11:12:00Z</cp:lastPrinted>
  <dcterms:modified xsi:type="dcterms:W3CDTF">2025-04-09T17:38:58Z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35B328C4869E47D99AEB03693A75FDFB</vt:lpwstr>
  </property>
  <property fmtid="{D5CDD505-2E9C-101B-9397-08002B2CF9AE}" pid="4" name="KSOTemplateDocerSaveRecord">
    <vt:lpwstr>eyJoZGlkIjoiNDUwOTk5NjBiYjlkZWM3ZDVlMmQzYmJkYzg2YTQwZGUiLCJ1c2VySWQiOiIzNjM1MjI3MjUifQ==</vt:lpwstr>
  </property>
</Properties>
</file>