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w:t>
      </w:r>
      <w:r>
        <w:rPr>
          <w:rFonts w:hint="default"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lang w:val="en-US" w:eastAsia="zh-CN"/>
        </w:rPr>
        <w:t>年龙华区文旅原创短视频</w:t>
      </w:r>
    </w:p>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服务项目需求书</w:t>
      </w:r>
    </w:p>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numPr>
          <w:ilvl w:val="0"/>
          <w:numId w:val="1"/>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spacing w:val="-1"/>
          <w:sz w:val="32"/>
          <w:szCs w:val="32"/>
        </w:rPr>
      </w:pPr>
      <w:r>
        <w:rPr>
          <w:rFonts w:hint="eastAsia" w:ascii="黑体" w:hAnsi="黑体" w:eastAsia="黑体" w:cs="黑体"/>
          <w:bCs/>
          <w:color w:val="auto"/>
          <w:sz w:val="32"/>
          <w:szCs w:val="32"/>
        </w:rPr>
        <w:t>项目目标</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color w:val="auto"/>
          <w:kern w:val="2"/>
          <w:sz w:val="32"/>
          <w:szCs w:val="32"/>
          <w:lang w:val="en-US" w:eastAsia="zh-Hans" w:bidi="ar-SA"/>
        </w:rPr>
        <w:t>深度挖掘龙华区丰富的历史文化、城区风光、民俗风情、特色美食、现代科技等文旅资源，通过制作并推广高质量原创短视频，突破传统宣传模式，融入互动和趣味元素，借助AI等新技术提升沉浸感，在抖音、小红书、微信视频号等主流平台精准推广，提升龙华区文旅的影响力与知名度，塑造具有高辨识度的本地文旅品牌，推动城区旅游经济繁荣发展。</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项目内容及要求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服务内容</w:t>
      </w:r>
    </w:p>
    <w:p>
      <w:pPr>
        <w:pStyle w:val="14"/>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lang w:val="en-US" w:eastAsia="zh-CN"/>
        </w:rPr>
        <w:t>主题策划与视频制作。依据热门趋势和受众喜好，策划如“探秘龙华古村落”“龙华美食地图”等不少于4个主题。使用高清设备与先进技术实地视频拍摄，全年度制作不少于150条高质量短视频，单条视频时长30秒至5分钟。后期创意剪辑，添加适配音乐、字幕、特效，融入互动和趣味内容，结合AI等新技术增强沉浸感。</w:t>
      </w:r>
    </w:p>
    <w:p>
      <w:pPr>
        <w:pStyle w:val="7"/>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lang w:val="en-US" w:eastAsia="zh-CN"/>
        </w:rPr>
        <w:t>平台推广。在抖音、小红书、微信视频号等主流平台发布视频，依据平台算法精准推广，根据数据反馈优化推广策略，提升曝光量、播放量和互动量。</w:t>
      </w:r>
    </w:p>
    <w:p>
      <w:pPr>
        <w:pStyle w:val="3"/>
        <w:ind w:left="0" w:leftChars="0" w:firstLine="0" w:firstLineChars="0"/>
        <w:rPr>
          <w:rFonts w:hint="default"/>
          <w:lang w:val="en-US" w:eastAsia="zh-CN"/>
        </w:rPr>
      </w:pPr>
      <w:r>
        <w:rPr>
          <w:rFonts w:hint="eastAsia" w:ascii="仿宋_GB2312" w:hAnsi="仿宋_GB2312" w:eastAsia="仿宋_GB2312" w:cs="仿宋_GB2312"/>
          <w:color w:val="auto"/>
          <w:sz w:val="32"/>
          <w:szCs w:val="32"/>
          <w:lang w:val="en-US" w:eastAsia="zh-CN"/>
        </w:rPr>
        <w:t xml:space="preserve">    3.平面宣传物料设计。遇重大活动、重要节日，应配合主办方制作相关海报，做好宣传推广工作。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专员配置：团队需为本单位安排不少于两位项目专员，人员应涵盖熟悉各平台特性的编导策划、视频摄制、账号管理、后期制作包装、平面设计等专业领域。驻点专员之一需具备出镜能力，能够根据项目需要参与视频的拍摄与展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2.工作地点与设备提供：所有驻点项目专员需进驻本单位办公，严格落实本单位的统筹策划和工作要求。同时，团队需提供摄像器材、剪辑工作站等内容生产设备，保障项目的顺利开展。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3.视频内容更新与互动：服务机构需围绕龙华区文体旅等方面题材，每年度更新发布不少于150条符合工作要求的视频。同时，对粉丝的留言、评论进行认真筛选，并积极互动，提升账号的活跃度和粉丝粘性。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4.活动拍摄与直播配合：根据本单位需要，不定时（含周末及节假日）配合政务等活动的现场拍摄、直播工作，确保高效完成宣传任务。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5.平面宣传物料设计：服务机构需具备专业的平面设计能力，不定时更新设计账号形象。遇重大活动、重要节日，应配合主办方制作相关海报，做好宣传推广工作。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6.风险应对与责任承担：承接本项目的团队应有成熟的视频拍摄经验，制定详细的风险预案，以应对技术故障、舆情危机等潜在风险。在项目执行过程中，本项目的团队需全程介入处理相关</w:t>
      </w:r>
      <w:r>
        <w:rPr>
          <w:rFonts w:hint="eastAsia" w:ascii="仿宋_GB2312" w:hAnsi="仿宋_GB2312" w:eastAsia="仿宋_GB2312" w:cs="仿宋_GB2312"/>
          <w:color w:val="auto"/>
          <w:sz w:val="32"/>
          <w:szCs w:val="32"/>
          <w:highlight w:val="none"/>
          <w:lang w:val="en-US" w:eastAsia="zh-CN"/>
        </w:rPr>
        <w:t>问题，并承担相应责任。</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leftChars="200" w:firstLine="320" w:firstLineChars="1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报价限额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47万元，供应商报价项目表与下表内项目保持一致。</w:t>
      </w:r>
    </w:p>
    <w:tbl>
      <w:tblPr>
        <w:tblStyle w:val="1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内容</w:t>
            </w:r>
          </w:p>
        </w:tc>
        <w:tc>
          <w:tcPr>
            <w:tcW w:w="5488"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991" w:type="dxa"/>
            <w:vMerge w:val="restart"/>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项目专员</w:t>
            </w:r>
          </w:p>
        </w:tc>
        <w:tc>
          <w:tcPr>
            <w:tcW w:w="5488" w:type="dxa"/>
            <w:vMerge w:val="restart"/>
            <w:noWrap w:val="0"/>
            <w:vAlign w:val="center"/>
          </w:tcPr>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不少于两位项目专员（含具备出镜能力的驻点专员），涵盖编导策划、文案撰写、视频摄制等专业领域，驻点办公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1" w:type="dxa"/>
            <w:vMerge w:val="continue"/>
            <w:noWrap w:val="0"/>
            <w:vAlign w:val="center"/>
          </w:tcPr>
          <w:p>
            <w:pPr>
              <w:jc w:val="center"/>
              <w:rPr>
                <w:rFonts w:hint="eastAsia" w:ascii="仿宋_GB2312" w:eastAsia="仿宋_GB2312"/>
                <w:sz w:val="32"/>
                <w:szCs w:val="32"/>
                <w:lang w:val="en-US" w:eastAsia="zh-CN"/>
              </w:rPr>
            </w:pPr>
          </w:p>
        </w:tc>
        <w:tc>
          <w:tcPr>
            <w:tcW w:w="5488" w:type="dxa"/>
            <w:vMerge w:val="continue"/>
            <w:noWrap w:val="0"/>
            <w:vAlign w:val="center"/>
          </w:tcPr>
          <w:p>
            <w:pPr>
              <w:jc w:val="left"/>
              <w:rPr>
                <w:rFonts w:hint="eastAsia"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视频内容创作</w:t>
            </w:r>
          </w:p>
        </w:tc>
        <w:tc>
          <w:tcPr>
            <w:tcW w:w="5488" w:type="dxa"/>
            <w:noWrap w:val="0"/>
            <w:vAlign w:val="center"/>
          </w:tcPr>
          <w:p>
            <w:pPr>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围绕龙华区文体旅题材，全年度不少于150条符合要求视频的策划、拍摄、制作、发布及粉丝互动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活动拍摄与直播</w:t>
            </w:r>
          </w:p>
        </w:tc>
        <w:tc>
          <w:tcPr>
            <w:tcW w:w="5488" w:type="dxa"/>
            <w:noWrap w:val="0"/>
            <w:vAlign w:val="center"/>
          </w:tcPr>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不定时（含周末及节假日）配合政务等活动现场拍摄、直播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平面设计服务</w:t>
            </w:r>
          </w:p>
        </w:tc>
        <w:tc>
          <w:tcPr>
            <w:tcW w:w="5488" w:type="dxa"/>
            <w:noWrap w:val="0"/>
            <w:vAlign w:val="center"/>
          </w:tcPr>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不定时更新账号形象，重大活动、节日制作海报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供应商报价（万元）</w:t>
            </w:r>
          </w:p>
        </w:tc>
        <w:tc>
          <w:tcPr>
            <w:tcW w:w="5488" w:type="dxa"/>
            <w:noWrap w:val="0"/>
            <w:vAlign w:val="center"/>
          </w:tcPr>
          <w:p>
            <w:pPr>
              <w:jc w:val="left"/>
              <w:rPr>
                <w:rFonts w:hint="default" w:ascii="仿宋_GB2312" w:eastAsia="仿宋_GB2312"/>
                <w:sz w:val="32"/>
                <w:szCs w:val="32"/>
                <w:lang w:val="en-US" w:eastAsia="zh-CN"/>
              </w:rPr>
            </w:pPr>
            <w:r>
              <w:rPr>
                <w:rFonts w:hint="eastAsia" w:ascii="仿宋_GB2312" w:eastAsia="仿宋_GB2312"/>
                <w:sz w:val="32"/>
                <w:szCs w:val="32"/>
                <w:lang w:val="en-US" w:eastAsia="zh-CN"/>
              </w:rPr>
              <w:t>______</w:t>
            </w:r>
          </w:p>
        </w:tc>
      </w:tr>
    </w:tbl>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lang w:eastAsia="zh-CN"/>
        </w:rPr>
        <w:t>四</w:t>
      </w:r>
      <w:r>
        <w:rPr>
          <w:rFonts w:hint="eastAsia" w:ascii="黑体" w:hAnsi="黑体" w:eastAsia="黑体" w:cs="黑体"/>
          <w:bCs/>
          <w:color w:val="auto"/>
          <w:sz w:val="32"/>
          <w:szCs w:val="32"/>
          <w:highlight w:val="none"/>
        </w:rPr>
        <w:t>、</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（1）在中国境内注册的独立法人或其他组织（提供营业执照、事业法人证书、社会团体法人登记证书等扫描件）；</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bookmarkStart w:id="1" w:name="_GoBack"/>
      <w:bookmarkEnd w:id="1"/>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eastAsia="仿宋_GB2312" w:cs="仿宋"/>
          <w:color w:val="auto"/>
          <w:sz w:val="32"/>
          <w:szCs w:val="32"/>
          <w:highlight w:val="none"/>
        </w:rPr>
        <w:t>。</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、选定供应商方法</w:t>
      </w:r>
    </w:p>
    <w:p>
      <w:pPr>
        <w:keepNext w:val="0"/>
        <w:keepLines w:val="0"/>
        <w:pageBreakBefore w:val="0"/>
        <w:tabs>
          <w:tab w:val="left" w:pos="1820"/>
        </w:tabs>
        <w:kinsoku/>
        <w:wordWrap/>
        <w:overflowPunct/>
        <w:topLinePunct w:val="0"/>
        <w:bidi w:val="0"/>
        <w:adjustRightInd w:val="0"/>
        <w:snapToGrid w:val="0"/>
        <w:spacing w:line="560" w:lineRule="exact"/>
        <w:ind w:firstLine="640" w:firstLineChars="200"/>
        <w:rPr>
          <w:rFonts w:hint="default" w:ascii="仿宋_GB2312" w:hAnsi="仿宋" w:eastAsia="仿宋_GB2312"/>
          <w:color w:val="auto"/>
          <w:sz w:val="32"/>
          <w:highlight w:val="none"/>
          <w:lang w:val="en-US" w:eastAsia="zh-CN"/>
        </w:rPr>
      </w:pPr>
      <w:r>
        <w:rPr>
          <w:rFonts w:hint="eastAsia" w:ascii="仿宋_GB2312" w:hAnsi="仿宋" w:eastAsia="仿宋_GB2312"/>
          <w:color w:val="auto"/>
          <w:sz w:val="32"/>
          <w:highlight w:val="none"/>
        </w:rPr>
        <w:t>综合评分法</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、评分要求</w:t>
      </w:r>
    </w:p>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（一）评分规则</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val="en-US" w:eastAsia="zh-CN"/>
        </w:rPr>
        <w:t>得分</w:t>
      </w:r>
      <w:r>
        <w:rPr>
          <w:rFonts w:hint="eastAsia" w:ascii="仿宋_GB2312" w:eastAsia="仿宋_GB2312"/>
          <w:color w:val="auto"/>
          <w:sz w:val="32"/>
          <w:szCs w:val="32"/>
          <w:highlight w:val="none"/>
        </w:rPr>
        <w:t>最高的投标人为本项目中标人。</w:t>
      </w:r>
    </w:p>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（二）评分权重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246"/>
        <w:gridCol w:w="18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评分内容</w:t>
            </w:r>
          </w:p>
        </w:tc>
        <w:tc>
          <w:tcPr>
            <w:tcW w:w="2246"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商务能力</w:t>
            </w:r>
          </w:p>
        </w:tc>
        <w:tc>
          <w:tcPr>
            <w:tcW w:w="1890"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技术能力</w:t>
            </w:r>
          </w:p>
        </w:tc>
        <w:tc>
          <w:tcPr>
            <w:tcW w:w="1785"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分值</w:t>
            </w:r>
          </w:p>
        </w:tc>
        <w:tc>
          <w:tcPr>
            <w:tcW w:w="2246"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30分</w:t>
            </w:r>
          </w:p>
        </w:tc>
        <w:tc>
          <w:tcPr>
            <w:tcW w:w="1890"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40分</w:t>
            </w:r>
          </w:p>
        </w:tc>
        <w:tc>
          <w:tcPr>
            <w:tcW w:w="1785"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30分</w:t>
            </w:r>
          </w:p>
        </w:tc>
      </w:tr>
    </w:tbl>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（三）评分标准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1.商务能力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3119" w:type="dxa"/>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9" w:type="dxa"/>
            <w:vMerge w:val="restart"/>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商务</w:t>
            </w:r>
            <w:r>
              <w:rPr>
                <w:rFonts w:hint="eastAsia" w:ascii="仿宋_GB2312" w:hAnsi="仿宋_GB2312" w:eastAsia="仿宋_GB2312" w:cs="仿宋_GB2312"/>
                <w:bCs/>
                <w:color w:val="auto"/>
                <w:sz w:val="24"/>
                <w:szCs w:val="24"/>
                <w:highlight w:val="none"/>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同类业绩（</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投标团队项目业绩涵盖宣传推广类、视频拍摄制作类等服务，每提供一个同类业务证明得5分，满分10分。</w:t>
            </w:r>
          </w:p>
        </w:tc>
        <w:tc>
          <w:tcPr>
            <w:tcW w:w="3119" w:type="dxa"/>
            <w:noWrap w:val="0"/>
            <w:vAlign w:val="center"/>
          </w:tcPr>
          <w:p>
            <w:pPr>
              <w:numPr>
                <w:ilvl w:val="0"/>
                <w:numId w:val="0"/>
              </w:numPr>
              <w:spacing w:line="276" w:lineRule="auto"/>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需提供项目合同关键页或中标通知书复印件或合同甲方出具的证明文件并加盖投标人公章</w:t>
            </w:r>
          </w:p>
          <w:p>
            <w:pPr>
              <w:numPr>
                <w:ilvl w:val="0"/>
                <w:numId w:val="0"/>
              </w:num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拟安排的项目团队成员情况（</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团队成员包含新闻传播、广播电视编导、数字媒体技术、摄影摄像、</w:t>
            </w:r>
            <w:r>
              <w:rPr>
                <w:rFonts w:hint="eastAsia" w:ascii="仿宋_GB2312" w:hAnsi="仿宋_GB2312" w:eastAsia="仿宋_GB2312" w:cs="仿宋_GB2312"/>
                <w:bCs/>
                <w:color w:val="auto"/>
                <w:sz w:val="24"/>
                <w:szCs w:val="24"/>
                <w:highlight w:val="none"/>
                <w:lang w:val="en-US" w:eastAsia="zh-CN"/>
              </w:rPr>
              <w:t>播音主持</w:t>
            </w:r>
            <w:r>
              <w:rPr>
                <w:rFonts w:hint="eastAsia" w:ascii="仿宋_GB2312" w:hAnsi="仿宋_GB2312" w:eastAsia="仿宋_GB2312" w:cs="仿宋_GB2312"/>
                <w:bCs/>
                <w:color w:val="auto"/>
                <w:sz w:val="24"/>
                <w:szCs w:val="24"/>
                <w:highlight w:val="none"/>
              </w:rPr>
              <w:t>相关专业领域人员，满足1个专业领域要求得2分，重复专业领域不得分，满分10分。</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需提供相关人员学历证明（毕业证，专业以毕业证书为准）复印件并加盖投标人公章。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诚信评价</w:t>
            </w:r>
          </w:p>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投标人在参与政府采购活动中不存在诚信相关问题且不在主管部门相关处理措施实施期限内的。</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提供《诚信承诺书》得5分，详见附件1，未提供或内容不符不得分。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服务承诺</w:t>
            </w:r>
          </w:p>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（5分）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根据对项目的理解及自身管理经验，提出项目完成的服务承诺。</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提供《服务承诺书》得5分，未提供或内容不符不得分。</w:t>
            </w:r>
          </w:p>
        </w:tc>
      </w:tr>
    </w:tbl>
    <w:p>
      <w:pPr>
        <w:keepNext w:val="0"/>
        <w:keepLines w:val="0"/>
        <w:pageBreakBefore w:val="0"/>
        <w:kinsoku/>
        <w:wordWrap/>
        <w:overflowPunct/>
        <w:topLinePunct w:val="0"/>
        <w:bidi w:val="0"/>
        <w:spacing w:line="560" w:lineRule="exact"/>
        <w:ind w:firstLine="480" w:firstLineChars="200"/>
        <w:rPr>
          <w:rFonts w:hint="eastAsia" w:ascii="仿宋_GB2312" w:eastAsia="仿宋_GB2312"/>
          <w:color w:val="auto"/>
          <w:sz w:val="32"/>
          <w:szCs w:val="32"/>
          <w:highlight w:val="none"/>
        </w:rPr>
      </w:pPr>
      <w:r>
        <w:rPr>
          <w:rFonts w:hint="eastAsia" w:ascii="宋体" w:hAnsi="宋体" w:eastAsia="宋体"/>
          <w:bCs/>
          <w:color w:val="auto"/>
          <w:sz w:val="24"/>
          <w:highlight w:val="none"/>
        </w:rPr>
        <w:t>注：</w:t>
      </w:r>
      <w:r>
        <w:rPr>
          <w:rFonts w:hint="eastAsia" w:ascii="宋体" w:hAnsi="宋体"/>
          <w:bCs/>
          <w:color w:val="auto"/>
          <w:sz w:val="24"/>
          <w:highlight w:val="none"/>
        </w:rPr>
        <w:t>不提供证明文件或提供的证明文件不合格者，不得分。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2.技术能力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6"/>
        <w:gridCol w:w="1843"/>
        <w:gridCol w:w="1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6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trPr>
        <w:tc>
          <w:tcPr>
            <w:tcW w:w="5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技术能力分</w:t>
            </w:r>
          </w:p>
        </w:tc>
        <w:tc>
          <w:tcPr>
            <w:tcW w:w="1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实施方案</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25</w:t>
            </w:r>
            <w:r>
              <w:rPr>
                <w:rFonts w:hint="eastAsia" w:ascii="仿宋_GB2312" w:hAnsi="仿宋_GB2312" w:eastAsia="仿宋_GB2312" w:cs="仿宋_GB2312"/>
                <w:bCs/>
                <w:color w:val="auto"/>
                <w:kern w:val="0"/>
                <w:sz w:val="24"/>
                <w:szCs w:val="24"/>
                <w:highlight w:val="none"/>
              </w:rPr>
              <w:t>分）</w:t>
            </w:r>
          </w:p>
        </w:tc>
        <w:tc>
          <w:tcPr>
            <w:tcW w:w="18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仿宋_GB2312" w:hAnsi="仿宋_GB2312" w:eastAsia="仿宋_GB2312" w:cs="仿宋_GB2312"/>
                <w:bCs/>
                <w:color w:val="auto"/>
                <w:kern w:val="0"/>
                <w:sz w:val="24"/>
                <w:szCs w:val="24"/>
                <w:highlight w:val="none"/>
                <w:lang w:val="en-US"/>
              </w:rPr>
            </w:pPr>
            <w:r>
              <w:rPr>
                <w:rFonts w:hint="eastAsia" w:ascii="仿宋_GB2312" w:hAnsi="仿宋_GB2312" w:eastAsia="仿宋_GB2312" w:cs="仿宋_GB2312"/>
                <w:bCs/>
                <w:color w:val="auto"/>
                <w:sz w:val="24"/>
                <w:szCs w:val="24"/>
                <w:highlight w:val="none"/>
              </w:rPr>
              <w:t>项目实施方案中包括但不限于对项目的工作措施、工作方法、工作手段、工作流程。</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方案中</w:t>
            </w:r>
            <w:r>
              <w:rPr>
                <w:rFonts w:hint="eastAsia" w:ascii="仿宋_GB2312" w:hAnsi="仿宋_GB2312" w:eastAsia="仿宋_GB2312" w:cs="仿宋_GB2312"/>
                <w:bCs/>
                <w:color w:val="auto"/>
                <w:sz w:val="24"/>
                <w:szCs w:val="24"/>
                <w:highlight w:val="none"/>
              </w:rPr>
              <w:t>任意一项内容得</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16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（1）实施方案内容全面。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（2）实施方案内容具体。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（3）实施方案内容科学合理。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（4）实施方案内容针对性强。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（5）实施方案内容可操作性强。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trPr>
        <w:tc>
          <w:tcPr>
            <w:tcW w:w="5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p>
        </w:tc>
        <w:tc>
          <w:tcPr>
            <w:tcW w:w="1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质量保障措施及方案（15分）</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Cs/>
                <w:color w:val="auto"/>
                <w:kern w:val="0"/>
                <w:sz w:val="24"/>
                <w:szCs w:val="24"/>
                <w:highlight w:val="none"/>
                <w:lang w:val="en" w:eastAsia="zh-CN"/>
              </w:rPr>
            </w:pPr>
            <w:r>
              <w:rPr>
                <w:rFonts w:hint="eastAsia" w:ascii="仿宋_GB2312" w:hAnsi="仿宋_GB2312" w:eastAsia="仿宋_GB2312" w:cs="仿宋_GB2312"/>
                <w:bCs/>
                <w:color w:val="auto"/>
                <w:kern w:val="0"/>
                <w:sz w:val="24"/>
                <w:szCs w:val="24"/>
                <w:highlight w:val="none"/>
              </w:rPr>
              <w:t>投标人需针对本项目相关的保障措施方案，内容包括但不限于：（1）项目人员管理措施；（2）详细项目质量管理措施。（3）阐述时间保障措施。</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满足</w:t>
            </w:r>
            <w:r>
              <w:rPr>
                <w:rFonts w:hint="eastAsia" w:ascii="仿宋_GB2312" w:hAnsi="仿宋_GB2312" w:eastAsia="仿宋_GB2312" w:cs="仿宋_GB2312"/>
                <w:bCs/>
                <w:color w:val="auto"/>
                <w:kern w:val="0"/>
                <w:sz w:val="24"/>
                <w:szCs w:val="24"/>
                <w:highlight w:val="none"/>
                <w:lang w:eastAsia="zh-CN"/>
              </w:rPr>
              <w:t>质量保障措施及方案中</w:t>
            </w:r>
            <w:r>
              <w:rPr>
                <w:rFonts w:hint="eastAsia" w:ascii="仿宋_GB2312" w:hAnsi="仿宋_GB2312" w:eastAsia="仿宋_GB2312" w:cs="仿宋_GB2312"/>
                <w:bCs/>
                <w:color w:val="auto"/>
                <w:kern w:val="0"/>
                <w:sz w:val="24"/>
                <w:szCs w:val="24"/>
                <w:highlight w:val="none"/>
              </w:rPr>
              <w:t>任意一项内容</w:t>
            </w:r>
            <w:r>
              <w:rPr>
                <w:rFonts w:hint="eastAsia" w:ascii="仿宋_GB2312" w:hAnsi="仿宋_GB2312" w:eastAsia="仿宋_GB2312" w:cs="仿宋_GB2312"/>
                <w:bCs/>
                <w:color w:val="auto"/>
                <w:kern w:val="0"/>
                <w:sz w:val="24"/>
                <w:szCs w:val="24"/>
                <w:highlight w:val="none"/>
                <w:lang w:val="en-US" w:eastAsia="zh-CN"/>
              </w:rPr>
              <w:t>3</w:t>
            </w:r>
            <w:r>
              <w:rPr>
                <w:rFonts w:hint="eastAsia" w:ascii="仿宋_GB2312" w:hAnsi="仿宋_GB2312" w:eastAsia="仿宋_GB2312" w:cs="仿宋_GB2312"/>
                <w:bCs/>
                <w:color w:val="auto"/>
                <w:kern w:val="0"/>
                <w:sz w:val="24"/>
                <w:szCs w:val="24"/>
                <w:highlight w:val="none"/>
              </w:rPr>
              <w:t>分，最高</w:t>
            </w:r>
            <w:r>
              <w:rPr>
                <w:rFonts w:hint="eastAsia" w:ascii="仿宋_GB2312" w:hAnsi="仿宋_GB2312" w:eastAsia="仿宋_GB2312" w:cs="仿宋_GB2312"/>
                <w:bCs/>
                <w:color w:val="auto"/>
                <w:kern w:val="0"/>
                <w:sz w:val="24"/>
                <w:szCs w:val="24"/>
                <w:highlight w:val="none"/>
                <w:lang w:val="en-US" w:eastAsia="zh-CN"/>
              </w:rPr>
              <w:t>9</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评分标准：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在此基础上，由评标委员会对实施方案进一步评审：</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（1）质量保障措施及方案内容全面。</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（2）质量保障措施及方案内容具体。</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（3）质量保障措施及方案内容科学合理。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（4）质量保障措施及方案内容针对性强。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（5）质量保障措施及方案内容可操作性强。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优评分标准：满足以上五项要求的评价为优，得</w:t>
            </w:r>
            <w:r>
              <w:rPr>
                <w:rFonts w:hint="eastAsia" w:ascii="仿宋_GB2312" w:hAnsi="仿宋_GB2312" w:eastAsia="仿宋_GB2312" w:cs="仿宋_GB2312"/>
                <w:bCs/>
                <w:color w:val="auto"/>
                <w:kern w:val="0"/>
                <w:sz w:val="24"/>
                <w:szCs w:val="24"/>
                <w:highlight w:val="none"/>
                <w:lang w:val="en-US" w:eastAsia="zh-CN"/>
              </w:rPr>
              <w:t>6</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良评分标准：满足以上四项要求的评价为良，得</w:t>
            </w:r>
            <w:r>
              <w:rPr>
                <w:rFonts w:hint="eastAsia" w:ascii="仿宋_GB2312" w:hAnsi="仿宋_GB2312" w:eastAsia="仿宋_GB2312" w:cs="仿宋_GB2312"/>
                <w:bCs/>
                <w:color w:val="auto"/>
                <w:kern w:val="0"/>
                <w:sz w:val="24"/>
                <w:szCs w:val="24"/>
                <w:highlight w:val="none"/>
                <w:lang w:val="en-US" w:eastAsia="zh-CN"/>
              </w:rPr>
              <w:t>4</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中评分标准：满足以上三项要求的评价为中，得</w:t>
            </w:r>
            <w:r>
              <w:rPr>
                <w:rFonts w:hint="eastAsia" w:ascii="仿宋_GB2312" w:hAnsi="仿宋_GB2312" w:eastAsia="仿宋_GB2312" w:cs="仿宋_GB2312"/>
                <w:bCs/>
                <w:color w:val="auto"/>
                <w:kern w:val="0"/>
                <w:sz w:val="24"/>
                <w:szCs w:val="24"/>
                <w:highlight w:val="none"/>
                <w:lang w:val="en-US" w:eastAsia="zh-CN"/>
              </w:rPr>
              <w:t>2</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差评分标准：上述情况之外的，评差不得分。</w:t>
            </w:r>
          </w:p>
        </w:tc>
      </w:tr>
    </w:tbl>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.报价</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分。</w:t>
      </w:r>
    </w:p>
    <w:p>
      <w:pPr>
        <w:keepNext w:val="0"/>
        <w:keepLines w:val="0"/>
        <w:pageBreakBefore w:val="0"/>
        <w:kinsoku/>
        <w:wordWrap/>
        <w:overflowPunct/>
        <w:topLinePunct w:val="0"/>
        <w:bidi w:val="0"/>
        <w:spacing w:line="560" w:lineRule="exact"/>
        <w:rPr>
          <w:rFonts w:hint="eastAsia" w:ascii="楷体" w:hAnsi="楷体" w:eastAsia="楷体" w:cs="楷体"/>
          <w:color w:val="auto"/>
          <w:sz w:val="32"/>
          <w:szCs w:val="32"/>
          <w:highlight w:val="none"/>
        </w:rPr>
      </w:pPr>
      <w:r>
        <w:rPr>
          <w:rFonts w:hint="eastAsia"/>
          <w:color w:val="auto"/>
          <w:highlight w:val="none"/>
        </w:rPr>
        <w:t xml:space="preserve">      </w:t>
      </w: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四</w:t>
      </w:r>
      <w:r>
        <w:rPr>
          <w:rFonts w:hint="eastAsia" w:ascii="楷体" w:hAnsi="楷体" w:eastAsia="楷体" w:cs="楷体"/>
          <w:color w:val="auto"/>
          <w:sz w:val="32"/>
          <w:szCs w:val="32"/>
          <w:highlight w:val="none"/>
        </w:rPr>
        <w:t>）供应商提供资料清单</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1.营业执照、事业</w:t>
      </w:r>
      <w:r>
        <w:rPr>
          <w:rFonts w:hint="eastAsia" w:ascii="仿宋_GB2312" w:hAnsi="Calibri" w:eastAsia="仿宋_GB2312"/>
          <w:color w:val="auto"/>
          <w:sz w:val="32"/>
          <w:szCs w:val="32"/>
          <w:highlight w:val="none"/>
          <w:lang w:val="en-US" w:eastAsia="zh-CN"/>
        </w:rPr>
        <w:t>单位</w:t>
      </w:r>
      <w:r>
        <w:rPr>
          <w:rFonts w:hint="eastAsia" w:ascii="仿宋_GB2312" w:hAnsi="Calibri" w:eastAsia="仿宋_GB2312"/>
          <w:color w:val="auto"/>
          <w:sz w:val="32"/>
          <w:szCs w:val="32"/>
          <w:highlight w:val="none"/>
        </w:rPr>
        <w:t>法人证书、社会团体法人登记证书（加盖公章）；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2.法定代表人身份证复印件（加盖公章）；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3.项目报价清单（加盖公章）；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4.评分规则所需资料（同类业绩证明、方案等）；</w:t>
      </w:r>
    </w:p>
    <w:p>
      <w:pPr>
        <w:pStyle w:val="6"/>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）并提供表中涉及人员的近三个月社保缴纳情况，如供应商为新成立企业且成立时间不足1个月的，可提供加盖公章的情况说明或其他相关证明材料</w:t>
      </w:r>
      <w:r>
        <w:rPr>
          <w:rFonts w:hint="eastAsia" w:ascii="仿宋_GB2312" w:hAnsi="仿宋" w:eastAsia="仿宋_GB2312" w:cs="Times New Roman"/>
          <w:sz w:val="32"/>
          <w:highlight w:val="none"/>
        </w:rPr>
        <w:t>。</w:t>
      </w:r>
    </w:p>
    <w:p>
      <w:pPr>
        <w:pStyle w:val="6"/>
        <w:spacing w:after="0" w:line="560" w:lineRule="exact"/>
        <w:ind w:left="0" w:leftChars="0" w:right="0" w:rightChars="0" w:firstLine="640"/>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highlight w:val="none"/>
          <w:lang w:val="en-US" w:eastAsia="zh-CN"/>
        </w:rPr>
        <w:t>1.供应商需</w:t>
      </w:r>
      <w:r>
        <w:rPr>
          <w:rFonts w:hint="default" w:ascii="仿宋_GB2312" w:hAnsi="仿宋" w:eastAsia="仿宋_GB2312" w:cs="Times New Roman"/>
          <w:sz w:val="32"/>
          <w:highlight w:val="none"/>
          <w:lang w:val="en-US" w:eastAsia="zh-CN"/>
        </w:rPr>
        <w:t>深圳政府采购自行采购系统</w:t>
      </w:r>
      <w:r>
        <w:rPr>
          <w:rFonts w:hint="eastAsia" w:ascii="仿宋_GB2312" w:hAnsi="仿宋" w:eastAsia="仿宋_GB2312" w:cs="Times New Roman"/>
          <w:kern w:val="2"/>
          <w:sz w:val="32"/>
          <w:szCs w:val="24"/>
          <w:highlight w:val="none"/>
          <w:lang w:val="en-US" w:eastAsia="zh-CN" w:bidi="ar-SA"/>
        </w:rPr>
        <w:t>完成供应商注册（网址：https://zxcg.szggzy.com/home/ind</w:t>
      </w:r>
      <w:r>
        <w:rPr>
          <w:rFonts w:hint="eastAsia" w:ascii="仿宋_GB2312" w:hAnsi="仿宋" w:eastAsia="仿宋_GB2312" w:cs="Times New Roman"/>
          <w:kern w:val="2"/>
          <w:sz w:val="32"/>
          <w:szCs w:val="24"/>
          <w:lang w:val="en-US" w:eastAsia="zh-CN" w:bidi="ar-SA"/>
        </w:rPr>
        <w:t>ex.html），请于本项目投标截止时间前完成注册，否则如中标/成交，可能影响采购结果的发布。</w:t>
      </w: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color w:val="000000"/>
          <w:kern w:val="0"/>
          <w:sz w:val="32"/>
          <w:szCs w:val="32"/>
          <w:lang w:val="en-US" w:eastAsia="zh-CN" w:bidi="ar-SA"/>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w:t>
      </w:r>
      <w:r>
        <w:rPr>
          <w:rFonts w:hint="eastAsia" w:ascii="仿宋_GB2312" w:hAnsi="仿宋_GB2312" w:eastAsia="仿宋_GB2312" w:cs="仿宋_GB2312"/>
          <w:color w:val="000000"/>
          <w:kern w:val="0"/>
          <w:sz w:val="32"/>
          <w:szCs w:val="32"/>
          <w:lang w:val="en-US" w:eastAsia="zh-CN" w:bidi="ar-SA"/>
        </w:rPr>
        <w:t>寄方式提供7份密封纸质版投标资料至本单位，</w:t>
      </w:r>
    </w:p>
    <w:p>
      <w:pPr>
        <w:keepNext w:val="0"/>
        <w:keepLines w:val="0"/>
        <w:pageBreakBefore w:val="0"/>
        <w:kinsoku/>
        <w:wordWrap/>
        <w:overflowPunct/>
        <w:topLinePunct w:val="0"/>
        <w:bidi w:val="0"/>
        <w:spacing w:line="560" w:lineRule="exact"/>
        <w:jc w:val="both"/>
        <w:rPr>
          <w:rFonts w:hint="default" w:ascii="仿宋_GB2312" w:hAnsi="仿宋" w:eastAsia="仿宋_GB2312" w:cs="Times New Roman"/>
          <w:sz w:val="32"/>
          <w:lang w:val="en-US" w:eastAsia="zh-CN"/>
        </w:rPr>
      </w:pPr>
      <w:r>
        <w:rPr>
          <w:rFonts w:hint="eastAsia" w:ascii="仿宋_GB2312" w:hAnsi="仿宋_GB2312" w:eastAsia="仿宋_GB2312" w:cs="仿宋_GB2312"/>
          <w:color w:val="000000"/>
          <w:kern w:val="0"/>
          <w:sz w:val="32"/>
          <w:szCs w:val="32"/>
          <w:lang w:val="en-US" w:eastAsia="zh-CN" w:bidi="ar-SA"/>
        </w:rPr>
        <w:t>并在封面备注“202</w:t>
      </w:r>
      <w:r>
        <w:rPr>
          <w:rFonts w:hint="default" w:ascii="仿宋_GB2312" w:hAnsi="仿宋_GB2312" w:eastAsia="仿宋_GB2312" w:cs="仿宋_GB2312"/>
          <w:color w:val="000000"/>
          <w:kern w:val="0"/>
          <w:sz w:val="32"/>
          <w:szCs w:val="32"/>
          <w:lang w:val="en-US" w:eastAsia="zh-CN" w:bidi="ar-SA"/>
        </w:rPr>
        <w:t>5</w:t>
      </w:r>
      <w:r>
        <w:rPr>
          <w:rFonts w:hint="eastAsia" w:ascii="仿宋_GB2312" w:hAnsi="仿宋_GB2312" w:eastAsia="仿宋_GB2312" w:cs="仿宋_GB2312"/>
          <w:color w:val="000000"/>
          <w:kern w:val="0"/>
          <w:sz w:val="32"/>
          <w:szCs w:val="32"/>
          <w:lang w:val="en-US" w:eastAsia="zh-CN" w:bidi="ar-SA"/>
        </w:rPr>
        <w:t>年龙华区文旅原创短视频服务项目”</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6"/>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16"/>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6"/>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5"/>
        <w:rPr>
          <w:rFonts w:hint="default"/>
          <w:lang w:val="en-US" w:eastAsia="zh-CN"/>
        </w:rPr>
      </w:pPr>
    </w:p>
    <w:p>
      <w:pPr>
        <w:rPr>
          <w:rFonts w:hint="default"/>
          <w:lang w:val="en-US" w:eastAsia="zh-CN"/>
        </w:rPr>
      </w:pPr>
    </w:p>
    <w:p>
      <w:pPr>
        <w:pStyle w:val="16"/>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9"/>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2"/>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4"/>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B3B8F"/>
    <w:multiLevelType w:val="singleLevel"/>
    <w:tmpl w:val="0B1B3B8F"/>
    <w:lvl w:ilvl="0" w:tentative="0">
      <w:start w:val="1"/>
      <w:numFmt w:val="chineseCounting"/>
      <w:suff w:val="nothing"/>
      <w:lvlText w:val="（%1）"/>
      <w:lvlJc w:val="left"/>
      <w:rPr>
        <w:rFonts w:hint="eastAsia"/>
      </w:rPr>
    </w:lvl>
  </w:abstractNum>
  <w:abstractNum w:abstractNumId="1">
    <w:nsid w:val="3E0ECA92"/>
    <w:multiLevelType w:val="singleLevel"/>
    <w:tmpl w:val="3E0ECA92"/>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6A902462"/>
    <w:rsid w:val="014B0B49"/>
    <w:rsid w:val="01D226C5"/>
    <w:rsid w:val="03163E1D"/>
    <w:rsid w:val="039D7B38"/>
    <w:rsid w:val="062F5BCA"/>
    <w:rsid w:val="06DF3687"/>
    <w:rsid w:val="0D090175"/>
    <w:rsid w:val="0D8D29CB"/>
    <w:rsid w:val="14AA3E63"/>
    <w:rsid w:val="14B24AC5"/>
    <w:rsid w:val="160B7597"/>
    <w:rsid w:val="19596DA8"/>
    <w:rsid w:val="1AA107BB"/>
    <w:rsid w:val="1C2D2070"/>
    <w:rsid w:val="203329C9"/>
    <w:rsid w:val="230E1CFB"/>
    <w:rsid w:val="234F161F"/>
    <w:rsid w:val="239F7653"/>
    <w:rsid w:val="24715220"/>
    <w:rsid w:val="24F92139"/>
    <w:rsid w:val="2D7F3DEB"/>
    <w:rsid w:val="2EFF49A9"/>
    <w:rsid w:val="30475B4A"/>
    <w:rsid w:val="3829130F"/>
    <w:rsid w:val="3F5F251B"/>
    <w:rsid w:val="43803779"/>
    <w:rsid w:val="43813731"/>
    <w:rsid w:val="46143D1C"/>
    <w:rsid w:val="48223734"/>
    <w:rsid w:val="491F5084"/>
    <w:rsid w:val="4C0B4CD8"/>
    <w:rsid w:val="4DFBE690"/>
    <w:rsid w:val="4E7378F2"/>
    <w:rsid w:val="523429E2"/>
    <w:rsid w:val="52387764"/>
    <w:rsid w:val="5CFFD942"/>
    <w:rsid w:val="5D753EAF"/>
    <w:rsid w:val="5DD12DA4"/>
    <w:rsid w:val="5F474482"/>
    <w:rsid w:val="65527816"/>
    <w:rsid w:val="658E6848"/>
    <w:rsid w:val="671373A4"/>
    <w:rsid w:val="677E6BDE"/>
    <w:rsid w:val="691D98E3"/>
    <w:rsid w:val="69537C71"/>
    <w:rsid w:val="6A0B3169"/>
    <w:rsid w:val="6A755D5D"/>
    <w:rsid w:val="6A902462"/>
    <w:rsid w:val="6D21195D"/>
    <w:rsid w:val="6D5520C9"/>
    <w:rsid w:val="6EEBD87A"/>
    <w:rsid w:val="6F9BADD5"/>
    <w:rsid w:val="7104058D"/>
    <w:rsid w:val="728F68A9"/>
    <w:rsid w:val="74FBAB7D"/>
    <w:rsid w:val="76DC3070"/>
    <w:rsid w:val="77187545"/>
    <w:rsid w:val="77EB9DCB"/>
    <w:rsid w:val="77ED2C21"/>
    <w:rsid w:val="78565301"/>
    <w:rsid w:val="79F75FCC"/>
    <w:rsid w:val="7B5E6C83"/>
    <w:rsid w:val="7BFB85BF"/>
    <w:rsid w:val="7CA55B9A"/>
    <w:rsid w:val="7CFB3F8D"/>
    <w:rsid w:val="7D7818DB"/>
    <w:rsid w:val="7DFD4EDC"/>
    <w:rsid w:val="7F7FAFB8"/>
    <w:rsid w:val="7FBD1546"/>
    <w:rsid w:val="7FCECBCF"/>
    <w:rsid w:val="7FDF8D7E"/>
    <w:rsid w:val="7FFCB44A"/>
    <w:rsid w:val="9EDE2F2C"/>
    <w:rsid w:val="BFFAF221"/>
    <w:rsid w:val="D3F9E3A3"/>
    <w:rsid w:val="DBE5CC46"/>
    <w:rsid w:val="EFEB37D6"/>
    <w:rsid w:val="EFFEC079"/>
    <w:rsid w:val="F3FFE72E"/>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Normal Indent"/>
    <w:basedOn w:val="1"/>
    <w:unhideWhenUsed/>
    <w:qFormat/>
    <w:uiPriority w:val="99"/>
    <w:pPr>
      <w:ind w:firstLine="420" w:firstLineChars="200"/>
    </w:pPr>
    <w:rPr>
      <w:rFonts w:ascii="Calibri" w:hAnsi="Calibri" w:eastAsia="宋体" w:cs="Times New Roman"/>
    </w:rPr>
  </w:style>
  <w:style w:type="paragraph" w:styleId="5">
    <w:name w:val="Body Text"/>
    <w:basedOn w:val="1"/>
    <w:next w:val="1"/>
    <w:qFormat/>
    <w:uiPriority w:val="0"/>
    <w:pPr>
      <w:spacing w:afterLines="0" w:afterAutospacing="0"/>
    </w:pPr>
  </w:style>
  <w:style w:type="paragraph" w:styleId="6">
    <w:name w:val="Block Text"/>
    <w:basedOn w:val="1"/>
    <w:qFormat/>
    <w:uiPriority w:val="0"/>
    <w:pPr>
      <w:tabs>
        <w:tab w:val="left" w:pos="426"/>
      </w:tabs>
      <w:spacing w:after="120"/>
      <w:ind w:left="1440" w:leftChars="700" w:right="1440" w:rightChars="700"/>
    </w:pPr>
  </w:style>
  <w:style w:type="paragraph" w:styleId="7">
    <w:name w:val="Plain Text"/>
    <w:basedOn w:val="1"/>
    <w:next w:val="3"/>
    <w:qFormat/>
    <w:uiPriority w:val="0"/>
    <w:rPr>
      <w:rFonts w:ascii="宋体"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itle"/>
    <w:basedOn w:val="1"/>
    <w:next w:val="1"/>
    <w:qFormat/>
    <w:uiPriority w:val="0"/>
    <w:pPr>
      <w:spacing w:before="240" w:after="60"/>
      <w:jc w:val="center"/>
      <w:outlineLvl w:val="0"/>
    </w:pPr>
    <w:rPr>
      <w:rFonts w:ascii="Arial" w:hAnsi="Arial" w:eastAsia="宋体" w:cs="Times New Roman"/>
      <w:b/>
      <w:sz w:val="32"/>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basedOn w:val="1"/>
    <w:next w:val="1"/>
    <w:qFormat/>
    <w:uiPriority w:val="99"/>
    <w:pPr>
      <w:spacing w:line="360" w:lineRule="auto"/>
      <w:ind w:firstLine="420" w:firstLineChars="200"/>
    </w:pPr>
    <w:rPr>
      <w:sz w:val="24"/>
    </w:r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1430</Words>
  <Characters>1456</Characters>
  <Lines>0</Lines>
  <Paragraphs>0</Paragraphs>
  <TotalTime>4</TotalTime>
  <ScaleCrop>false</ScaleCrop>
  <LinksUpToDate>false</LinksUpToDate>
  <CharactersWithSpaces>1456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2021-12-19T16:49:00Z</dcterms:created>
  <dc:creator>陈秋燕</dc:creator>
  <cp:lastModifiedBy>lxy</cp:lastModifiedBy>
  <cp:lastPrinted>2022-12-03T03:33:00Z</cp:lastPrinted>
  <dcterms:modified xsi:type="dcterms:W3CDTF">2025-04-29T16:09:51Z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FC040666E00648AAA25D618710194393_13</vt:lpwstr>
  </property>
  <property fmtid="{D5CDD505-2E9C-101B-9397-08002B2CF9AE}" pid="4" name="KSOTemplateDocerSaveRecord">
    <vt:lpwstr>eyJoZGlkIjoiYWRlZmI0ZDQwMTRhNTQ1MTE0YTEzM2RhMDYyODA4MjAiLCJ1c2VySWQiOiI0MTgxMDY2NzkifQ==</vt:lpwstr>
  </property>
</Properties>
</file>