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jc w:val="center"/>
        <w:rPr>
          <w:rFonts w:hint="eastAsia" w:ascii="方正小标宋简体" w:hAnsi="方正小标宋简体" w:eastAsia="方正小标宋简体" w:cs="方正小标宋简体"/>
          <w:sz w:val="44"/>
          <w:szCs w:val="44"/>
          <w:lang w:val="en-US" w:eastAsia="zh-Hans"/>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十五运龙华赛区酒店遴选工作</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b w:val="0"/>
          <w:bCs w:val="0"/>
          <w:sz w:val="44"/>
          <w:szCs w:val="44"/>
          <w:lang w:val="en-US" w:eastAsia="zh-CN"/>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jc w:val="both"/>
        <w:textAlignment w:val="auto"/>
        <w:rPr>
          <w:rFonts w:hint="eastAsia" w:ascii="黑体" w:hAnsi="黑体" w:eastAsia="黑体" w:cs="黑体"/>
          <w:bCs/>
          <w:sz w:val="32"/>
          <w:szCs w:val="32"/>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lang w:eastAsia="zh-CN"/>
        </w:rPr>
      </w:pPr>
      <w:r>
        <w:rPr>
          <w:rFonts w:hint="eastAsia" w:ascii="黑体" w:hAnsi="黑体" w:eastAsia="黑体" w:cs="黑体"/>
          <w:bCs/>
          <w:sz w:val="32"/>
          <w:szCs w:val="32"/>
          <w:lang w:val="en-US" w:eastAsia="zh-CN"/>
        </w:rPr>
        <w:t>一、</w:t>
      </w:r>
      <w:r>
        <w:rPr>
          <w:rFonts w:hint="eastAsia" w:ascii="黑体" w:hAnsi="黑体" w:eastAsia="黑体" w:cs="黑体"/>
          <w:bCs/>
          <w:sz w:val="32"/>
          <w:szCs w:val="32"/>
          <w:lang w:eastAsia="zh-CN"/>
        </w:rPr>
        <w:t>项目</w:t>
      </w:r>
      <w:r>
        <w:rPr>
          <w:rFonts w:hint="eastAsia" w:ascii="黑体" w:hAnsi="黑体" w:eastAsia="黑体" w:cs="黑体"/>
          <w:bCs/>
          <w:sz w:val="32"/>
          <w:szCs w:val="32"/>
        </w:rPr>
        <w:t>目</w:t>
      </w:r>
      <w:r>
        <w:rPr>
          <w:rFonts w:hint="eastAsia" w:ascii="黑体" w:hAnsi="黑体" w:eastAsia="黑体" w:cs="黑体"/>
          <w:bCs/>
          <w:sz w:val="32"/>
          <w:szCs w:val="32"/>
          <w:lang w:eastAsia="zh-CN"/>
        </w:rPr>
        <w:t>标</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切实做好第十五届全国运动会龙华赛区参赛运动队、技术官员、反兴奋剂官员及注册媒体记者等来宾的接待服务保障工作，根据我区赛事接待服务规范要求，构建系统化、标准化的酒店服务保障体系。鉴于省、市执委会未出台赛事接待酒店遴选相关文件，拟参照杭州亚运会酒店遴选模式，开展我区十五运接待酒店遴选工作，以确保赛事服务保障工作有序推进。</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eastAsia="黑体"/>
          <w:lang w:eastAsia="zh-CN"/>
        </w:rPr>
      </w:pPr>
      <w:r>
        <w:rPr>
          <w:rFonts w:hint="eastAsia" w:ascii="黑体" w:hAnsi="黑体" w:eastAsia="黑体" w:cs="黑体"/>
          <w:bCs/>
          <w:sz w:val="32"/>
          <w:szCs w:val="32"/>
          <w:highlight w:val="none"/>
          <w:lang w:val="en-US" w:eastAsia="zh-CN"/>
        </w:rPr>
        <w:t>二、</w:t>
      </w:r>
      <w:r>
        <w:rPr>
          <w:rFonts w:hint="eastAsia" w:ascii="黑体" w:hAnsi="黑体" w:eastAsia="黑体" w:cs="黑体"/>
          <w:bCs/>
          <w:sz w:val="32"/>
          <w:szCs w:val="32"/>
          <w:highlight w:val="none"/>
          <w:lang w:eastAsia="zh-CN"/>
        </w:rPr>
        <w:t>项目要求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拟在龙华区范围内遴选4家设施设备完善、服务质量优良、安全保障可靠的酒店作为十五运会龙华赛区的建议接待酒店，不代表最终确定的官方接待酒店。遴选方将中选意向方推荐给第十五运深圳赛区执委会（以下简称“市执委会”）和赛事承办方，</w:t>
      </w:r>
      <w:r>
        <w:rPr>
          <w:rFonts w:hint="eastAsia" w:ascii="仿宋_GB2312" w:hAnsi="仿宋_GB2312" w:eastAsia="仿宋_GB2312" w:cs="仿宋_GB2312"/>
          <w:sz w:val="32"/>
          <w:szCs w:val="32"/>
          <w:highlight w:val="none"/>
          <w:lang w:eastAsia="zh-CN"/>
        </w:rPr>
        <w:t>由市执委会挂牌，其中：</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1.行政官员接待酒店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家：用于接待技术官员、反兴奋剂官员及赛事行政人员。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2.赛事队伍接待酒店</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家：用于接待参赛运动队、教练员及随队工作人员，优先保障运动员住宿需求。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sz w:val="32"/>
          <w:szCs w:val="32"/>
          <w:highlight w:val="none"/>
          <w:lang w:eastAsia="zh-CN"/>
        </w:rPr>
        <w:t>三、</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（2）酒店需具备合法经营资质</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参与本项目投标近三年内（供应商成立不足三年的可从成立之日起算），在经营活动中没有重大违法记录</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无卫生、消防、安全责任事故及重大诉讼记录以及不存在被有关部门禁止参与政府采购活动且在有效期内的情况;</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（3）单位负责人为同一人或者存在直接控股、管理关系的不同供应商，不得同时参加本项目的采购活动</w:t>
      </w:r>
      <w:r>
        <w:rPr>
          <w:rFonts w:hint="eastAsia" w:ascii="仿宋_GB2312" w:hAnsi="仿宋" w:eastAsia="仿宋_GB2312" w:cs="仿宋"/>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4</w:t>
      </w:r>
      <w:r>
        <w:rPr>
          <w:rFonts w:hint="eastAsia" w:ascii="仿宋_GB2312" w:hAnsi="仿宋" w:eastAsia="仿宋_GB2312" w:cs="仿宋"/>
          <w:sz w:val="32"/>
          <w:szCs w:val="32"/>
          <w:highlight w:val="none"/>
          <w:lang w:eastAsia="zh-CN"/>
        </w:rPr>
        <w:t>）酒店需具备</w:t>
      </w:r>
      <w:r>
        <w:rPr>
          <w:rFonts w:hint="eastAsia" w:ascii="仿宋_GB2312" w:hAnsi="仿宋" w:eastAsia="仿宋_GB2312" w:cs="仿宋"/>
          <w:sz w:val="32"/>
          <w:szCs w:val="32"/>
          <w:highlight w:val="none"/>
          <w:lang w:val="en-US" w:eastAsia="zh-CN"/>
        </w:rPr>
        <w:t>3个及以上大巴停车位、避雷防护装置，发电装置；</w:t>
      </w:r>
    </w:p>
    <w:p>
      <w:pPr>
        <w:pStyle w:val="6"/>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（5）酒店餐厅和厨房需能满足少数民族文化习俗和特殊饮食要求，且有两个厨房和两个餐厅；</w:t>
      </w:r>
    </w:p>
    <w:p>
      <w:pPr>
        <w:pStyle w:val="6"/>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（6）酒店需提供运动员食品专用冰柜且能接受供应指定菜品。</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、选定方法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 w:eastAsia="仿宋_GB2312"/>
          <w:sz w:val="32"/>
          <w:highlight w:val="none"/>
        </w:rPr>
      </w:pPr>
      <w:r>
        <w:rPr>
          <w:rFonts w:hint="eastAsia" w:ascii="仿宋_GB2312" w:hAnsi="仿宋" w:eastAsia="仿宋_GB2312"/>
          <w:sz w:val="32"/>
          <w:highlight w:val="none"/>
        </w:rPr>
        <w:t>综合评分法</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、评分要求</w:t>
      </w:r>
    </w:p>
    <w:p>
      <w:pPr>
        <w:pStyle w:val="25"/>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（一）评分规则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采取综合评分标准，平均分最高的</w:t>
      </w:r>
      <w:r>
        <w:rPr>
          <w:rFonts w:hint="eastAsia" w:ascii="仿宋_GB2312" w:eastAsia="仿宋_GB2312"/>
          <w:color w:val="000000"/>
          <w:sz w:val="32"/>
          <w:szCs w:val="32"/>
          <w:highlight w:val="none"/>
          <w:lang w:eastAsia="zh-CN"/>
        </w:rPr>
        <w:t>前</w:t>
      </w:r>
      <w:r>
        <w:rPr>
          <w:rFonts w:hint="eastAsia" w:ascii="仿宋_GB2312" w:eastAsia="仿宋_GB2312"/>
          <w:color w:val="000000"/>
          <w:sz w:val="32"/>
          <w:szCs w:val="32"/>
          <w:highlight w:val="none"/>
          <w:lang w:val="en-US" w:eastAsia="zh-CN"/>
        </w:rPr>
        <w:t>4家为本项目的意向酒店。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p>
    <w:tbl>
      <w:tblPr>
        <w:tblStyle w:val="12"/>
        <w:tblpPr w:leftFromText="180" w:rightFromText="180" w:vertAnchor="text" w:horzAnchor="page" w:tblpXSpec="center" w:tblpY="5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251"/>
        <w:gridCol w:w="2009"/>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28"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评分内容</w:t>
            </w:r>
          </w:p>
        </w:tc>
        <w:tc>
          <w:tcPr>
            <w:tcW w:w="2251"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eastAsia="zh-CN"/>
              </w:rPr>
              <w:t>技术部分</w:t>
            </w:r>
          </w:p>
        </w:tc>
        <w:tc>
          <w:tcPr>
            <w:tcW w:w="2009" w:type="dxa"/>
            <w:noWrap w:val="0"/>
            <w:vAlign w:val="top"/>
          </w:tcPr>
          <w:p>
            <w:pPr>
              <w:pStyle w:val="25"/>
              <w:spacing w:line="560" w:lineRule="exact"/>
              <w:jc w:val="center"/>
              <w:rPr>
                <w:rFonts w:hint="eastAsia" w:ascii="仿宋_GB2312" w:hAnsi="仿宋_GB2312" w:eastAsia="仿宋_GB2312" w:cs="仿宋_GB2312"/>
                <w:b w:val="0"/>
                <w:bCs/>
                <w:szCs w:val="24"/>
                <w:highlight w:val="none"/>
                <w:lang w:eastAsia="zh-CN"/>
              </w:rPr>
            </w:pPr>
            <w:r>
              <w:rPr>
                <w:rFonts w:hint="eastAsia" w:ascii="仿宋_GB2312" w:hAnsi="仿宋_GB2312" w:eastAsia="仿宋_GB2312" w:cs="仿宋_GB2312"/>
                <w:b w:val="0"/>
                <w:bCs/>
                <w:szCs w:val="24"/>
                <w:highlight w:val="none"/>
                <w:lang w:eastAsia="zh-CN"/>
              </w:rPr>
              <w:t>商务部分</w:t>
            </w:r>
          </w:p>
        </w:tc>
        <w:tc>
          <w:tcPr>
            <w:tcW w:w="2453" w:type="dxa"/>
            <w:noWrap w:val="0"/>
            <w:vAlign w:val="top"/>
          </w:tcPr>
          <w:p>
            <w:pPr>
              <w:pStyle w:val="25"/>
              <w:spacing w:line="560" w:lineRule="exact"/>
              <w:jc w:val="center"/>
              <w:rPr>
                <w:rFonts w:hint="eastAsia" w:ascii="仿宋_GB2312" w:hAnsi="仿宋_GB2312" w:eastAsia="仿宋_GB2312" w:cs="仿宋_GB2312"/>
                <w:b w:val="0"/>
                <w:bCs/>
                <w:szCs w:val="24"/>
                <w:highlight w:val="none"/>
                <w:lang w:eastAsia="zh-CN"/>
              </w:rPr>
            </w:pPr>
            <w:r>
              <w:rPr>
                <w:rFonts w:hint="eastAsia" w:ascii="仿宋_GB2312" w:hAnsi="仿宋_GB2312" w:eastAsia="仿宋_GB2312" w:cs="仿宋_GB2312"/>
                <w:b w:val="0"/>
                <w:bCs/>
                <w:szCs w:val="24"/>
                <w:highlight w:val="none"/>
                <w:lang w:eastAsia="zh-CN"/>
              </w:rPr>
              <w:t>诚信承诺及电力承诺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28"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分值</w:t>
            </w:r>
          </w:p>
        </w:tc>
        <w:tc>
          <w:tcPr>
            <w:tcW w:w="2251"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80</w:t>
            </w:r>
            <w:r>
              <w:rPr>
                <w:rFonts w:hint="eastAsia" w:ascii="仿宋_GB2312" w:hAnsi="仿宋_GB2312" w:eastAsia="仿宋_GB2312" w:cs="仿宋_GB2312"/>
                <w:b w:val="0"/>
                <w:bCs/>
                <w:szCs w:val="24"/>
                <w:highlight w:val="none"/>
              </w:rPr>
              <w:t>分</w:t>
            </w:r>
          </w:p>
        </w:tc>
        <w:tc>
          <w:tcPr>
            <w:tcW w:w="2009" w:type="dxa"/>
            <w:noWrap w:val="0"/>
            <w:vAlign w:val="top"/>
          </w:tcPr>
          <w:p>
            <w:pPr>
              <w:pStyle w:val="25"/>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10</w:t>
            </w:r>
            <w:r>
              <w:rPr>
                <w:rFonts w:hint="eastAsia" w:ascii="仿宋_GB2312" w:hAnsi="仿宋_GB2312" w:eastAsia="仿宋_GB2312" w:cs="仿宋_GB2312"/>
                <w:b w:val="0"/>
                <w:bCs/>
                <w:szCs w:val="24"/>
                <w:highlight w:val="none"/>
              </w:rPr>
              <w:t>分</w:t>
            </w:r>
          </w:p>
        </w:tc>
        <w:tc>
          <w:tcPr>
            <w:tcW w:w="2453" w:type="dxa"/>
            <w:noWrap w:val="0"/>
            <w:vAlign w:val="top"/>
          </w:tcPr>
          <w:p>
            <w:pPr>
              <w:pStyle w:val="25"/>
              <w:spacing w:line="560" w:lineRule="exact"/>
              <w:jc w:val="center"/>
              <w:rPr>
                <w:rFonts w:hint="default" w:ascii="仿宋_GB2312" w:hAnsi="仿宋_GB2312" w:eastAsia="仿宋_GB2312" w:cs="仿宋_GB2312"/>
                <w:b w:val="0"/>
                <w:bCs/>
                <w:szCs w:val="24"/>
                <w:highlight w:val="none"/>
                <w:lang w:val="en-US" w:eastAsia="zh-CN"/>
              </w:rPr>
            </w:pPr>
            <w:r>
              <w:rPr>
                <w:rFonts w:hint="eastAsia" w:ascii="仿宋_GB2312" w:hAnsi="仿宋_GB2312" w:eastAsia="仿宋_GB2312" w:cs="仿宋_GB2312"/>
                <w:b w:val="0"/>
                <w:bCs/>
                <w:szCs w:val="24"/>
                <w:highlight w:val="none"/>
                <w:lang w:val="en-US" w:eastAsia="zh-CN"/>
              </w:rPr>
              <w:t>10分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sz w:val="32"/>
          <w:szCs w:val="32"/>
          <w:highlight w:val="yellow"/>
          <w:lang w:val="en-US" w:eastAsia="zh-CN"/>
        </w:rPr>
      </w:pPr>
    </w:p>
    <w:p>
      <w:pPr>
        <w:pStyle w:val="25"/>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 w:hAnsi="楷体" w:eastAsia="楷体" w:cs="楷体"/>
          <w:b w:val="0"/>
          <w:bCs/>
          <w:color w:val="000000"/>
          <w:sz w:val="32"/>
          <w:szCs w:val="32"/>
          <w:highlight w:val="none"/>
        </w:rPr>
      </w:pPr>
    </w:p>
    <w:p>
      <w:pPr>
        <w:pStyle w:val="25"/>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b w:val="0"/>
          <w:bCs/>
          <w:sz w:val="32"/>
          <w:szCs w:val="32"/>
          <w:highlight w:val="yellow"/>
          <w:lang w:val="en-US" w:eastAsia="zh-CN"/>
        </w:rPr>
      </w:pPr>
      <w:r>
        <w:rPr>
          <w:rFonts w:hint="eastAsia" w:ascii="楷体" w:hAnsi="楷体" w:eastAsia="楷体" w:cs="楷体"/>
          <w:b w:val="0"/>
          <w:bCs/>
          <w:color w:val="000000"/>
          <w:sz w:val="32"/>
          <w:szCs w:val="32"/>
          <w:highlight w:val="none"/>
        </w:rPr>
        <w:t>（</w:t>
      </w: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）评分</w:t>
      </w:r>
      <w:r>
        <w:rPr>
          <w:rFonts w:hint="eastAsia" w:ascii="楷体" w:hAnsi="楷体" w:eastAsia="楷体" w:cs="楷体"/>
          <w:b w:val="0"/>
          <w:bCs/>
          <w:color w:val="000000"/>
          <w:sz w:val="32"/>
          <w:szCs w:val="32"/>
          <w:highlight w:val="none"/>
          <w:lang w:eastAsia="zh-CN"/>
        </w:rPr>
        <w:t>标准</w:t>
      </w:r>
    </w:p>
    <w:tbl>
      <w:tblPr>
        <w:tblStyle w:val="12"/>
        <w:tblW w:w="89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74"/>
        <w:gridCol w:w="574"/>
        <w:gridCol w:w="1719"/>
        <w:gridCol w:w="849"/>
        <w:gridCol w:w="52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48" w:hRule="atLeast"/>
          <w:jc w:val="center"/>
        </w:trPr>
        <w:tc>
          <w:tcPr>
            <w:tcW w:w="57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beforeLines="-2147483648" w:afterLines="-2147483648" w:line="24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314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spacing w:beforeLines="-2147483648" w:afterLines="-2147483648" w:line="240" w:lineRule="auto"/>
              <w:jc w:val="center"/>
              <w:rPr>
                <w:rFonts w:ascii="宋体" w:hAnsi="宋体" w:eastAsia="宋体" w:cs="宋体"/>
                <w:b/>
                <w:bCs/>
                <w:sz w:val="21"/>
                <w:szCs w:val="21"/>
              </w:rPr>
            </w:pPr>
            <w:r>
              <w:rPr>
                <w:rFonts w:hint="eastAsia" w:ascii="宋体" w:hAnsi="宋体" w:eastAsia="宋体" w:cs="宋体"/>
                <w:b/>
                <w:bCs/>
                <w:sz w:val="21"/>
                <w:szCs w:val="21"/>
              </w:rPr>
              <w:t>评分项</w:t>
            </w:r>
          </w:p>
        </w:tc>
        <w:tc>
          <w:tcPr>
            <w:tcW w:w="5242"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beforeLines="-2147483648" w:afterLines="-2147483648" w:line="240" w:lineRule="auto"/>
              <w:jc w:val="center"/>
              <w:rPr>
                <w:rFonts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restart"/>
            <w:tcBorders>
              <w:top w:val="single" w:color="000000" w:sz="8" w:space="0"/>
              <w:left w:val="single" w:color="000000" w:sz="8" w:space="0"/>
              <w:right w:val="single" w:color="000000" w:sz="8" w:space="0"/>
            </w:tcBorders>
          </w:tcPr>
          <w:p>
            <w:pPr>
              <w:spacing w:beforeLines="-2147483648" w:afterLines="-2147483648" w:line="240" w:lineRule="auto"/>
              <w:jc w:val="center"/>
              <w:rPr>
                <w:rFonts w:hint="eastAsia" w:ascii="宋体" w:hAnsi="宋体" w:eastAsia="宋体" w:cs="宋体"/>
                <w:b/>
                <w:bCs/>
                <w:color w:val="0000FF"/>
                <w:sz w:val="21"/>
                <w:szCs w:val="21"/>
                <w:lang w:eastAsia="zh-CN"/>
              </w:rPr>
            </w:pPr>
            <w:r>
              <w:rPr>
                <w:rFonts w:hint="eastAsia" w:ascii="宋体" w:hAnsi="宋体" w:eastAsia="宋体" w:cs="宋体"/>
                <w:b/>
                <w:bCs/>
                <w:color w:val="0000FF"/>
                <w:sz w:val="21"/>
                <w:szCs w:val="21"/>
                <w:lang w:val="en-US" w:eastAsia="zh-CN"/>
              </w:rPr>
              <w:t>1</w:t>
            </w:r>
          </w:p>
        </w:tc>
        <w:tc>
          <w:tcPr>
            <w:tcW w:w="3142" w:type="dxa"/>
            <w:gridSpan w:val="3"/>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5242" w:type="dxa"/>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8384" w:type="dxa"/>
            <w:gridSpan w:val="4"/>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shd w:val="clear" w:color="auto" w:fill="E6EFFA"/>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171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评分因素</w:t>
            </w:r>
          </w:p>
        </w:tc>
        <w:tc>
          <w:tcPr>
            <w:tcW w:w="84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权重(%)</w:t>
            </w:r>
          </w:p>
        </w:tc>
        <w:tc>
          <w:tcPr>
            <w:tcW w:w="5242"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Times New Roman" w:hAnsi="Times New Roman" w:eastAsia="宋体" w:cs="Times New Roman"/>
                <w:sz w:val="21"/>
                <w:szCs w:val="22"/>
                <w:lang w:val="en-US" w:eastAsia="zh-CN"/>
              </w:rPr>
              <w:t>接待服务保障方案与应急预案</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5242" w:type="dxa"/>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rPr>
                <w:rFonts w:ascii="Calibri" w:hAnsi="Calibri" w:eastAsia="宋体" w:cs="Times New Roman"/>
                <w:b/>
                <w:sz w:val="21"/>
                <w:szCs w:val="21"/>
              </w:rPr>
            </w:pPr>
            <w:r>
              <w:rPr>
                <w:rFonts w:hint="eastAsia" w:ascii="Calibri" w:hAnsi="Calibri" w:eastAsia="宋体" w:cs="Times New Roman"/>
                <w:b/>
                <w:sz w:val="21"/>
                <w:szCs w:val="21"/>
              </w:rPr>
              <w:t>（一）评审内容</w:t>
            </w:r>
          </w:p>
          <w:p>
            <w:pPr>
              <w:spacing w:beforeLines="-2147483648" w:afterLines="-2147483648" w:line="240" w:lineRule="auto"/>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w:t>
            </w:r>
            <w:r>
              <w:rPr>
                <w:rFonts w:hint="eastAsia" w:ascii="宋体" w:hAnsi="宋体" w:eastAsia="宋体" w:cs="宋体"/>
                <w:sz w:val="21"/>
                <w:szCs w:val="21"/>
                <w:lang w:val="en-US" w:eastAsia="zh-CN"/>
              </w:rPr>
              <w:t>文件</w:t>
            </w:r>
            <w:r>
              <w:rPr>
                <w:rFonts w:hint="eastAsia" w:ascii="宋体" w:hAnsi="宋体" w:eastAsia="宋体" w:cs="宋体"/>
                <w:sz w:val="21"/>
                <w:szCs w:val="21"/>
              </w:rPr>
              <w:t>制定详细的</w:t>
            </w:r>
            <w:r>
              <w:rPr>
                <w:rFonts w:hint="eastAsia" w:ascii="宋体" w:hAnsi="宋体" w:eastAsia="宋体" w:cs="宋体"/>
                <w:sz w:val="21"/>
                <w:szCs w:val="21"/>
                <w:lang w:eastAsia="zh-CN"/>
              </w:rPr>
              <w:t>方</w:t>
            </w:r>
            <w:r>
              <w:rPr>
                <w:rFonts w:hint="eastAsia" w:ascii="宋体" w:hAnsi="宋体" w:eastAsia="宋体" w:cs="宋体"/>
                <w:sz w:val="21"/>
                <w:szCs w:val="21"/>
              </w:rPr>
              <w:t>案，内</w:t>
            </w:r>
            <w:r>
              <w:rPr>
                <w:rFonts w:hint="eastAsia" w:asciiTheme="minorEastAsia" w:hAnsiTheme="minorEastAsia" w:eastAsiaTheme="minorEastAsia" w:cstheme="minorEastAsia"/>
                <w:sz w:val="21"/>
                <w:szCs w:val="21"/>
              </w:rPr>
              <w:t>容</w:t>
            </w:r>
            <w:r>
              <w:rPr>
                <w:rFonts w:hint="eastAsia" w:asciiTheme="minorEastAsia" w:hAnsiTheme="minorEastAsia" w:eastAsiaTheme="minorEastAsia" w:cstheme="minorEastAsia"/>
                <w:sz w:val="21"/>
                <w:szCs w:val="21"/>
                <w:lang w:val="en-US" w:eastAsia="zh-CN"/>
              </w:rPr>
              <w:t>应</w:t>
            </w:r>
            <w:r>
              <w:rPr>
                <w:rFonts w:hint="eastAsia"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lang w:val="en-US" w:eastAsia="zh-CN"/>
              </w:rPr>
              <w:t>但不限于以下内容</w:t>
            </w:r>
            <w:r>
              <w:rPr>
                <w:rFonts w:hint="eastAsia" w:asciiTheme="minorEastAsia" w:hAnsiTheme="minorEastAsia" w:eastAsiaTheme="minorEastAsia" w:cstheme="minorEastAsia"/>
                <w:sz w:val="21"/>
                <w:szCs w:val="21"/>
              </w:rPr>
              <w:t>：</w:t>
            </w:r>
          </w:p>
          <w:p>
            <w:pPr>
              <w:spacing w:beforeLines="-2147483648" w:afterLines="-2147483648"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(1)各项规章制度</w:t>
            </w:r>
            <w:r>
              <w:rPr>
                <w:rFonts w:hint="eastAsia" w:ascii="宋体" w:hAnsi="宋体" w:eastAsia="宋体" w:cs="宋体"/>
                <w:sz w:val="21"/>
                <w:szCs w:val="21"/>
              </w:rPr>
              <w:t>；</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(2)接待服务保障方案；</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(3)安保管理方案；</w:t>
            </w:r>
          </w:p>
          <w:p>
            <w:pPr>
              <w:spacing w:beforeLines="-2147483648" w:afterLines="-2147483648" w:line="240" w:lineRule="auto"/>
              <w:rPr>
                <w:rFonts w:hint="default" w:ascii="Calibri" w:hAnsi="Calibri" w:eastAsia="宋体" w:cs="Times New Roman"/>
                <w:sz w:val="21"/>
                <w:szCs w:val="22"/>
                <w:lang w:val="en-US" w:eastAsia="zh-CN"/>
              </w:rPr>
            </w:pPr>
            <w:r>
              <w:rPr>
                <w:rFonts w:hint="eastAsia" w:ascii="宋体" w:hAnsi="宋体" w:eastAsia="宋体" w:cs="宋体"/>
                <w:sz w:val="21"/>
                <w:szCs w:val="21"/>
                <w:lang w:val="en-US" w:eastAsia="zh-CN"/>
              </w:rPr>
              <w:t>(4)餐饮保障；</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(5)应急预案。</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每</w:t>
            </w:r>
            <w:r>
              <w:rPr>
                <w:rFonts w:hint="eastAsia" w:ascii="宋体" w:hAnsi="宋体" w:eastAsia="宋体" w:cs="宋体"/>
                <w:sz w:val="21"/>
                <w:szCs w:val="21"/>
              </w:rPr>
              <w:t>满足上述</w:t>
            </w:r>
            <w:r>
              <w:rPr>
                <w:rFonts w:hint="eastAsia" w:ascii="宋体" w:hAnsi="宋体" w:eastAsia="宋体" w:cs="宋体"/>
                <w:sz w:val="21"/>
                <w:szCs w:val="21"/>
                <w:lang w:val="en-US" w:eastAsia="zh-CN"/>
              </w:rPr>
              <w:t>1项</w:t>
            </w:r>
            <w:r>
              <w:rPr>
                <w:rFonts w:hint="eastAsia" w:ascii="宋体" w:hAnsi="宋体" w:eastAsia="宋体" w:cs="宋体"/>
                <w:sz w:val="21"/>
                <w:szCs w:val="21"/>
              </w:rPr>
              <w:t>内容得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b/>
                <w:bCs/>
                <w:sz w:val="21"/>
                <w:szCs w:val="21"/>
              </w:rPr>
              <w:t>本小项最高得</w:t>
            </w:r>
            <w:r>
              <w:rPr>
                <w:rFonts w:hint="eastAsia" w:ascii="宋体" w:hAnsi="宋体" w:eastAsia="宋体" w:cs="宋体"/>
                <w:b/>
                <w:bCs/>
                <w:sz w:val="21"/>
                <w:szCs w:val="21"/>
                <w:lang w:val="en-US" w:eastAsia="zh-CN"/>
              </w:rPr>
              <w:t>20</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p>
          <w:p>
            <w:pPr>
              <w:spacing w:beforeLines="-2147483648" w:afterLines="-2147483648" w:line="240" w:lineRule="auto"/>
              <w:rPr>
                <w:rFonts w:ascii="宋体" w:hAnsi="宋体" w:eastAsia="宋体" w:cs="宋体"/>
                <w:sz w:val="21"/>
                <w:szCs w:val="21"/>
              </w:rPr>
            </w:pPr>
            <w:r>
              <w:rPr>
                <w:rFonts w:hint="eastAsia" w:ascii="宋体" w:hAnsi="宋体" w:eastAsia="宋体" w:cs="宋体"/>
                <w:sz w:val="21"/>
                <w:szCs w:val="21"/>
              </w:rPr>
              <w:t>2.在第1项</w:t>
            </w:r>
            <w:r>
              <w:rPr>
                <w:rFonts w:hint="eastAsia" w:ascii="宋体" w:hAnsi="宋体" w:eastAsia="宋体" w:cs="宋体"/>
                <w:sz w:val="21"/>
                <w:szCs w:val="21"/>
                <w:lang w:val="en-US" w:eastAsia="zh-CN"/>
              </w:rPr>
              <w:t>得分</w:t>
            </w:r>
            <w:r>
              <w:rPr>
                <w:rFonts w:hint="eastAsia" w:ascii="宋体" w:hAnsi="宋体" w:eastAsia="宋体" w:cs="宋体"/>
                <w:sz w:val="21"/>
                <w:szCs w:val="21"/>
              </w:rPr>
              <w:t>的基础上，根据以下标准进行评价评分，</w:t>
            </w:r>
            <w:r>
              <w:rPr>
                <w:rFonts w:hint="eastAsia" w:ascii="宋体" w:hAnsi="宋体" w:eastAsia="宋体" w:cs="宋体"/>
                <w:b/>
                <w:bCs/>
                <w:sz w:val="21"/>
                <w:szCs w:val="21"/>
              </w:rPr>
              <w:t>本小项最高</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分</w:t>
            </w:r>
            <w:r>
              <w:rPr>
                <w:rFonts w:hint="eastAsia" w:ascii="宋体" w:hAnsi="宋体" w:eastAsia="宋体" w:cs="宋体"/>
                <w:sz w:val="21"/>
                <w:szCs w:val="21"/>
              </w:rPr>
              <w:t>：</w:t>
            </w:r>
          </w:p>
          <w:p>
            <w:pPr>
              <w:spacing w:beforeLines="-2147483648" w:afterLines="-2147483648"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评审为优</w:t>
            </w:r>
            <w:r>
              <w:rPr>
                <w:rFonts w:hint="eastAsia" w:ascii="宋体" w:hAnsi="宋体" w:eastAsia="宋体" w:cs="宋体"/>
                <w:sz w:val="21"/>
                <w:szCs w:val="21"/>
                <w:lang w:eastAsia="zh-CN"/>
              </w:rPr>
              <w:t>：</w:t>
            </w:r>
            <w:r>
              <w:rPr>
                <w:rFonts w:hint="eastAsia" w:ascii="宋体" w:hAnsi="宋体" w:eastAsia="宋体" w:cs="宋体"/>
                <w:sz w:val="21"/>
                <w:szCs w:val="21"/>
              </w:rPr>
              <w:t>内容全面具体，针对性、科学性和可操作性强加</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eastAsia="zh-CN"/>
              </w:rPr>
              <w:t>；</w:t>
            </w:r>
          </w:p>
          <w:p>
            <w:pPr>
              <w:spacing w:beforeLines="-2147483648" w:afterLines="-2147483648"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评审为良</w:t>
            </w:r>
            <w:r>
              <w:rPr>
                <w:rFonts w:hint="eastAsia" w:ascii="宋体" w:hAnsi="宋体" w:eastAsia="宋体" w:cs="宋体"/>
                <w:sz w:val="21"/>
                <w:szCs w:val="21"/>
                <w:lang w:eastAsia="zh-CN"/>
              </w:rPr>
              <w:t>；</w:t>
            </w:r>
            <w:r>
              <w:rPr>
                <w:rFonts w:hint="eastAsia" w:ascii="宋体" w:hAnsi="宋体" w:eastAsia="宋体" w:cs="宋体"/>
                <w:sz w:val="21"/>
                <w:szCs w:val="21"/>
              </w:rPr>
              <w:t>内容较全面具体，针对性、科学性和可操作性较强加</w:t>
            </w:r>
            <w:r>
              <w:rPr>
                <w:rFonts w:hint="eastAsia" w:ascii="宋体" w:hAnsi="宋体" w:eastAsia="宋体" w:cs="宋体"/>
                <w:sz w:val="21"/>
                <w:szCs w:val="21"/>
                <w:lang w:val="en-US" w:eastAsia="zh-CN"/>
              </w:rPr>
              <w:t>7</w:t>
            </w:r>
            <w:r>
              <w:rPr>
                <w:rFonts w:hint="eastAsia" w:ascii="宋体" w:hAnsi="宋体" w:eastAsia="宋体" w:cs="宋体"/>
                <w:sz w:val="21"/>
                <w:szCs w:val="21"/>
              </w:rPr>
              <w:t>分</w:t>
            </w:r>
            <w:r>
              <w:rPr>
                <w:rFonts w:hint="eastAsia" w:ascii="宋体" w:hAnsi="宋体" w:eastAsia="宋体" w:cs="宋体"/>
                <w:sz w:val="21"/>
                <w:szCs w:val="21"/>
                <w:lang w:eastAsia="zh-CN"/>
              </w:rPr>
              <w:t>；</w:t>
            </w:r>
          </w:p>
          <w:p>
            <w:pPr>
              <w:spacing w:beforeLines="-2147483648" w:afterLines="-2147483648"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评审为中</w:t>
            </w:r>
            <w:r>
              <w:rPr>
                <w:rFonts w:hint="eastAsia" w:ascii="宋体" w:hAnsi="宋体" w:eastAsia="宋体" w:cs="宋体"/>
                <w:sz w:val="21"/>
                <w:szCs w:val="21"/>
                <w:lang w:eastAsia="zh-CN"/>
              </w:rPr>
              <w:t>：</w:t>
            </w:r>
            <w:r>
              <w:rPr>
                <w:rFonts w:hint="eastAsia" w:ascii="宋体" w:hAnsi="宋体" w:eastAsia="宋体" w:cs="宋体"/>
                <w:sz w:val="21"/>
                <w:szCs w:val="21"/>
              </w:rPr>
              <w:t>有基本内容，有一定的可操作性</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w:t>
            </w:r>
          </w:p>
          <w:p>
            <w:pPr>
              <w:spacing w:beforeLines="-2147483648" w:afterLines="-2147483648"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评审为差</w:t>
            </w:r>
            <w:r>
              <w:rPr>
                <w:rFonts w:hint="eastAsia" w:ascii="宋体" w:hAnsi="宋体" w:eastAsia="宋体" w:cs="宋体"/>
                <w:sz w:val="21"/>
                <w:szCs w:val="21"/>
                <w:lang w:eastAsia="zh-CN"/>
              </w:rPr>
              <w:t>：</w:t>
            </w:r>
            <w:r>
              <w:rPr>
                <w:rFonts w:hint="eastAsia" w:ascii="宋体" w:hAnsi="宋体" w:eastAsia="宋体" w:cs="宋体"/>
                <w:sz w:val="21"/>
                <w:szCs w:val="21"/>
              </w:rPr>
              <w:t>内容缺失，缺乏可操作性得</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p>
            <w:pPr>
              <w:spacing w:beforeLines="-2147483648" w:afterLines="-2147483648" w:line="240" w:lineRule="auto"/>
              <w:rPr>
                <w:rFonts w:hint="eastAsia" w:ascii="宋体" w:hAnsi="宋体" w:eastAsia="宋体" w:cs="宋体"/>
                <w:b/>
                <w:bCs/>
                <w:sz w:val="21"/>
                <w:szCs w:val="21"/>
              </w:rPr>
            </w:pPr>
            <w:r>
              <w:rPr>
                <w:rFonts w:hint="eastAsia" w:ascii="宋体" w:hAnsi="宋体" w:eastAsia="宋体" w:cs="宋体"/>
                <w:b/>
                <w:bCs/>
                <w:sz w:val="21"/>
                <w:szCs w:val="21"/>
              </w:rPr>
              <w:t>以上</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2项得分累计，最高</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分。</w:t>
            </w:r>
          </w:p>
          <w:p>
            <w:pPr>
              <w:spacing w:beforeLines="-2147483648" w:afterLines="-2147483648" w:line="240" w:lineRule="auto"/>
              <w:rPr>
                <w:rFonts w:hint="eastAsia" w:ascii="宋体" w:hAnsi="宋体" w:cs="宋体"/>
                <w:b/>
                <w:bCs/>
                <w:sz w:val="21"/>
                <w:szCs w:val="21"/>
                <w:lang w:val="en-US"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二</w:t>
            </w:r>
            <w:r>
              <w:rPr>
                <w:rFonts w:hint="eastAsia" w:ascii="宋体" w:hAnsi="宋体" w:cs="宋体"/>
                <w:b/>
                <w:bCs/>
                <w:sz w:val="21"/>
                <w:szCs w:val="21"/>
                <w:lang w:eastAsia="zh-CN"/>
              </w:rPr>
              <w:t>）</w:t>
            </w:r>
            <w:r>
              <w:rPr>
                <w:rFonts w:hint="eastAsia" w:ascii="宋体" w:hAnsi="宋体" w:cs="宋体"/>
                <w:b/>
                <w:bCs/>
                <w:sz w:val="21"/>
                <w:szCs w:val="21"/>
                <w:lang w:val="en-US" w:eastAsia="zh-CN"/>
              </w:rPr>
              <w:t>证明材料：</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1.提供格式自拟的接待服务保障方案与应急预案并加盖公章；</w:t>
            </w:r>
          </w:p>
          <w:p>
            <w:pPr>
              <w:spacing w:beforeLines="-2147483648" w:afterLines="-2147483648" w:line="240" w:lineRule="auto"/>
              <w:rPr>
                <w:rFonts w:hint="default" w:ascii="宋体" w:hAnsi="宋体" w:cs="宋体"/>
                <w:b/>
                <w:bCs/>
                <w:sz w:val="21"/>
                <w:szCs w:val="21"/>
                <w:lang w:val="en-US" w:eastAsia="zh-CN"/>
              </w:rPr>
            </w:pPr>
            <w:r>
              <w:rPr>
                <w:rFonts w:hint="eastAsia" w:ascii="宋体" w:hAnsi="宋体" w:eastAsia="宋体" w:cs="宋体"/>
                <w:sz w:val="21"/>
                <w:szCs w:val="21"/>
                <w:lang w:val="en-US" w:eastAsia="zh-CN"/>
              </w:rPr>
              <w:t>2.未提供证明材料或者提供的证明材料不符合要求或提供的证明材料不清晰导致评审小组无法辨认的，不得分。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项目重点难点分析、应对措施及相关的合理化建议</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Times New Roman"/>
                <w:sz w:val="21"/>
                <w:szCs w:val="21"/>
                <w:highlight w:val="none"/>
                <w:lang w:val="en-US" w:eastAsia="zh-CN"/>
              </w:rPr>
            </w:pPr>
            <w:r>
              <w:rPr>
                <w:rFonts w:hint="eastAsia" w:ascii="宋体" w:hAnsi="宋体" w:eastAsia="宋体" w:cs="宋体"/>
                <w:sz w:val="21"/>
                <w:szCs w:val="21"/>
                <w:highlight w:val="none"/>
                <w:lang w:val="en-US" w:eastAsia="zh-CN"/>
              </w:rPr>
              <w:t>20</w:t>
            </w:r>
          </w:p>
        </w:tc>
        <w:tc>
          <w:tcPr>
            <w:tcW w:w="5242" w:type="dxa"/>
            <w:tcBorders>
              <w:top w:val="single" w:color="000000" w:sz="8" w:space="0"/>
              <w:left w:val="single" w:color="000000" w:sz="8" w:space="0"/>
              <w:bottom w:val="single" w:color="000000" w:sz="8" w:space="0"/>
              <w:right w:val="single" w:color="000000" w:sz="8" w:space="0"/>
            </w:tcBorders>
            <w:vAlign w:val="top"/>
          </w:tcPr>
          <w:p>
            <w:pPr>
              <w:spacing w:beforeLines="-2147483648" w:afterLines="-2147483648" w:line="240" w:lineRule="auto"/>
              <w:rPr>
                <w:rFonts w:ascii="Calibri" w:hAnsi="Calibri" w:eastAsia="宋体" w:cs="Times New Roman"/>
                <w:b/>
                <w:bCs/>
                <w:sz w:val="21"/>
                <w:szCs w:val="22"/>
                <w:highlight w:val="none"/>
              </w:rPr>
            </w:pPr>
            <w:r>
              <w:rPr>
                <w:rFonts w:hint="eastAsia" w:ascii="Calibri" w:hAnsi="Calibri" w:eastAsia="宋体" w:cs="Times New Roman"/>
                <w:b/>
                <w:bCs/>
                <w:sz w:val="21"/>
                <w:szCs w:val="22"/>
                <w:highlight w:val="none"/>
              </w:rPr>
              <w:t>（一）评分内容</w:t>
            </w:r>
          </w:p>
          <w:p>
            <w:pPr>
              <w:spacing w:beforeLines="-2147483648" w:afterLines="-2147483648" w:line="240" w:lineRule="auto"/>
              <w:rPr>
                <w:rFonts w:hint="eastAsia" w:ascii="Calibri" w:hAnsi="Calibri" w:eastAsia="宋体" w:cs="Times New Roman"/>
                <w:sz w:val="21"/>
                <w:szCs w:val="22"/>
                <w:highlight w:val="none"/>
                <w:lang w:val="en-US" w:eastAsia="zh-CN"/>
              </w:rPr>
            </w:pPr>
            <w:r>
              <w:rPr>
                <w:rFonts w:hint="eastAsia" w:ascii="Calibri" w:hAnsi="Calibri" w:eastAsia="宋体" w:cs="Times New Roman"/>
                <w:sz w:val="21"/>
                <w:szCs w:val="22"/>
                <w:highlight w:val="none"/>
                <w:lang w:val="en-US" w:eastAsia="zh-CN"/>
              </w:rPr>
              <w:t>项目重点难点分析、应对措施及相关的合理化建议</w:t>
            </w:r>
          </w:p>
          <w:p>
            <w:pPr>
              <w:spacing w:beforeLines="-2147483648" w:afterLines="-2147483648" w:line="240" w:lineRule="auto"/>
              <w:rPr>
                <w:rFonts w:hint="eastAsia" w:ascii="Calibri" w:hAnsi="Calibri" w:eastAsia="宋体" w:cs="Times New Roman"/>
                <w:sz w:val="21"/>
                <w:szCs w:val="22"/>
                <w:highlight w:val="none"/>
                <w:lang w:val="en-US" w:eastAsia="zh-CN"/>
              </w:rPr>
            </w:pPr>
            <w:r>
              <w:rPr>
                <w:rFonts w:hint="eastAsia" w:ascii="宋体" w:hAnsi="宋体" w:eastAsia="宋体" w:cs="宋体"/>
                <w:sz w:val="21"/>
                <w:szCs w:val="21"/>
                <w:lang w:val="en-US" w:eastAsia="zh-CN"/>
              </w:rPr>
              <w:t>1.</w:t>
            </w:r>
            <w:r>
              <w:rPr>
                <w:rFonts w:hint="eastAsia" w:ascii="Calibri" w:hAnsi="Calibri" w:eastAsia="宋体" w:cs="Times New Roman"/>
                <w:sz w:val="21"/>
                <w:szCs w:val="22"/>
                <w:highlight w:val="none"/>
                <w:lang w:val="en-US" w:eastAsia="zh-CN"/>
              </w:rPr>
              <w:t>评审内容：</w:t>
            </w:r>
          </w:p>
          <w:p>
            <w:pPr>
              <w:spacing w:beforeLines="-2147483648" w:afterLines="-2147483648" w:line="240" w:lineRule="auto"/>
              <w:rPr>
                <w:rFonts w:hint="eastAsia" w:ascii="Calibri" w:hAnsi="Calibri" w:eastAsia="宋体" w:cs="Times New Roman"/>
                <w:sz w:val="21"/>
                <w:szCs w:val="22"/>
                <w:highlight w:val="none"/>
                <w:lang w:val="en-US" w:eastAsia="zh-CN"/>
              </w:rPr>
            </w:pPr>
            <w:r>
              <w:rPr>
                <w:rFonts w:hint="eastAsia" w:ascii="Calibri" w:hAnsi="Calibri" w:eastAsia="宋体" w:cs="Times New Roman"/>
                <w:sz w:val="21"/>
                <w:szCs w:val="22"/>
                <w:highlight w:val="none"/>
                <w:lang w:val="en-US" w:eastAsia="zh-CN"/>
              </w:rPr>
              <w:t>根据投标人提供的项目重点难点分析、应对措施及相关的合理化建议进行评审，内容包括但不限于以下内容：</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酒店住宿（含餐饮、会议室）保障重点难点分析；</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应对措施及相关的合理化建议；</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项目的突发事件应急预案。</w:t>
            </w:r>
          </w:p>
          <w:p>
            <w:pPr>
              <w:spacing w:beforeLines="-2147483648" w:afterLines="-2147483648" w:line="24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（二）评分标准</w:t>
            </w:r>
          </w:p>
          <w:p>
            <w:pPr>
              <w:spacing w:beforeLines="-2147483648" w:afterLines="-2147483648" w:line="240" w:lineRule="auto"/>
              <w:rPr>
                <w:rFonts w:ascii="宋体" w:hAnsi="宋体" w:eastAsia="宋体" w:cs="宋体"/>
                <w:sz w:val="21"/>
                <w:szCs w:val="21"/>
              </w:rPr>
            </w:pPr>
            <w:r>
              <w:rPr>
                <w:rFonts w:hint="eastAsia" w:ascii="宋体" w:hAnsi="宋体" w:eastAsia="宋体" w:cs="宋体"/>
                <w:sz w:val="21"/>
                <w:szCs w:val="21"/>
                <w:lang w:eastAsia="zh-CN"/>
              </w:rPr>
              <w:t>每</w:t>
            </w:r>
            <w:r>
              <w:rPr>
                <w:rFonts w:hint="eastAsia" w:ascii="宋体" w:hAnsi="宋体" w:eastAsia="宋体" w:cs="宋体"/>
                <w:sz w:val="21"/>
                <w:szCs w:val="21"/>
              </w:rPr>
              <w:t>满足上述</w:t>
            </w:r>
            <w:r>
              <w:rPr>
                <w:rFonts w:hint="eastAsia" w:ascii="宋体" w:hAnsi="宋体" w:eastAsia="宋体" w:cs="宋体"/>
                <w:sz w:val="21"/>
                <w:szCs w:val="21"/>
                <w:lang w:val="en-US" w:eastAsia="zh-CN"/>
              </w:rPr>
              <w:t>1项</w:t>
            </w:r>
            <w:r>
              <w:rPr>
                <w:rFonts w:hint="eastAsia" w:ascii="宋体" w:hAnsi="宋体" w:eastAsia="宋体" w:cs="宋体"/>
                <w:sz w:val="21"/>
                <w:szCs w:val="21"/>
              </w:rPr>
              <w:t>内容得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b/>
                <w:bCs/>
                <w:sz w:val="21"/>
                <w:szCs w:val="21"/>
              </w:rPr>
              <w:t>本小项最高得</w:t>
            </w:r>
            <w:r>
              <w:rPr>
                <w:rFonts w:hint="eastAsia" w:ascii="宋体" w:hAnsi="宋体" w:eastAsia="宋体" w:cs="宋体"/>
                <w:b/>
                <w:bCs/>
                <w:sz w:val="21"/>
                <w:szCs w:val="21"/>
                <w:lang w:val="en-US" w:eastAsia="zh-CN"/>
              </w:rPr>
              <w:t>12</w:t>
            </w:r>
            <w:r>
              <w:rPr>
                <w:rFonts w:hint="eastAsia" w:ascii="宋体" w:hAnsi="宋体" w:eastAsia="宋体" w:cs="宋体"/>
                <w:b/>
                <w:bCs/>
                <w:sz w:val="21"/>
                <w:szCs w:val="21"/>
              </w:rPr>
              <w:t>分</w:t>
            </w:r>
            <w:r>
              <w:rPr>
                <w:rFonts w:hint="eastAsia" w:ascii="宋体" w:hAnsi="宋体" w:eastAsia="宋体" w:cs="宋体"/>
                <w:b/>
                <w:bCs/>
                <w:sz w:val="21"/>
                <w:szCs w:val="21"/>
                <w:lang w:eastAsia="zh-CN"/>
              </w:rPr>
              <w:t>。在此</w:t>
            </w:r>
            <w:r>
              <w:rPr>
                <w:rFonts w:hint="eastAsia" w:ascii="宋体" w:hAnsi="宋体" w:eastAsia="宋体" w:cs="宋体"/>
                <w:sz w:val="21"/>
                <w:szCs w:val="21"/>
              </w:rPr>
              <w:t>基础上，根据以下标准进行评价评分：</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①评审为优：内容全面具体，针对性、科学性和可操作性强加8分；</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②评审为良；内容较全面具体，针对性、科学性和可操作性较强加6分；</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③评审为中：有基本内容，有一定的可操作性4分；</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④评审为差：内容缺失，缺乏可操作性得0分。</w:t>
            </w:r>
          </w:p>
          <w:p>
            <w:pPr>
              <w:spacing w:beforeLines="-2147483648" w:afterLines="-2147483648" w:line="240" w:lineRule="auto"/>
              <w:rPr>
                <w:rFonts w:hint="default" w:ascii="Calibri" w:hAnsi="Calibri" w:cs="Times New Roman"/>
                <w:kern w:val="2"/>
                <w:sz w:val="21"/>
                <w:szCs w:val="22"/>
                <w:highlight w:val="none"/>
                <w:lang w:val="en-US" w:eastAsia="zh-CN" w:bidi="ar-SA"/>
              </w:rPr>
            </w:pPr>
            <w:r>
              <w:rPr>
                <w:rFonts w:hint="eastAsia" w:ascii="宋体" w:hAnsi="宋体" w:eastAsia="宋体" w:cs="宋体"/>
                <w:b w:val="0"/>
                <w:bCs w:val="0"/>
                <w:sz w:val="21"/>
                <w:szCs w:val="21"/>
                <w:lang w:eastAsia="zh-CN"/>
              </w:rPr>
              <w:t>本项</w:t>
            </w:r>
            <w:r>
              <w:rPr>
                <w:rFonts w:hint="eastAsia" w:ascii="宋体" w:hAnsi="宋体" w:eastAsia="宋体" w:cs="宋体"/>
                <w:b w:val="0"/>
                <w:bCs w:val="0"/>
                <w:sz w:val="21"/>
                <w:szCs w:val="21"/>
              </w:rPr>
              <w:t>最高</w:t>
            </w:r>
            <w:r>
              <w:rPr>
                <w:rFonts w:hint="eastAsia" w:ascii="宋体" w:hAnsi="宋体" w:eastAsia="宋体" w:cs="宋体"/>
                <w:b w:val="0"/>
                <w:bCs w:val="0"/>
                <w:sz w:val="21"/>
                <w:szCs w:val="21"/>
                <w:lang w:eastAsia="zh-CN"/>
              </w:rPr>
              <w:t>得</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Calibri" w:hAnsi="Calibri" w:eastAsia="宋体" w:cs="Times New Roman"/>
                <w:color w:val="000000"/>
                <w:kern w:val="2"/>
                <w:sz w:val="21"/>
                <w:szCs w:val="21"/>
                <w:lang w:val="en-US" w:eastAsia="zh-CN" w:bidi="ar-SA"/>
              </w:rPr>
            </w:pPr>
            <w:r>
              <w:rPr>
                <w:rFonts w:hint="eastAsia" w:ascii="宋体" w:hAnsi="宋体" w:eastAsia="宋体" w:cs="宋体"/>
                <w:b w:val="0"/>
                <w:bCs w:val="0"/>
                <w:sz w:val="21"/>
                <w:szCs w:val="21"/>
                <w:lang w:val="en-US" w:eastAsia="zh-CN"/>
              </w:rPr>
              <w:t>质量保障措施及方案</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lang w:val="en-US" w:eastAsia="zh-CN"/>
              </w:rPr>
              <w:t>20</w:t>
            </w:r>
          </w:p>
        </w:tc>
        <w:tc>
          <w:tcPr>
            <w:tcW w:w="5242"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Calibri" w:hAnsi="Calibri" w:eastAsia="宋体" w:cs="Times New Roman"/>
                <w:b/>
                <w:sz w:val="21"/>
                <w:szCs w:val="21"/>
                <w:highlight w:val="none"/>
              </w:rPr>
            </w:pPr>
            <w:r>
              <w:rPr>
                <w:rFonts w:hint="eastAsia" w:ascii="Calibri" w:hAnsi="Calibri" w:eastAsia="宋体" w:cs="Times New Roman"/>
                <w:b/>
                <w:sz w:val="21"/>
                <w:szCs w:val="21"/>
                <w:highlight w:val="none"/>
              </w:rPr>
              <w:t>（一）评分内容</w:t>
            </w:r>
          </w:p>
          <w:p>
            <w:pPr>
              <w:spacing w:beforeLines="-2147483648" w:afterLines="-2147483648"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根据投标人提供的质量保障措施及方案进行评审，内容包括但不限于以下内容：</w:t>
            </w:r>
          </w:p>
          <w:p>
            <w:pPr>
              <w:spacing w:beforeLines="-2147483648" w:afterLines="-2147483648"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（1）酒店住宿服务质量管理；</w:t>
            </w:r>
          </w:p>
          <w:p>
            <w:pPr>
              <w:spacing w:beforeLines="-2147483648" w:afterLines="-2147483648"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（2）餐饮服务质量管理；</w:t>
            </w:r>
          </w:p>
          <w:p>
            <w:pPr>
              <w:spacing w:beforeLines="-2147483648" w:afterLines="-2147483648"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（3）会议室服务质量管理</w:t>
            </w:r>
            <w:r>
              <w:rPr>
                <w:rFonts w:hint="eastAsia" w:ascii="宋体" w:hAnsi="宋体" w:eastAsia="宋体" w:cs="宋体"/>
                <w:sz w:val="21"/>
                <w:szCs w:val="21"/>
                <w:highlight w:val="none"/>
                <w:lang w:eastAsia="zh-CN"/>
              </w:rPr>
              <w:t>。</w:t>
            </w:r>
          </w:p>
          <w:p>
            <w:pPr>
              <w:spacing w:beforeLines="-2147483648" w:afterLines="-2147483648" w:line="240" w:lineRule="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lang w:val="en-US" w:eastAsia="zh-CN"/>
              </w:rPr>
              <w:t>（二）评分标准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每满足上述1项内容得</w:t>
            </w: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分，本小项最高得12分。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eastAsia="zh-CN"/>
              </w:rPr>
              <w:t>此</w:t>
            </w:r>
            <w:r>
              <w:rPr>
                <w:rFonts w:hint="eastAsia" w:ascii="宋体" w:hAnsi="宋体" w:eastAsia="宋体" w:cs="宋体"/>
                <w:b w:val="0"/>
                <w:bCs w:val="0"/>
                <w:sz w:val="21"/>
                <w:szCs w:val="21"/>
                <w:highlight w:val="none"/>
              </w:rPr>
              <w:t>基础上，根据以下标准进行评价评分：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①</w:t>
            </w:r>
            <w:r>
              <w:rPr>
                <w:rFonts w:hint="eastAsia" w:ascii="宋体" w:hAnsi="宋体" w:eastAsia="宋体" w:cs="宋体"/>
                <w:b w:val="0"/>
                <w:bCs w:val="0"/>
                <w:sz w:val="21"/>
                <w:szCs w:val="21"/>
                <w:highlight w:val="none"/>
              </w:rPr>
              <w:t>评审为优：内容全面具体，针对性、科学性和可操作性强加8分；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②</w:t>
            </w:r>
            <w:r>
              <w:rPr>
                <w:rFonts w:hint="eastAsia" w:ascii="宋体" w:hAnsi="宋体" w:eastAsia="宋体" w:cs="宋体"/>
                <w:b w:val="0"/>
                <w:bCs w:val="0"/>
                <w:sz w:val="21"/>
                <w:szCs w:val="21"/>
                <w:highlight w:val="none"/>
              </w:rPr>
              <w:t>评审为良；内容较全面具体，针对性、科学性和可操作性较强加6分；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③</w:t>
            </w:r>
            <w:r>
              <w:rPr>
                <w:rFonts w:hint="eastAsia" w:ascii="宋体" w:hAnsi="宋体" w:eastAsia="宋体" w:cs="宋体"/>
                <w:b w:val="0"/>
                <w:bCs w:val="0"/>
                <w:sz w:val="21"/>
                <w:szCs w:val="21"/>
                <w:highlight w:val="none"/>
              </w:rPr>
              <w:t>评审为中：有基本内容，有一定的可操作性4分；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宋体" w:hAnsi="宋体" w:eastAsia="宋体" w:cs="宋体"/>
                <w:sz w:val="21"/>
                <w:szCs w:val="21"/>
                <w:lang w:val="en-US" w:eastAsia="zh-CN"/>
              </w:rPr>
              <w:t>④</w:t>
            </w:r>
            <w:r>
              <w:rPr>
                <w:rFonts w:hint="eastAsia" w:ascii="宋体" w:hAnsi="宋体" w:eastAsia="宋体" w:cs="宋体"/>
                <w:b w:val="0"/>
                <w:bCs w:val="0"/>
                <w:sz w:val="21"/>
                <w:szCs w:val="21"/>
                <w:highlight w:val="none"/>
              </w:rPr>
              <w:t>评审为差：内容缺失，缺乏可操作性得0分。</w:t>
            </w:r>
          </w:p>
          <w:p>
            <w:pPr>
              <w:widowControl/>
              <w:spacing w:beforeLines="-2147483648" w:after="0" w:afterLines="-2147483648" w:line="240" w:lineRule="auto"/>
              <w:jc w:val="left"/>
              <w:rPr>
                <w:rFonts w:hint="default" w:ascii="Times New Roman" w:hAnsi="Times New Roman" w:eastAsia="宋体" w:cs="Times New Roman"/>
                <w:kern w:val="2"/>
                <w:sz w:val="21"/>
                <w:szCs w:val="24"/>
                <w:highlight w:val="none"/>
                <w:lang w:val="en-US" w:eastAsia="zh-CN" w:bidi="ar-SA"/>
              </w:rPr>
            </w:pPr>
            <w:r>
              <w:rPr>
                <w:rFonts w:hint="eastAsia" w:ascii="宋体" w:hAnsi="宋体" w:eastAsia="宋体" w:cs="宋体"/>
                <w:b w:val="0"/>
                <w:bCs w:val="0"/>
                <w:sz w:val="21"/>
                <w:szCs w:val="21"/>
                <w:highlight w:val="none"/>
                <w:lang w:eastAsia="zh-CN"/>
              </w:rPr>
              <w:t>本项最高得</w:t>
            </w:r>
            <w:r>
              <w:rPr>
                <w:rFonts w:hint="eastAsia" w:ascii="宋体" w:hAnsi="宋体" w:eastAsia="宋体" w:cs="宋体"/>
                <w:b w:val="0"/>
                <w:bCs w:val="0"/>
                <w:sz w:val="21"/>
                <w:szCs w:val="21"/>
                <w:highlight w:val="none"/>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0" w:type="auto"/>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拟派本项目的服务执行团队人员情况</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5242" w:type="dxa"/>
            <w:tcBorders>
              <w:top w:val="single" w:color="000000" w:sz="8" w:space="0"/>
              <w:left w:val="single" w:color="000000" w:sz="8" w:space="0"/>
              <w:bottom w:val="single" w:color="000000" w:sz="8" w:space="0"/>
              <w:right w:val="single" w:color="000000" w:sz="8" w:space="0"/>
            </w:tcBorders>
            <w:vAlign w:val="top"/>
          </w:tcPr>
          <w:p>
            <w:pPr>
              <w:spacing w:beforeLines="-2147483648" w:afterLines="-2147483648" w:line="240" w:lineRule="auto"/>
              <w:rPr>
                <w:rFonts w:ascii="Calibri" w:hAnsi="Calibri" w:eastAsia="宋体" w:cs="Times New Roman"/>
                <w:b/>
                <w:bCs/>
                <w:sz w:val="21"/>
                <w:szCs w:val="22"/>
                <w:highlight w:val="none"/>
              </w:rPr>
            </w:pPr>
            <w:r>
              <w:rPr>
                <w:rFonts w:hint="eastAsia" w:ascii="Calibri" w:hAnsi="Calibri" w:eastAsia="宋体" w:cs="Times New Roman"/>
                <w:b/>
                <w:bCs/>
                <w:sz w:val="21"/>
                <w:szCs w:val="22"/>
                <w:highlight w:val="none"/>
              </w:rPr>
              <w:t>（一）评分内容</w:t>
            </w:r>
          </w:p>
          <w:p>
            <w:pPr>
              <w:widowControl/>
              <w:spacing w:beforeLines="-2147483648" w:after="0" w:afterLines="-2147483648" w:line="240" w:lineRule="auto"/>
              <w:jc w:val="left"/>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b w:val="0"/>
                <w:bCs w:val="0"/>
                <w:sz w:val="21"/>
                <w:szCs w:val="21"/>
                <w:highlight w:val="none"/>
              </w:rPr>
              <w:t>拟派本项目的服务执行团队人员（含前期筹备人员，</w:t>
            </w:r>
            <w:r>
              <w:rPr>
                <w:rFonts w:hint="eastAsia" w:ascii="宋体" w:hAnsi="宋体" w:eastAsia="宋体" w:cs="宋体"/>
                <w:b w:val="0"/>
                <w:bCs w:val="0"/>
                <w:sz w:val="21"/>
                <w:szCs w:val="21"/>
                <w:highlight w:val="none"/>
                <w:lang w:val="en-US" w:eastAsia="zh-CN"/>
              </w:rPr>
              <w:t>酒店管理</w:t>
            </w:r>
            <w:r>
              <w:rPr>
                <w:rFonts w:hint="eastAsia" w:ascii="宋体" w:hAnsi="宋体" w:eastAsia="宋体" w:cs="宋体"/>
                <w:b w:val="0"/>
                <w:bCs w:val="0"/>
                <w:sz w:val="21"/>
                <w:szCs w:val="21"/>
                <w:highlight w:val="none"/>
              </w:rPr>
              <w:t>服务人员，</w:t>
            </w:r>
            <w:r>
              <w:rPr>
                <w:rFonts w:hint="eastAsia" w:ascii="宋体" w:hAnsi="宋体" w:eastAsia="宋体" w:cs="宋体"/>
                <w:b w:val="0"/>
                <w:bCs w:val="0"/>
                <w:sz w:val="21"/>
                <w:szCs w:val="21"/>
                <w:highlight w:val="none"/>
                <w:lang w:val="en-US" w:eastAsia="zh-CN"/>
              </w:rPr>
              <w:t>酒店服务</w:t>
            </w:r>
            <w:r>
              <w:rPr>
                <w:rFonts w:hint="eastAsia" w:ascii="宋体" w:hAnsi="宋体" w:eastAsia="宋体" w:cs="宋体"/>
                <w:b w:val="0"/>
                <w:bCs w:val="0"/>
                <w:sz w:val="21"/>
                <w:szCs w:val="21"/>
                <w:highlight w:val="none"/>
              </w:rPr>
              <w:t>人员等），必须都是投标人自有员工，否则本项不得分</w:t>
            </w:r>
            <w:r>
              <w:rPr>
                <w:rFonts w:hint="eastAsia" w:ascii="宋体" w:hAnsi="宋体" w:eastAsia="宋体" w:cs="宋体"/>
                <w:b w:val="0"/>
                <w:bCs w:val="0"/>
                <w:sz w:val="21"/>
                <w:szCs w:val="21"/>
                <w:highlight w:val="none"/>
                <w:lang w:eastAsia="zh-CN"/>
              </w:rPr>
              <w:t>。</w:t>
            </w:r>
          </w:p>
          <w:p>
            <w:pPr>
              <w:widowControl/>
              <w:spacing w:beforeLines="-2147483648" w:after="0" w:afterLines="-2147483648" w:line="240" w:lineRule="auto"/>
              <w:jc w:val="left"/>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b w:val="0"/>
                <w:bCs w:val="0"/>
                <w:sz w:val="21"/>
                <w:szCs w:val="21"/>
                <w:highlight w:val="none"/>
              </w:rPr>
              <w:t>拟派</w:t>
            </w:r>
            <w:r>
              <w:rPr>
                <w:rFonts w:hint="eastAsia" w:ascii="宋体" w:hAnsi="宋体" w:eastAsia="宋体" w:cs="宋体"/>
                <w:b w:val="0"/>
                <w:bCs w:val="0"/>
                <w:sz w:val="21"/>
                <w:szCs w:val="21"/>
                <w:highlight w:val="none"/>
                <w:lang w:val="en-US" w:eastAsia="zh-CN"/>
              </w:rPr>
              <w:t>服务</w:t>
            </w:r>
            <w:r>
              <w:rPr>
                <w:rFonts w:hint="eastAsia" w:ascii="宋体" w:hAnsi="宋体" w:eastAsia="宋体" w:cs="宋体"/>
                <w:b w:val="0"/>
                <w:bCs w:val="0"/>
                <w:sz w:val="21"/>
                <w:szCs w:val="21"/>
                <w:highlight w:val="none"/>
              </w:rPr>
              <w:t>执行团队</w:t>
            </w:r>
            <w:r>
              <w:rPr>
                <w:rFonts w:hint="eastAsia" w:ascii="宋体" w:hAnsi="宋体" w:eastAsia="宋体" w:cs="宋体"/>
                <w:b w:val="0"/>
                <w:bCs w:val="0"/>
                <w:sz w:val="21"/>
                <w:szCs w:val="21"/>
                <w:highlight w:val="none"/>
                <w:lang w:val="en-US" w:eastAsia="zh-CN"/>
              </w:rPr>
              <w:t>人</w:t>
            </w:r>
            <w:r>
              <w:rPr>
                <w:rFonts w:hint="eastAsia" w:ascii="宋体" w:hAnsi="宋体" w:eastAsia="宋体" w:cs="宋体"/>
                <w:b w:val="0"/>
                <w:bCs w:val="0"/>
                <w:sz w:val="21"/>
                <w:szCs w:val="21"/>
                <w:highlight w:val="none"/>
              </w:rPr>
              <w:t>员</w:t>
            </w:r>
            <w:r>
              <w:rPr>
                <w:rFonts w:hint="eastAsia" w:ascii="宋体" w:hAnsi="宋体" w:eastAsia="宋体" w:cs="宋体"/>
                <w:b w:val="0"/>
                <w:bCs w:val="0"/>
                <w:sz w:val="21"/>
                <w:szCs w:val="21"/>
                <w:highlight w:val="none"/>
                <w:lang w:val="en-US" w:eastAsia="zh-CN"/>
              </w:rPr>
              <w:t>要求</w:t>
            </w:r>
            <w:r>
              <w:rPr>
                <w:rFonts w:hint="eastAsia" w:ascii="宋体" w:hAnsi="宋体" w:eastAsia="宋体" w:cs="宋体"/>
                <w:b w:val="0"/>
                <w:bCs w:val="0"/>
                <w:sz w:val="21"/>
                <w:szCs w:val="21"/>
                <w:highlight w:val="none"/>
                <w:lang w:eastAsia="zh-CN"/>
              </w:rPr>
              <w:t>：</w:t>
            </w:r>
          </w:p>
          <w:p>
            <w:pPr>
              <w:widowControl/>
              <w:spacing w:beforeLines="-2147483648" w:after="0" w:afterLines="-2147483648"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①安排1名（仅限1名）学历为本科及以上的项目负责人得2分，负责人同时为酒店相关专业得3分；</w:t>
            </w:r>
            <w:r>
              <w:rPr>
                <w:rFonts w:hint="eastAsia" w:ascii="宋体" w:hAnsi="宋体" w:eastAsia="宋体" w:cs="宋体"/>
                <w:b/>
                <w:bCs/>
                <w:sz w:val="21"/>
                <w:szCs w:val="21"/>
              </w:rPr>
              <w:t>本小项最高得</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分</w:t>
            </w:r>
          </w:p>
          <w:p>
            <w:pPr>
              <w:widowControl/>
              <w:spacing w:beforeLines="-2147483648" w:after="0" w:afterLines="-2147483648"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②除项目负责人外拟安排的团队中每含有1名学历为专科得1分；</w:t>
            </w:r>
            <w:r>
              <w:rPr>
                <w:rFonts w:hint="eastAsia" w:ascii="宋体" w:hAnsi="宋体" w:eastAsia="宋体" w:cs="宋体"/>
                <w:b/>
                <w:bCs/>
                <w:sz w:val="21"/>
                <w:szCs w:val="21"/>
              </w:rPr>
              <w:t>本小项最高得</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分</w:t>
            </w:r>
          </w:p>
          <w:p>
            <w:pPr>
              <w:widowControl/>
              <w:spacing w:beforeLines="-2147483648" w:after="0" w:afterLines="-2147483648" w:line="240" w:lineRule="auto"/>
              <w:jc w:val="left"/>
              <w:rPr>
                <w:rFonts w:hint="eastAsia" w:ascii="宋体" w:hAnsi="宋体" w:eastAsia="宋体" w:cs="宋体"/>
                <w:b w:val="0"/>
                <w:bCs w:val="0"/>
                <w:sz w:val="21"/>
                <w:szCs w:val="21"/>
                <w:highlight w:val="none"/>
              </w:rPr>
            </w:pPr>
            <w:r>
              <w:rPr>
                <w:rFonts w:hint="eastAsia" w:ascii="黑体" w:hAnsi="黑体" w:eastAsia="黑体" w:cs="黑体"/>
                <w:b w:val="0"/>
                <w:bCs w:val="0"/>
                <w:sz w:val="21"/>
                <w:szCs w:val="21"/>
                <w:highlight w:val="none"/>
                <w:lang w:eastAsia="zh-CN"/>
              </w:rPr>
              <w:t>本项最高得</w:t>
            </w:r>
            <w:r>
              <w:rPr>
                <w:rFonts w:hint="eastAsia" w:ascii="黑体" w:hAnsi="黑体" w:eastAsia="黑体" w:cs="黑体"/>
                <w:b w:val="0"/>
                <w:bCs w:val="0"/>
                <w:sz w:val="21"/>
                <w:szCs w:val="21"/>
                <w:highlight w:val="none"/>
                <w:lang w:val="en-US" w:eastAsia="zh-CN"/>
              </w:rPr>
              <w:t>10</w:t>
            </w:r>
            <w:r>
              <w:rPr>
                <w:rFonts w:hint="eastAsia" w:ascii="黑体" w:hAnsi="黑体" w:eastAsia="黑体" w:cs="黑体"/>
                <w:b w:val="0"/>
                <w:bCs w:val="0"/>
                <w:sz w:val="21"/>
                <w:szCs w:val="21"/>
                <w:highlight w:val="none"/>
              </w:rPr>
              <w:t>分</w:t>
            </w:r>
            <w:r>
              <w:rPr>
                <w:rFonts w:hint="eastAsia" w:ascii="宋体" w:hAnsi="宋体" w:eastAsia="宋体" w:cs="宋体"/>
                <w:b w:val="0"/>
                <w:bCs w:val="0"/>
                <w:sz w:val="21"/>
                <w:szCs w:val="21"/>
                <w:highlight w:val="none"/>
              </w:rPr>
              <w:t>。</w:t>
            </w:r>
          </w:p>
          <w:p>
            <w:pPr>
              <w:spacing w:beforeLines="-2147483648" w:afterLines="-2147483648" w:line="240" w:lineRule="auto"/>
              <w:rPr>
                <w:rFonts w:hint="default" w:ascii="Calibri" w:hAnsi="Calibri" w:eastAsia="宋体" w:cs="Times New Roman"/>
                <w:b/>
                <w:bCs/>
                <w:sz w:val="21"/>
                <w:szCs w:val="22"/>
                <w:highlight w:val="none"/>
                <w:lang w:val="en-US" w:eastAsia="zh-CN"/>
              </w:rPr>
            </w:pPr>
            <w:r>
              <w:rPr>
                <w:rFonts w:hint="eastAsia" w:ascii="Calibri" w:hAnsi="Calibri" w:eastAsia="宋体" w:cs="Times New Roman"/>
                <w:b/>
                <w:bCs/>
                <w:sz w:val="21"/>
                <w:szCs w:val="22"/>
                <w:highlight w:val="none"/>
              </w:rPr>
              <w:t>（二）</w:t>
            </w:r>
            <w:r>
              <w:rPr>
                <w:rFonts w:hint="eastAsia" w:ascii="Calibri" w:hAnsi="Calibri" w:eastAsia="宋体" w:cs="Times New Roman"/>
                <w:b/>
                <w:bCs/>
                <w:sz w:val="21"/>
                <w:szCs w:val="22"/>
                <w:highlight w:val="none"/>
                <w:lang w:val="en-US" w:eastAsia="zh-CN"/>
              </w:rPr>
              <w:t>证明材料</w:t>
            </w:r>
          </w:p>
          <w:p>
            <w:pPr>
              <w:widowControl/>
              <w:spacing w:beforeLines="-2147483648" w:after="0" w:afterLines="-2147483648" w:line="240" w:lineRule="auto"/>
              <w:jc w:val="left"/>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提供（学信网https://www.chsi.com.cn）查询截图（对于较早颁发的学历证书、学位证书学信网无法查询的，可提供毕业院校或者人社部门等颁发机构或监管机构等单位出具的证明；在海外留学并取得学历、学位的，学信网无法查询的，可提供教育部留学服务中心出具的国外学历学位认证证书以及教育部留学服务中心官网查询截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restart"/>
            <w:tcBorders>
              <w:top w:val="single" w:color="000000" w:sz="8" w:space="0"/>
              <w:left w:val="single" w:color="000000" w:sz="8" w:space="0"/>
              <w:right w:val="single" w:color="000000" w:sz="8" w:space="0"/>
            </w:tcBorders>
          </w:tcPr>
          <w:p>
            <w:pPr>
              <w:spacing w:beforeLines="-2147483648" w:afterLines="-2147483648" w:line="240" w:lineRule="auto"/>
              <w:jc w:val="center"/>
              <w:rPr>
                <w:rFonts w:hint="eastAsia" w:ascii="宋体" w:hAnsi="宋体" w:eastAsia="宋体" w:cs="宋体"/>
                <w:b/>
                <w:bCs/>
                <w:color w:val="0000FF"/>
                <w:sz w:val="21"/>
                <w:szCs w:val="21"/>
                <w:lang w:eastAsia="zh-CN"/>
              </w:rPr>
            </w:pPr>
            <w:r>
              <w:rPr>
                <w:rFonts w:hint="eastAsia" w:ascii="宋体" w:hAnsi="宋体" w:eastAsia="宋体" w:cs="宋体"/>
                <w:b/>
                <w:bCs/>
                <w:color w:val="0000FF"/>
                <w:sz w:val="21"/>
                <w:szCs w:val="21"/>
                <w:lang w:val="en-US" w:eastAsia="zh-CN"/>
              </w:rPr>
              <w:t>2</w:t>
            </w:r>
          </w:p>
        </w:tc>
        <w:tc>
          <w:tcPr>
            <w:tcW w:w="3142" w:type="dxa"/>
            <w:gridSpan w:val="3"/>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default" w:ascii="宋体" w:hAnsi="宋体" w:eastAsia="宋体" w:cs="宋体"/>
                <w:b/>
                <w:bCs/>
                <w:color w:val="0000FF"/>
                <w:sz w:val="21"/>
                <w:szCs w:val="21"/>
                <w:lang w:val="en-US"/>
              </w:rPr>
            </w:pPr>
            <w:r>
              <w:rPr>
                <w:rFonts w:hint="eastAsia" w:ascii="宋体" w:hAnsi="宋体" w:eastAsia="宋体" w:cs="宋体"/>
                <w:b/>
                <w:bCs/>
                <w:color w:val="0000FF"/>
                <w:sz w:val="21"/>
                <w:szCs w:val="21"/>
                <w:lang w:val="en-US" w:eastAsia="zh-CN"/>
              </w:rPr>
              <w:t>商务部分</w:t>
            </w:r>
          </w:p>
        </w:tc>
        <w:tc>
          <w:tcPr>
            <w:tcW w:w="5242" w:type="dxa"/>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8384" w:type="dxa"/>
            <w:gridSpan w:val="4"/>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continue"/>
            <w:tcBorders>
              <w:left w:val="single" w:color="000000" w:sz="8" w:space="0"/>
              <w:right w:val="single" w:color="000000" w:sz="8" w:space="0"/>
            </w:tcBorders>
            <w:shd w:val="clear" w:color="auto" w:fill="E6EFFA"/>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171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评分因素</w:t>
            </w:r>
          </w:p>
        </w:tc>
        <w:tc>
          <w:tcPr>
            <w:tcW w:w="84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权重(%)</w:t>
            </w:r>
          </w:p>
        </w:tc>
        <w:tc>
          <w:tcPr>
            <w:tcW w:w="5242"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574" w:type="dxa"/>
            <w:vMerge w:val="continue"/>
            <w:tcBorders>
              <w:left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eastAsia="zh-CN"/>
              </w:rPr>
            </w:pPr>
            <w:r>
              <w:rPr>
                <w:rFonts w:hint="eastAsia" w:ascii="Calibri" w:hAnsi="Calibri" w:eastAsia="宋体" w:cs="Times New Roman"/>
                <w:color w:val="000000"/>
                <w:sz w:val="21"/>
                <w:szCs w:val="21"/>
                <w:lang w:eastAsia="zh-CN"/>
              </w:rPr>
              <w:t>同类项目经验</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242"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Calibri" w:hAnsi="Calibri" w:eastAsia="宋体" w:cs="Times New Roman"/>
                <w:b/>
                <w:sz w:val="21"/>
                <w:szCs w:val="21"/>
              </w:rPr>
            </w:pPr>
            <w:r>
              <w:rPr>
                <w:rFonts w:hint="eastAsia" w:ascii="Calibri" w:hAnsi="Calibri" w:eastAsia="宋体" w:cs="Times New Roman"/>
                <w:b/>
                <w:sz w:val="21"/>
                <w:szCs w:val="21"/>
              </w:rPr>
              <w:t>（一）评分内容</w:t>
            </w:r>
          </w:p>
          <w:p>
            <w:pPr>
              <w:spacing w:beforeLines="-2147483648" w:afterLines="-2147483648" w:line="240" w:lineRule="auto"/>
              <w:rPr>
                <w:rFonts w:hint="eastAsia" w:asciiTheme="minorEastAsia" w:hAnsiTheme="minorEastAsia" w:eastAsiaTheme="minorEastAsia" w:cstheme="minorEastAsia"/>
                <w:sz w:val="21"/>
                <w:szCs w:val="22"/>
                <w:lang w:val="en-US" w:eastAsia="zh-CN"/>
              </w:rPr>
            </w:pPr>
            <w:r>
              <w:rPr>
                <w:rFonts w:hint="eastAsia" w:asciiTheme="minorEastAsia" w:hAnsiTheme="minorEastAsia" w:eastAsiaTheme="minorEastAsia" w:cstheme="minorEastAsia"/>
                <w:sz w:val="21"/>
                <w:szCs w:val="21"/>
                <w:lang w:val="en-US" w:eastAsia="zh-CN"/>
              </w:rPr>
              <w:t>自2022</w:t>
            </w:r>
            <w:bookmarkStart w:id="0" w:name="_GoBack"/>
            <w:bookmarkEnd w:id="0"/>
            <w:r>
              <w:rPr>
                <w:rFonts w:hint="eastAsia" w:asciiTheme="minorEastAsia" w:hAnsiTheme="minorEastAsia" w:eastAsiaTheme="minorEastAsia" w:cstheme="minorEastAsia"/>
                <w:sz w:val="21"/>
                <w:szCs w:val="21"/>
                <w:lang w:val="en-US" w:eastAsia="zh-CN"/>
              </w:rPr>
              <w:t>年1月1日至</w:t>
            </w:r>
            <w:r>
              <w:rPr>
                <w:rFonts w:hint="eastAsia" w:asciiTheme="minorEastAsia" w:hAnsiTheme="minorEastAsia" w:eastAsiaTheme="minorEastAsia" w:cstheme="minorEastAsia"/>
                <w:sz w:val="21"/>
                <w:szCs w:val="21"/>
              </w:rPr>
              <w:t>本项目应答截止</w:t>
            </w:r>
            <w:r>
              <w:rPr>
                <w:rFonts w:hint="eastAsia" w:asciiTheme="minorEastAsia" w:hAnsiTheme="minorEastAsia" w:eastAsiaTheme="minorEastAsia" w:cstheme="minorEastAsia"/>
                <w:sz w:val="21"/>
                <w:szCs w:val="21"/>
                <w:lang w:val="en-US" w:eastAsia="zh-CN"/>
              </w:rPr>
              <w:t>时间前（以合同签订日期为准），意向方承担过大型体育赛事接待的</w:t>
            </w:r>
            <w:r>
              <w:rPr>
                <w:rFonts w:hint="eastAsia" w:asciiTheme="minorEastAsia" w:hAnsiTheme="minorEastAsia" w:eastAsiaTheme="minorEastAsia" w:cstheme="minorEastAsia"/>
                <w:sz w:val="21"/>
                <w:szCs w:val="21"/>
              </w:rPr>
              <w:t>，每提供一个业绩得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最高10分。</w:t>
            </w:r>
          </w:p>
          <w:p>
            <w:pPr>
              <w:spacing w:beforeLines="-2147483648" w:afterLines="-2147483648" w:line="240" w:lineRule="auto"/>
              <w:rPr>
                <w:rFonts w:hint="eastAsia" w:ascii="Calibri" w:hAnsi="Calibri" w:eastAsia="宋体" w:cs="Times New Roman"/>
                <w:b/>
                <w:bCs/>
                <w:sz w:val="21"/>
                <w:szCs w:val="22"/>
                <w:highlight w:val="none"/>
                <w:lang w:eastAsia="zh-CN"/>
              </w:rPr>
            </w:pPr>
            <w:r>
              <w:rPr>
                <w:rFonts w:hint="eastAsia" w:ascii="Calibri" w:hAnsi="Calibri" w:eastAsia="宋体" w:cs="Times New Roman"/>
                <w:b/>
                <w:bCs/>
                <w:sz w:val="21"/>
                <w:szCs w:val="22"/>
                <w:highlight w:val="none"/>
              </w:rPr>
              <w:t>（二）</w:t>
            </w:r>
            <w:r>
              <w:rPr>
                <w:rFonts w:hint="eastAsia" w:ascii="Calibri" w:hAnsi="Calibri" w:eastAsia="宋体" w:cs="Times New Roman"/>
                <w:b/>
                <w:bCs/>
                <w:sz w:val="21"/>
                <w:szCs w:val="22"/>
                <w:highlight w:val="none"/>
                <w:lang w:val="en-US" w:eastAsia="zh-CN"/>
              </w:rPr>
              <w:t>证明材料：</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①提供合同关键信息页（包括但不限于：合同名称页、合同主要内容页、合同签订日期页、合同双方签字盖章页）复印件。</w:t>
            </w:r>
          </w:p>
          <w:p>
            <w:pPr>
              <w:spacing w:beforeLines="-2147483648" w:afterLines="-2147483648" w:line="240" w:lineRule="auto"/>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lang w:val="en-US" w:eastAsia="zh-CN"/>
              </w:rPr>
              <w:t>大型体育赛事为区级别或以上的体育赛事。</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③通过合同关键信息无法判断是否得分的，还须同时提供能证明得分的其它证明资料，如项目报告或合同方出具的证明文件等。</w:t>
            </w:r>
          </w:p>
          <w:p>
            <w:pPr>
              <w:spacing w:beforeLines="-2147483648" w:afterLines="-2147483648" w:line="240" w:lineRule="auto"/>
              <w:rPr>
                <w:rFonts w:ascii="宋体" w:hAnsi="宋体" w:eastAsia="宋体" w:cs="宋体"/>
                <w:color w:val="000000"/>
                <w:sz w:val="21"/>
                <w:szCs w:val="21"/>
              </w:rPr>
            </w:pPr>
            <w:r>
              <w:rPr>
                <w:rFonts w:hint="eastAsia" w:ascii="宋体" w:hAnsi="宋体" w:eastAsia="宋体" w:cs="宋体"/>
                <w:sz w:val="21"/>
                <w:szCs w:val="21"/>
                <w:lang w:val="en-US" w:eastAsia="zh-CN"/>
              </w:rPr>
              <w:t>④未提供证明材料或者提供的证明材料不符合要求或提供的证明材料不清晰导致评审专家无法辨认的，不得分。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74" w:type="dxa"/>
            <w:vMerge w:val="restart"/>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eastAsia" w:ascii="宋体" w:hAnsi="宋体" w:eastAsia="宋体" w:cs="宋体"/>
                <w:b/>
                <w:bCs/>
                <w:color w:val="0000FF"/>
                <w:sz w:val="21"/>
                <w:szCs w:val="21"/>
                <w:lang w:eastAsia="zh-CN"/>
              </w:rPr>
            </w:pPr>
            <w:r>
              <w:rPr>
                <w:rFonts w:hint="eastAsia" w:ascii="宋体" w:hAnsi="宋体" w:eastAsia="宋体" w:cs="宋体"/>
                <w:b/>
                <w:bCs/>
                <w:color w:val="0000FF"/>
                <w:sz w:val="21"/>
                <w:szCs w:val="21"/>
                <w:lang w:val="en-US" w:eastAsia="zh-CN"/>
              </w:rPr>
              <w:t>3</w:t>
            </w:r>
          </w:p>
        </w:tc>
        <w:tc>
          <w:tcPr>
            <w:tcW w:w="3142" w:type="dxa"/>
            <w:gridSpan w:val="3"/>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ascii="宋体" w:hAnsi="宋体" w:eastAsia="宋体" w:cs="宋体"/>
                <w:b/>
                <w:bCs/>
                <w:color w:val="0000FF"/>
                <w:sz w:val="21"/>
                <w:szCs w:val="21"/>
              </w:rPr>
            </w:pPr>
            <w:r>
              <w:rPr>
                <w:rFonts w:hint="eastAsia" w:ascii="宋体" w:hAnsi="宋体" w:eastAsia="宋体" w:cs="宋体"/>
                <w:b/>
                <w:bCs/>
                <w:color w:val="0000FF"/>
                <w:sz w:val="21"/>
                <w:szCs w:val="21"/>
              </w:rPr>
              <w:t>诚信</w:t>
            </w:r>
            <w:r>
              <w:rPr>
                <w:rFonts w:hint="eastAsia" w:ascii="宋体" w:hAnsi="宋体" w:eastAsia="宋体" w:cs="宋体"/>
                <w:b/>
                <w:bCs/>
                <w:color w:val="0000FF"/>
                <w:sz w:val="21"/>
                <w:szCs w:val="21"/>
                <w:lang w:eastAsia="zh-CN"/>
              </w:rPr>
              <w:t>及电力承诺</w:t>
            </w:r>
          </w:p>
        </w:tc>
        <w:tc>
          <w:tcPr>
            <w:tcW w:w="5242" w:type="dxa"/>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jc w:val="center"/>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8384" w:type="dxa"/>
            <w:gridSpan w:val="4"/>
            <w:tcBorders>
              <w:top w:val="single" w:color="000000" w:sz="8" w:space="0"/>
              <w:left w:val="single" w:color="000000" w:sz="8" w:space="0"/>
              <w:bottom w:val="single" w:color="000000" w:sz="8" w:space="0"/>
              <w:right w:val="single" w:color="000000" w:sz="8" w:space="0"/>
            </w:tcBorders>
          </w:tcPr>
          <w:p>
            <w:pPr>
              <w:spacing w:beforeLines="-2147483648" w:afterLines="-2147483648" w:line="240" w:lineRule="auto"/>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171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评分因素</w:t>
            </w:r>
          </w:p>
        </w:tc>
        <w:tc>
          <w:tcPr>
            <w:tcW w:w="849"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权重(%)</w:t>
            </w:r>
          </w:p>
        </w:tc>
        <w:tc>
          <w:tcPr>
            <w:tcW w:w="5242" w:type="dxa"/>
            <w:tcBorders>
              <w:top w:val="outset" w:color="000000" w:sz="6" w:space="0"/>
              <w:left w:val="outset" w:color="000000" w:sz="6" w:space="0"/>
              <w:bottom w:val="outset" w:color="000000" w:sz="6" w:space="0"/>
              <w:right w:val="outset" w:color="000000" w:sz="6" w:space="0"/>
            </w:tcBorders>
            <w:shd w:val="clear" w:color="auto" w:fill="E6EFFA"/>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ascii="宋体" w:hAnsi="宋体" w:eastAsia="宋体" w:cs="宋体"/>
                <w:sz w:val="21"/>
                <w:szCs w:val="21"/>
              </w:rPr>
            </w:pPr>
            <w:r>
              <w:rPr>
                <w:rFonts w:hint="eastAsia" w:ascii="宋体" w:hAnsi="宋体" w:eastAsia="宋体" w:cs="宋体"/>
                <w:sz w:val="21"/>
                <w:szCs w:val="21"/>
              </w:rPr>
              <w:t>1</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诚信</w:t>
            </w:r>
            <w:r>
              <w:rPr>
                <w:rFonts w:hint="eastAsia" w:ascii="宋体" w:hAnsi="宋体" w:eastAsia="宋体" w:cs="宋体"/>
                <w:sz w:val="21"/>
                <w:szCs w:val="21"/>
                <w:lang w:eastAsia="zh-CN"/>
              </w:rPr>
              <w:t>承诺书</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242"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Calibri" w:hAnsi="Calibri" w:eastAsia="宋体" w:cs="Times New Roman"/>
                <w:b/>
                <w:sz w:val="21"/>
                <w:szCs w:val="21"/>
              </w:rPr>
            </w:pPr>
            <w:r>
              <w:rPr>
                <w:rFonts w:hint="eastAsia" w:ascii="Calibri" w:hAnsi="Calibri" w:eastAsia="宋体" w:cs="Times New Roman"/>
                <w:b/>
                <w:sz w:val="21"/>
                <w:szCs w:val="21"/>
              </w:rPr>
              <w:t>（一）评分内容</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投标人在参与政府采购活动中不存在诚信相关问题且不在主管部门相关处理措施实施期限内的。</w:t>
            </w:r>
          </w:p>
          <w:p>
            <w:pPr>
              <w:spacing w:beforeLines="-2147483648" w:afterLines="-2147483648" w:line="240" w:lineRule="auto"/>
              <w:rPr>
                <w:rFonts w:hint="eastAsia" w:ascii="宋体" w:hAnsi="宋体" w:eastAsia="宋体" w:cs="宋体"/>
                <w:b w:val="0"/>
                <w:sz w:val="21"/>
                <w:szCs w:val="21"/>
                <w:lang w:eastAsia="zh-CN"/>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证明材料</w:t>
            </w:r>
          </w:p>
          <w:p>
            <w:pPr>
              <w:spacing w:beforeLines="-2147483648" w:afterLines="-2147483648" w:line="240" w:lineRule="auto"/>
              <w:rPr>
                <w:rFonts w:ascii="宋体" w:hAnsi="宋体" w:eastAsia="宋体" w:cs="宋体"/>
                <w:sz w:val="21"/>
                <w:szCs w:val="21"/>
              </w:rPr>
            </w:pPr>
            <w:r>
              <w:rPr>
                <w:rFonts w:hint="eastAsia" w:ascii="宋体" w:hAnsi="宋体" w:eastAsia="宋体" w:cs="宋体"/>
                <w:sz w:val="21"/>
                <w:szCs w:val="21"/>
                <w:lang w:val="en-US" w:eastAsia="zh-CN"/>
              </w:rPr>
              <w:t>提供《诚信承诺书》得5分，格式自拟，未提供或内容不符不得分。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宋体" w:hAnsi="宋体" w:eastAsia="宋体" w:cs="宋体"/>
                <w:b/>
                <w:bCs/>
                <w:color w:val="0000FF"/>
                <w:sz w:val="21"/>
                <w:szCs w:val="21"/>
              </w:rPr>
            </w:pPr>
          </w:p>
        </w:tc>
        <w:tc>
          <w:tcPr>
            <w:tcW w:w="574"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电力保障承诺书</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242" w:type="dxa"/>
            <w:tcBorders>
              <w:top w:val="single" w:color="000000" w:sz="8" w:space="0"/>
              <w:left w:val="single" w:color="000000" w:sz="8" w:space="0"/>
              <w:bottom w:val="single" w:color="000000" w:sz="8" w:space="0"/>
              <w:right w:val="single" w:color="000000" w:sz="8" w:space="0"/>
            </w:tcBorders>
            <w:vAlign w:val="center"/>
          </w:tcPr>
          <w:p>
            <w:pPr>
              <w:spacing w:beforeLines="-2147483648" w:afterLines="-2147483648" w:line="240" w:lineRule="auto"/>
              <w:rPr>
                <w:rFonts w:ascii="Calibri" w:hAnsi="Calibri" w:eastAsia="宋体" w:cs="Times New Roman"/>
                <w:b/>
                <w:sz w:val="21"/>
                <w:szCs w:val="21"/>
              </w:rPr>
            </w:pPr>
            <w:r>
              <w:rPr>
                <w:rFonts w:hint="eastAsia" w:ascii="Calibri" w:hAnsi="Calibri" w:eastAsia="宋体" w:cs="Times New Roman"/>
                <w:b/>
                <w:sz w:val="21"/>
                <w:szCs w:val="21"/>
              </w:rPr>
              <w:t>（一）评分内容</w:t>
            </w:r>
          </w:p>
          <w:p>
            <w:pPr>
              <w:spacing w:beforeLines="-2147483648" w:afterLines="-2147483648"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意向方承诺能提供电力保障的的5分。</w:t>
            </w:r>
          </w:p>
          <w:p>
            <w:pPr>
              <w:spacing w:beforeLines="-2147483648" w:afterLines="-2147483648" w:line="240" w:lineRule="auto"/>
              <w:rPr>
                <w:rFonts w:hint="eastAsia" w:ascii="宋体" w:hAnsi="宋体" w:eastAsia="宋体" w:cs="宋体"/>
                <w:b w:val="0"/>
                <w:sz w:val="21"/>
                <w:szCs w:val="21"/>
                <w:lang w:eastAsia="zh-CN"/>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证明材料</w:t>
            </w:r>
          </w:p>
          <w:p>
            <w:pPr>
              <w:spacing w:beforeLines="-2147483648" w:afterLines="-2147483648" w:line="240" w:lineRule="auto"/>
              <w:rPr>
                <w:rFonts w:hint="eastAsia" w:ascii="宋体" w:hAnsi="宋体" w:cs="宋体"/>
                <w:sz w:val="21"/>
                <w:szCs w:val="21"/>
                <w:lang w:val="en-US" w:eastAsia="zh-CN"/>
              </w:rPr>
            </w:pPr>
            <w:r>
              <w:rPr>
                <w:rFonts w:hint="eastAsia" w:ascii="宋体" w:hAnsi="宋体" w:eastAsia="宋体" w:cs="宋体"/>
                <w:sz w:val="21"/>
                <w:szCs w:val="21"/>
                <w:lang w:val="en-US" w:eastAsia="zh-CN"/>
              </w:rPr>
              <w:t>提供《电力保障承诺书》得5分，格式自拟，未提供或内容不符不得分。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）供应商提供资料清单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highlight w:val="none"/>
        </w:rPr>
      </w:pPr>
      <w:r>
        <w:rPr>
          <w:rFonts w:hint="eastAsia" w:ascii="仿宋_GB2312" w:hAnsi="仿宋" w:eastAsia="仿宋_GB2312"/>
          <w:sz w:val="32"/>
          <w:highlight w:val="none"/>
        </w:rPr>
        <w:t>1.营业执照、事业法人证书、社会团体法人登记证书（加盖公章）；</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highlight w:val="none"/>
        </w:rPr>
      </w:pPr>
      <w:r>
        <w:rPr>
          <w:rFonts w:hint="eastAsia" w:ascii="仿宋_GB2312" w:hAnsi="仿宋" w:eastAsia="仿宋_GB2312"/>
          <w:sz w:val="32"/>
          <w:highlight w:val="none"/>
        </w:rPr>
        <w:t>2.法定代表人身份证复印件（加盖公章）；</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sz w:val="32"/>
          <w:highlight w:val="none"/>
        </w:rPr>
      </w:pPr>
      <w:r>
        <w:rPr>
          <w:rFonts w:hint="eastAsia" w:ascii="仿宋_GB2312" w:hAnsi="仿宋" w:eastAsia="仿宋_GB2312"/>
          <w:sz w:val="32"/>
          <w:highlight w:val="none"/>
          <w:lang w:val="en-US" w:eastAsia="zh-CN"/>
        </w:rPr>
        <w:t>3</w:t>
      </w:r>
      <w:r>
        <w:rPr>
          <w:rFonts w:hint="eastAsia" w:ascii="仿宋_GB2312" w:hAnsi="仿宋" w:eastAsia="仿宋_GB2312"/>
          <w:sz w:val="32"/>
          <w:highlight w:val="none"/>
        </w:rPr>
        <w:t>.评分规则所需资料（同类业绩证明、方案等）。</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rPr>
          <w:rFonts w:hint="eastAsia" w:ascii="仿宋_GB2312" w:hAnsi="Calibri" w:eastAsia="仿宋_GB2312"/>
          <w:color w:val="auto"/>
          <w:sz w:val="32"/>
          <w:szCs w:val="32"/>
          <w:highlight w:val="none"/>
          <w:lang w:eastAsia="zh-CN"/>
        </w:rPr>
      </w:pPr>
      <w:r>
        <w:rPr>
          <w:rFonts w:hint="eastAsia" w:ascii="仿宋_GB2312" w:hAnsi="Calibri" w:eastAsia="仿宋_GB2312"/>
          <w:b/>
          <w:bCs/>
          <w:color w:val="auto"/>
          <w:sz w:val="32"/>
          <w:szCs w:val="32"/>
          <w:highlight w:val="none"/>
        </w:rPr>
        <w:t>注：</w:t>
      </w:r>
      <w:r>
        <w:rPr>
          <w:rFonts w:hint="eastAsia" w:ascii="仿宋_GB2312" w:hAnsi="Calibri" w:eastAsia="仿宋_GB2312"/>
          <w:color w:val="auto"/>
          <w:sz w:val="32"/>
          <w:szCs w:val="32"/>
          <w:highlight w:val="none"/>
        </w:rPr>
        <w:t>供应商需邮寄</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份密封纸质版投标资料至本单位</w:t>
      </w:r>
      <w:r>
        <w:rPr>
          <w:rFonts w:hint="eastAsia" w:ascii="仿宋_GB2312" w:hAnsi="Calibri" w:eastAsia="仿宋_GB2312"/>
          <w:color w:val="auto"/>
          <w:sz w:val="32"/>
          <w:szCs w:val="32"/>
          <w:highlight w:val="none"/>
          <w:lang w:eastAsia="zh-CN"/>
        </w:rPr>
        <w:t>，</w:t>
      </w:r>
      <w:r>
        <w:rPr>
          <w:rFonts w:hint="eastAsia" w:ascii="仿宋_GB2312" w:hAnsi="仿宋" w:eastAsia="仿宋_GB2312" w:cs="仿宋"/>
          <w:sz w:val="32"/>
          <w:szCs w:val="32"/>
          <w:highlight w:val="none"/>
          <w:lang w:eastAsia="zh-CN"/>
        </w:rPr>
        <w:t>并在封面</w:t>
      </w:r>
      <w:r>
        <w:rPr>
          <w:rFonts w:hint="eastAsia" w:ascii="仿宋_GB2312" w:hAnsi="仿宋" w:eastAsia="仿宋_GB2312" w:cs="仿宋"/>
          <w:sz w:val="32"/>
          <w:szCs w:val="32"/>
          <w:highlight w:val="none"/>
        </w:rPr>
        <w:t>备注</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十五运龙华赛区酒店遴选工作</w:t>
      </w:r>
      <w:r>
        <w:rPr>
          <w:rFonts w:hint="eastAsia" w:ascii="仿宋_GB2312" w:hAnsi="仿宋" w:eastAsia="仿宋_GB2312" w:cs="仿宋"/>
          <w:sz w:val="32"/>
          <w:szCs w:val="32"/>
          <w:highlight w:val="none"/>
        </w:rPr>
        <w:t>项目+公司全称+日期</w:t>
      </w:r>
      <w:r>
        <w:rPr>
          <w:rFonts w:hint="eastAsia" w:ascii="仿宋_GB2312" w:hAnsi="仿宋" w:eastAsia="仿宋_GB2312" w:cs="仿宋"/>
          <w:sz w:val="32"/>
          <w:szCs w:val="32"/>
          <w:highlight w:val="none"/>
          <w:lang w:val="en-US" w:eastAsia="zh-CN"/>
        </w:rPr>
        <w:t>+联系人+联系方式</w:t>
      </w:r>
      <w:r>
        <w:rPr>
          <w:rFonts w:hint="eastAsia" w:ascii="仿宋_GB2312" w:hAnsi="仿宋" w:eastAsia="仿宋_GB2312"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地址：深圳市龙华区维雅德大厦富康行政办公区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lang w:val="en-US" w:eastAsia="zh-CN"/>
        </w:rPr>
      </w:pPr>
      <w:r>
        <w:rPr>
          <w:rFonts w:hint="eastAsia" w:ascii="仿宋_GB2312" w:hAnsi="Calibri" w:eastAsia="仿宋_GB2312"/>
          <w:color w:val="auto"/>
          <w:sz w:val="32"/>
          <w:szCs w:val="32"/>
          <w:highlight w:val="none"/>
          <w:lang w:eastAsia="zh-CN"/>
        </w:rPr>
        <w:t>电话：</w:t>
      </w:r>
      <w:r>
        <w:rPr>
          <w:rFonts w:hint="eastAsia" w:ascii="仿宋_GB2312" w:hAnsi="仿宋" w:eastAsia="仿宋_GB2312" w:cs="仿宋"/>
          <w:sz w:val="32"/>
          <w:szCs w:val="32"/>
          <w:highlight w:val="none"/>
          <w:lang w:val="en-US" w:eastAsia="zh-CN"/>
        </w:rPr>
        <w:t>0755-23338140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highlight w:val="none"/>
          <w:lang w:eastAsia="zh-CN"/>
        </w:rPr>
      </w:pPr>
      <w:r>
        <w:rPr>
          <w:rFonts w:hint="eastAsia" w:ascii="仿宋_GB2312" w:hAnsi="Calibri" w:eastAsia="仿宋_GB2312"/>
          <w:color w:val="auto"/>
          <w:sz w:val="32"/>
          <w:szCs w:val="32"/>
          <w:highlight w:val="none"/>
        </w:rPr>
        <w:t>收件人：</w:t>
      </w:r>
      <w:r>
        <w:rPr>
          <w:rFonts w:hint="eastAsia" w:ascii="仿宋_GB2312" w:hAnsi="仿宋" w:eastAsia="仿宋_GB2312" w:cs="仿宋"/>
          <w:sz w:val="32"/>
          <w:szCs w:val="32"/>
          <w:highlight w:val="none"/>
          <w:lang w:eastAsia="zh-CN"/>
        </w:rPr>
        <w:t>吴先生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sz w:val="32"/>
          <w:szCs w:val="32"/>
          <w:highlight w:val="yellow"/>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GY4ZDcxYjdhMmU5NTRlYWViOTM1M2I3YWEyNjYifQ=="/>
  </w:docVars>
  <w:rsids>
    <w:rsidRoot w:val="00000000"/>
    <w:rsid w:val="000344D7"/>
    <w:rsid w:val="003A2A3F"/>
    <w:rsid w:val="003B1A3D"/>
    <w:rsid w:val="003C7B61"/>
    <w:rsid w:val="005351E7"/>
    <w:rsid w:val="00A96214"/>
    <w:rsid w:val="00E0660F"/>
    <w:rsid w:val="00ED6BD5"/>
    <w:rsid w:val="0118105A"/>
    <w:rsid w:val="012F29C3"/>
    <w:rsid w:val="0140055C"/>
    <w:rsid w:val="01AD5325"/>
    <w:rsid w:val="01B721EF"/>
    <w:rsid w:val="01DD1341"/>
    <w:rsid w:val="022122E6"/>
    <w:rsid w:val="02A14404"/>
    <w:rsid w:val="02AF03B7"/>
    <w:rsid w:val="02ED4ABC"/>
    <w:rsid w:val="03003156"/>
    <w:rsid w:val="030F02AF"/>
    <w:rsid w:val="031F008F"/>
    <w:rsid w:val="03412D61"/>
    <w:rsid w:val="035A0292"/>
    <w:rsid w:val="03655421"/>
    <w:rsid w:val="037261DA"/>
    <w:rsid w:val="038921D4"/>
    <w:rsid w:val="03BA7C4F"/>
    <w:rsid w:val="04267CDC"/>
    <w:rsid w:val="043C1C87"/>
    <w:rsid w:val="044064CD"/>
    <w:rsid w:val="047246A5"/>
    <w:rsid w:val="047F2E05"/>
    <w:rsid w:val="04A63331"/>
    <w:rsid w:val="04AF70DE"/>
    <w:rsid w:val="04F639B6"/>
    <w:rsid w:val="04F94B0A"/>
    <w:rsid w:val="04FF4024"/>
    <w:rsid w:val="051B7144"/>
    <w:rsid w:val="053904E9"/>
    <w:rsid w:val="05701B1B"/>
    <w:rsid w:val="057D21F7"/>
    <w:rsid w:val="05B91EF3"/>
    <w:rsid w:val="05CF61A7"/>
    <w:rsid w:val="05FA2F9D"/>
    <w:rsid w:val="05FB275C"/>
    <w:rsid w:val="06272FC8"/>
    <w:rsid w:val="06851B55"/>
    <w:rsid w:val="068D4F20"/>
    <w:rsid w:val="06F242D1"/>
    <w:rsid w:val="07692036"/>
    <w:rsid w:val="07D42CAF"/>
    <w:rsid w:val="07E6528B"/>
    <w:rsid w:val="07EA165E"/>
    <w:rsid w:val="082A6214"/>
    <w:rsid w:val="084765C0"/>
    <w:rsid w:val="08BC4B1B"/>
    <w:rsid w:val="08CA7D9B"/>
    <w:rsid w:val="08D0494D"/>
    <w:rsid w:val="09194310"/>
    <w:rsid w:val="091F62E3"/>
    <w:rsid w:val="09417EE2"/>
    <w:rsid w:val="095802BF"/>
    <w:rsid w:val="095F13BD"/>
    <w:rsid w:val="0960344D"/>
    <w:rsid w:val="09C53944"/>
    <w:rsid w:val="09D4722D"/>
    <w:rsid w:val="09EA185C"/>
    <w:rsid w:val="0A753846"/>
    <w:rsid w:val="0A8C3ED4"/>
    <w:rsid w:val="0A9D662A"/>
    <w:rsid w:val="0ABB36E0"/>
    <w:rsid w:val="0ADD2AB8"/>
    <w:rsid w:val="0AF16CD4"/>
    <w:rsid w:val="0B1A5ABE"/>
    <w:rsid w:val="0BB56A18"/>
    <w:rsid w:val="0BC861AC"/>
    <w:rsid w:val="0BDB112B"/>
    <w:rsid w:val="0C480DBE"/>
    <w:rsid w:val="0CD2493B"/>
    <w:rsid w:val="0CEC1145"/>
    <w:rsid w:val="0CFF055A"/>
    <w:rsid w:val="0D306A53"/>
    <w:rsid w:val="0D4A4E59"/>
    <w:rsid w:val="0D8D51A4"/>
    <w:rsid w:val="0DA157F2"/>
    <w:rsid w:val="0DAE1DFF"/>
    <w:rsid w:val="0DBD4365"/>
    <w:rsid w:val="0E090CE5"/>
    <w:rsid w:val="0E336732"/>
    <w:rsid w:val="0E5D3C44"/>
    <w:rsid w:val="0E9A6317"/>
    <w:rsid w:val="0ED563B0"/>
    <w:rsid w:val="0EE908CB"/>
    <w:rsid w:val="0EF1144C"/>
    <w:rsid w:val="0F014F8D"/>
    <w:rsid w:val="0F382F4C"/>
    <w:rsid w:val="0F79646F"/>
    <w:rsid w:val="0F8A3B7E"/>
    <w:rsid w:val="0FFC774C"/>
    <w:rsid w:val="10152737"/>
    <w:rsid w:val="10740D41"/>
    <w:rsid w:val="111E5F32"/>
    <w:rsid w:val="113F5731"/>
    <w:rsid w:val="117F763C"/>
    <w:rsid w:val="119D1397"/>
    <w:rsid w:val="1246218E"/>
    <w:rsid w:val="13540F7C"/>
    <w:rsid w:val="13662464"/>
    <w:rsid w:val="1393E564"/>
    <w:rsid w:val="13E15C96"/>
    <w:rsid w:val="141F6948"/>
    <w:rsid w:val="142C7622"/>
    <w:rsid w:val="143F2A87"/>
    <w:rsid w:val="146C0F16"/>
    <w:rsid w:val="14F20D3F"/>
    <w:rsid w:val="1542345E"/>
    <w:rsid w:val="157C5F10"/>
    <w:rsid w:val="15BD5ED6"/>
    <w:rsid w:val="15DE511D"/>
    <w:rsid w:val="16167F4F"/>
    <w:rsid w:val="16474FD0"/>
    <w:rsid w:val="17080D29"/>
    <w:rsid w:val="170D2487"/>
    <w:rsid w:val="17115D70"/>
    <w:rsid w:val="172F5BAE"/>
    <w:rsid w:val="17EE5B93"/>
    <w:rsid w:val="17F858CA"/>
    <w:rsid w:val="180C63B2"/>
    <w:rsid w:val="18462EE2"/>
    <w:rsid w:val="1882063C"/>
    <w:rsid w:val="18B33C9F"/>
    <w:rsid w:val="18C65420"/>
    <w:rsid w:val="18E56CD6"/>
    <w:rsid w:val="19567283"/>
    <w:rsid w:val="196329B5"/>
    <w:rsid w:val="19C5456C"/>
    <w:rsid w:val="19E5593B"/>
    <w:rsid w:val="19ED4BB9"/>
    <w:rsid w:val="1A45052F"/>
    <w:rsid w:val="1A6F11EA"/>
    <w:rsid w:val="1A9E5DB4"/>
    <w:rsid w:val="1AAE031C"/>
    <w:rsid w:val="1AB10853"/>
    <w:rsid w:val="1AE5476B"/>
    <w:rsid w:val="1AFE7FC7"/>
    <w:rsid w:val="1B1A239A"/>
    <w:rsid w:val="1B450401"/>
    <w:rsid w:val="1B996E34"/>
    <w:rsid w:val="1BA2194D"/>
    <w:rsid w:val="1BA81459"/>
    <w:rsid w:val="1BD712B5"/>
    <w:rsid w:val="1C624A17"/>
    <w:rsid w:val="1C667248"/>
    <w:rsid w:val="1CDA28BC"/>
    <w:rsid w:val="1CE0562D"/>
    <w:rsid w:val="1D23268B"/>
    <w:rsid w:val="1D3C4F01"/>
    <w:rsid w:val="1D580948"/>
    <w:rsid w:val="1DC83ECD"/>
    <w:rsid w:val="1DD768CF"/>
    <w:rsid w:val="1DDC2354"/>
    <w:rsid w:val="1DEA08D0"/>
    <w:rsid w:val="1E1E4B6D"/>
    <w:rsid w:val="1E471E38"/>
    <w:rsid w:val="1EE64EF4"/>
    <w:rsid w:val="1F0D6335"/>
    <w:rsid w:val="1F5C3DCB"/>
    <w:rsid w:val="1F8F2FAC"/>
    <w:rsid w:val="1FA45CB2"/>
    <w:rsid w:val="20173346"/>
    <w:rsid w:val="20221996"/>
    <w:rsid w:val="2127773B"/>
    <w:rsid w:val="21720F9C"/>
    <w:rsid w:val="218B219A"/>
    <w:rsid w:val="22022558"/>
    <w:rsid w:val="22152C93"/>
    <w:rsid w:val="229702F2"/>
    <w:rsid w:val="22B05311"/>
    <w:rsid w:val="23066F1E"/>
    <w:rsid w:val="234A7934"/>
    <w:rsid w:val="235D47F0"/>
    <w:rsid w:val="236849F0"/>
    <w:rsid w:val="238B4897"/>
    <w:rsid w:val="23B66B23"/>
    <w:rsid w:val="23FF1372"/>
    <w:rsid w:val="242351D4"/>
    <w:rsid w:val="246D07C4"/>
    <w:rsid w:val="255C07AD"/>
    <w:rsid w:val="25637494"/>
    <w:rsid w:val="25936C75"/>
    <w:rsid w:val="25C7746F"/>
    <w:rsid w:val="264C1A91"/>
    <w:rsid w:val="264E265F"/>
    <w:rsid w:val="265B7667"/>
    <w:rsid w:val="266668C3"/>
    <w:rsid w:val="26C3051F"/>
    <w:rsid w:val="26DE5A98"/>
    <w:rsid w:val="2704160A"/>
    <w:rsid w:val="27853FDF"/>
    <w:rsid w:val="27C953EA"/>
    <w:rsid w:val="27FF2E1C"/>
    <w:rsid w:val="282F54B7"/>
    <w:rsid w:val="2838427E"/>
    <w:rsid w:val="28EE7A57"/>
    <w:rsid w:val="290031CD"/>
    <w:rsid w:val="294B2268"/>
    <w:rsid w:val="294E253E"/>
    <w:rsid w:val="29707A62"/>
    <w:rsid w:val="29B3561D"/>
    <w:rsid w:val="2A3F69A3"/>
    <w:rsid w:val="2A4A479E"/>
    <w:rsid w:val="2A7A490B"/>
    <w:rsid w:val="2AAD1FBB"/>
    <w:rsid w:val="2AB97FE8"/>
    <w:rsid w:val="2B10187B"/>
    <w:rsid w:val="2B377329"/>
    <w:rsid w:val="2B3A4917"/>
    <w:rsid w:val="2B51608E"/>
    <w:rsid w:val="2BA27172"/>
    <w:rsid w:val="2BBB7555"/>
    <w:rsid w:val="2BC813F8"/>
    <w:rsid w:val="2BCA72ED"/>
    <w:rsid w:val="2BFE8B6D"/>
    <w:rsid w:val="2C8F4C5F"/>
    <w:rsid w:val="2CB701AA"/>
    <w:rsid w:val="2CC2035E"/>
    <w:rsid w:val="2CCE1738"/>
    <w:rsid w:val="2D5F281C"/>
    <w:rsid w:val="2D7FB175"/>
    <w:rsid w:val="2DD81EE1"/>
    <w:rsid w:val="2DDB1465"/>
    <w:rsid w:val="2E5202D7"/>
    <w:rsid w:val="2E622E89"/>
    <w:rsid w:val="2ED9111F"/>
    <w:rsid w:val="2EE73B3A"/>
    <w:rsid w:val="2F0C27C9"/>
    <w:rsid w:val="2F1B5056"/>
    <w:rsid w:val="2F445D20"/>
    <w:rsid w:val="2F557CE0"/>
    <w:rsid w:val="2F97709A"/>
    <w:rsid w:val="2FB243FA"/>
    <w:rsid w:val="2FFC1DC2"/>
    <w:rsid w:val="2FFFEC43"/>
    <w:rsid w:val="30AF748E"/>
    <w:rsid w:val="30B10B11"/>
    <w:rsid w:val="30D56865"/>
    <w:rsid w:val="314F703A"/>
    <w:rsid w:val="3176765F"/>
    <w:rsid w:val="31B46729"/>
    <w:rsid w:val="31F54B43"/>
    <w:rsid w:val="31FD59BE"/>
    <w:rsid w:val="321111A9"/>
    <w:rsid w:val="32D63B31"/>
    <w:rsid w:val="33254EC3"/>
    <w:rsid w:val="33365AAE"/>
    <w:rsid w:val="339638EF"/>
    <w:rsid w:val="33CE798A"/>
    <w:rsid w:val="33ED2892"/>
    <w:rsid w:val="33F6251A"/>
    <w:rsid w:val="340225C1"/>
    <w:rsid w:val="34185F52"/>
    <w:rsid w:val="342D4A99"/>
    <w:rsid w:val="3442199D"/>
    <w:rsid w:val="345A366C"/>
    <w:rsid w:val="346929A0"/>
    <w:rsid w:val="348113C1"/>
    <w:rsid w:val="35563617"/>
    <w:rsid w:val="35A47850"/>
    <w:rsid w:val="35A67310"/>
    <w:rsid w:val="35A9278F"/>
    <w:rsid w:val="35B82A58"/>
    <w:rsid w:val="35C42CDE"/>
    <w:rsid w:val="35CA504F"/>
    <w:rsid w:val="35EFE518"/>
    <w:rsid w:val="361735D6"/>
    <w:rsid w:val="361936C4"/>
    <w:rsid w:val="363620F6"/>
    <w:rsid w:val="36667CCA"/>
    <w:rsid w:val="36B426DA"/>
    <w:rsid w:val="36DFD2FF"/>
    <w:rsid w:val="36FE68E7"/>
    <w:rsid w:val="3741507A"/>
    <w:rsid w:val="37905514"/>
    <w:rsid w:val="379D9DA4"/>
    <w:rsid w:val="37C56E7D"/>
    <w:rsid w:val="37E73743"/>
    <w:rsid w:val="37F30BEC"/>
    <w:rsid w:val="38826835"/>
    <w:rsid w:val="389D7E6F"/>
    <w:rsid w:val="38EA0D25"/>
    <w:rsid w:val="38F758B0"/>
    <w:rsid w:val="390825C9"/>
    <w:rsid w:val="39466C4A"/>
    <w:rsid w:val="395170EE"/>
    <w:rsid w:val="395C4529"/>
    <w:rsid w:val="39805989"/>
    <w:rsid w:val="39D85D05"/>
    <w:rsid w:val="39F73FE0"/>
    <w:rsid w:val="3A141518"/>
    <w:rsid w:val="3A1F5761"/>
    <w:rsid w:val="3A436530"/>
    <w:rsid w:val="3A4863B6"/>
    <w:rsid w:val="3AE85C51"/>
    <w:rsid w:val="3AF4EDA7"/>
    <w:rsid w:val="3B05341F"/>
    <w:rsid w:val="3B072460"/>
    <w:rsid w:val="3B6F91D6"/>
    <w:rsid w:val="3BFF4D0A"/>
    <w:rsid w:val="3C21495B"/>
    <w:rsid w:val="3C3C2CA0"/>
    <w:rsid w:val="3C4115E4"/>
    <w:rsid w:val="3C587001"/>
    <w:rsid w:val="3C6B36A0"/>
    <w:rsid w:val="3CC41D19"/>
    <w:rsid w:val="3CE93664"/>
    <w:rsid w:val="3D22167A"/>
    <w:rsid w:val="3D3628C8"/>
    <w:rsid w:val="3D4E5979"/>
    <w:rsid w:val="3DAFE0B7"/>
    <w:rsid w:val="3DB90F4D"/>
    <w:rsid w:val="3DBD16A1"/>
    <w:rsid w:val="3DF00DB4"/>
    <w:rsid w:val="3E3B50CC"/>
    <w:rsid w:val="3EDA604E"/>
    <w:rsid w:val="3EE23997"/>
    <w:rsid w:val="3EEFD9A1"/>
    <w:rsid w:val="3F1F1C2A"/>
    <w:rsid w:val="3F3B4BC9"/>
    <w:rsid w:val="3F521359"/>
    <w:rsid w:val="3F6922A0"/>
    <w:rsid w:val="3F78501B"/>
    <w:rsid w:val="3F7E020B"/>
    <w:rsid w:val="3F901FD7"/>
    <w:rsid w:val="3F961152"/>
    <w:rsid w:val="3F9FB6FC"/>
    <w:rsid w:val="3FAF7EA3"/>
    <w:rsid w:val="3FAFC8C7"/>
    <w:rsid w:val="3FCF1339"/>
    <w:rsid w:val="3FD87693"/>
    <w:rsid w:val="3FF6FDAD"/>
    <w:rsid w:val="3FFF374C"/>
    <w:rsid w:val="40465F57"/>
    <w:rsid w:val="40511638"/>
    <w:rsid w:val="406412D2"/>
    <w:rsid w:val="408D7917"/>
    <w:rsid w:val="40BB5C68"/>
    <w:rsid w:val="40BF6CBA"/>
    <w:rsid w:val="40C927FA"/>
    <w:rsid w:val="42126DD2"/>
    <w:rsid w:val="423F350E"/>
    <w:rsid w:val="42980B39"/>
    <w:rsid w:val="432B1647"/>
    <w:rsid w:val="432C08CB"/>
    <w:rsid w:val="435A40F1"/>
    <w:rsid w:val="438C2888"/>
    <w:rsid w:val="43F859EF"/>
    <w:rsid w:val="440E0E01"/>
    <w:rsid w:val="442F0FDE"/>
    <w:rsid w:val="448E103A"/>
    <w:rsid w:val="44A663F7"/>
    <w:rsid w:val="44BC4F98"/>
    <w:rsid w:val="44C208A0"/>
    <w:rsid w:val="45222288"/>
    <w:rsid w:val="45357757"/>
    <w:rsid w:val="454C2A4C"/>
    <w:rsid w:val="454D39F7"/>
    <w:rsid w:val="455B5BFE"/>
    <w:rsid w:val="45C054A7"/>
    <w:rsid w:val="46190247"/>
    <w:rsid w:val="46422FDC"/>
    <w:rsid w:val="4651462A"/>
    <w:rsid w:val="46E56473"/>
    <w:rsid w:val="471F3D7B"/>
    <w:rsid w:val="4726154D"/>
    <w:rsid w:val="47271AF0"/>
    <w:rsid w:val="474FA67C"/>
    <w:rsid w:val="477150BD"/>
    <w:rsid w:val="479626AC"/>
    <w:rsid w:val="47AC489C"/>
    <w:rsid w:val="4902618C"/>
    <w:rsid w:val="491B7F82"/>
    <w:rsid w:val="491E10E5"/>
    <w:rsid w:val="494B7BAF"/>
    <w:rsid w:val="49603246"/>
    <w:rsid w:val="49DA33B1"/>
    <w:rsid w:val="4A16200C"/>
    <w:rsid w:val="4A274EC8"/>
    <w:rsid w:val="4A4B7C02"/>
    <w:rsid w:val="4A8E01A3"/>
    <w:rsid w:val="4AC97D0B"/>
    <w:rsid w:val="4AEC74A0"/>
    <w:rsid w:val="4B16092B"/>
    <w:rsid w:val="4B5B7A54"/>
    <w:rsid w:val="4BAA11D4"/>
    <w:rsid w:val="4C21764E"/>
    <w:rsid w:val="4C484939"/>
    <w:rsid w:val="4C5A74AA"/>
    <w:rsid w:val="4C6D7043"/>
    <w:rsid w:val="4C876B70"/>
    <w:rsid w:val="4C8C268C"/>
    <w:rsid w:val="4CF107F4"/>
    <w:rsid w:val="4D1C0B2D"/>
    <w:rsid w:val="4D465D4C"/>
    <w:rsid w:val="4D5C222A"/>
    <w:rsid w:val="4D871911"/>
    <w:rsid w:val="4DDC6DE8"/>
    <w:rsid w:val="4E1C27B0"/>
    <w:rsid w:val="4E392C64"/>
    <w:rsid w:val="4E3F01D7"/>
    <w:rsid w:val="4E8BEB58"/>
    <w:rsid w:val="4F0B68A7"/>
    <w:rsid w:val="4F712287"/>
    <w:rsid w:val="4F7648A9"/>
    <w:rsid w:val="4F7932B5"/>
    <w:rsid w:val="4F7DC9E3"/>
    <w:rsid w:val="4F7F093C"/>
    <w:rsid w:val="4FCF2AA2"/>
    <w:rsid w:val="4FF75967"/>
    <w:rsid w:val="4FFD598E"/>
    <w:rsid w:val="50E10905"/>
    <w:rsid w:val="50F03981"/>
    <w:rsid w:val="5118124A"/>
    <w:rsid w:val="51454BFD"/>
    <w:rsid w:val="517E5DD9"/>
    <w:rsid w:val="51B17988"/>
    <w:rsid w:val="51C41293"/>
    <w:rsid w:val="52097713"/>
    <w:rsid w:val="5215763F"/>
    <w:rsid w:val="52371972"/>
    <w:rsid w:val="524D78C7"/>
    <w:rsid w:val="524E7AD4"/>
    <w:rsid w:val="52661973"/>
    <w:rsid w:val="52714728"/>
    <w:rsid w:val="52814891"/>
    <w:rsid w:val="52C25E3C"/>
    <w:rsid w:val="538E4933"/>
    <w:rsid w:val="53974B18"/>
    <w:rsid w:val="53AB4582"/>
    <w:rsid w:val="53E37FB9"/>
    <w:rsid w:val="53F92C25"/>
    <w:rsid w:val="545913B7"/>
    <w:rsid w:val="548036DC"/>
    <w:rsid w:val="54955DBF"/>
    <w:rsid w:val="54A25768"/>
    <w:rsid w:val="55487676"/>
    <w:rsid w:val="55953BE1"/>
    <w:rsid w:val="55985108"/>
    <w:rsid w:val="55AB2248"/>
    <w:rsid w:val="565B6849"/>
    <w:rsid w:val="56A31480"/>
    <w:rsid w:val="56AE1425"/>
    <w:rsid w:val="56BA4699"/>
    <w:rsid w:val="56CC0EE6"/>
    <w:rsid w:val="56FFDE1F"/>
    <w:rsid w:val="57097A1B"/>
    <w:rsid w:val="57535E67"/>
    <w:rsid w:val="57671164"/>
    <w:rsid w:val="57AFC7DC"/>
    <w:rsid w:val="57D11BEF"/>
    <w:rsid w:val="57EB4D9C"/>
    <w:rsid w:val="582271FE"/>
    <w:rsid w:val="58843D33"/>
    <w:rsid w:val="58AA5BB8"/>
    <w:rsid w:val="58F92F07"/>
    <w:rsid w:val="58FD0D5A"/>
    <w:rsid w:val="59163A36"/>
    <w:rsid w:val="59814A77"/>
    <w:rsid w:val="59BC6079"/>
    <w:rsid w:val="5A4D2E44"/>
    <w:rsid w:val="5A530531"/>
    <w:rsid w:val="5AB61E7E"/>
    <w:rsid w:val="5AFEF51A"/>
    <w:rsid w:val="5B021E24"/>
    <w:rsid w:val="5B802362"/>
    <w:rsid w:val="5B9D0EC9"/>
    <w:rsid w:val="5BEE768D"/>
    <w:rsid w:val="5C550687"/>
    <w:rsid w:val="5C7B399F"/>
    <w:rsid w:val="5CC41436"/>
    <w:rsid w:val="5CFF6D34"/>
    <w:rsid w:val="5D881E34"/>
    <w:rsid w:val="5DA25162"/>
    <w:rsid w:val="5DCA6BDA"/>
    <w:rsid w:val="5DFF0928"/>
    <w:rsid w:val="5E161F9F"/>
    <w:rsid w:val="5E3D46D5"/>
    <w:rsid w:val="5E5178F1"/>
    <w:rsid w:val="5E551081"/>
    <w:rsid w:val="5E9D3335"/>
    <w:rsid w:val="5E9F9E6B"/>
    <w:rsid w:val="5EA9013A"/>
    <w:rsid w:val="5EDF154D"/>
    <w:rsid w:val="5EEBE30C"/>
    <w:rsid w:val="5EEFDF07"/>
    <w:rsid w:val="5FD1DEAE"/>
    <w:rsid w:val="5FDA1061"/>
    <w:rsid w:val="5FDE8822"/>
    <w:rsid w:val="5FE7C8F0"/>
    <w:rsid w:val="5FF73B1A"/>
    <w:rsid w:val="5FFBB0C3"/>
    <w:rsid w:val="5FFFE81F"/>
    <w:rsid w:val="60174687"/>
    <w:rsid w:val="6057659D"/>
    <w:rsid w:val="60C12242"/>
    <w:rsid w:val="60D23BAA"/>
    <w:rsid w:val="6160117D"/>
    <w:rsid w:val="617675F7"/>
    <w:rsid w:val="617C5F6F"/>
    <w:rsid w:val="620E1E57"/>
    <w:rsid w:val="626369F4"/>
    <w:rsid w:val="62FD0BCE"/>
    <w:rsid w:val="6302536E"/>
    <w:rsid w:val="6304039E"/>
    <w:rsid w:val="63084E44"/>
    <w:rsid w:val="630D620B"/>
    <w:rsid w:val="632776EF"/>
    <w:rsid w:val="63495058"/>
    <w:rsid w:val="638D15C2"/>
    <w:rsid w:val="64215C6C"/>
    <w:rsid w:val="64395D4A"/>
    <w:rsid w:val="644670FD"/>
    <w:rsid w:val="6474348E"/>
    <w:rsid w:val="64746E9B"/>
    <w:rsid w:val="64AD7658"/>
    <w:rsid w:val="655B76E0"/>
    <w:rsid w:val="657B0F1B"/>
    <w:rsid w:val="65AE3591"/>
    <w:rsid w:val="65C632AB"/>
    <w:rsid w:val="65FEDA59"/>
    <w:rsid w:val="66737BF0"/>
    <w:rsid w:val="668519CF"/>
    <w:rsid w:val="66BFAB9F"/>
    <w:rsid w:val="66FBA3C1"/>
    <w:rsid w:val="66FE144A"/>
    <w:rsid w:val="670D4686"/>
    <w:rsid w:val="673F641C"/>
    <w:rsid w:val="67731B50"/>
    <w:rsid w:val="6775293D"/>
    <w:rsid w:val="6784413C"/>
    <w:rsid w:val="67C73472"/>
    <w:rsid w:val="67FBD253"/>
    <w:rsid w:val="685B0B87"/>
    <w:rsid w:val="686D709C"/>
    <w:rsid w:val="687E38A3"/>
    <w:rsid w:val="68994322"/>
    <w:rsid w:val="68BD7F99"/>
    <w:rsid w:val="68CE0E0D"/>
    <w:rsid w:val="68D4033A"/>
    <w:rsid w:val="690847FB"/>
    <w:rsid w:val="69236B8E"/>
    <w:rsid w:val="694406F8"/>
    <w:rsid w:val="6974490E"/>
    <w:rsid w:val="699A637C"/>
    <w:rsid w:val="69B24BC0"/>
    <w:rsid w:val="69C7485F"/>
    <w:rsid w:val="69EC5AAC"/>
    <w:rsid w:val="6A0C3C44"/>
    <w:rsid w:val="6A2145C8"/>
    <w:rsid w:val="6ABA1747"/>
    <w:rsid w:val="6AD40FB0"/>
    <w:rsid w:val="6AEB0FDA"/>
    <w:rsid w:val="6BB960F1"/>
    <w:rsid w:val="6BDF2477"/>
    <w:rsid w:val="6C1D7D31"/>
    <w:rsid w:val="6C1F6D0B"/>
    <w:rsid w:val="6C6672D1"/>
    <w:rsid w:val="6CB31BED"/>
    <w:rsid w:val="6CEE0D82"/>
    <w:rsid w:val="6D28471A"/>
    <w:rsid w:val="6D8F4AE5"/>
    <w:rsid w:val="6D9CBF3E"/>
    <w:rsid w:val="6DB78E08"/>
    <w:rsid w:val="6DC7547C"/>
    <w:rsid w:val="6DC7758F"/>
    <w:rsid w:val="6DC93202"/>
    <w:rsid w:val="6DDB93CF"/>
    <w:rsid w:val="6DE24AAE"/>
    <w:rsid w:val="6E0643E3"/>
    <w:rsid w:val="6E3E36D0"/>
    <w:rsid w:val="6E72618E"/>
    <w:rsid w:val="6EA474E2"/>
    <w:rsid w:val="6EDC4F79"/>
    <w:rsid w:val="6EE70780"/>
    <w:rsid w:val="6F1BB9CC"/>
    <w:rsid w:val="6F2A4852"/>
    <w:rsid w:val="6FD6960B"/>
    <w:rsid w:val="6FD7633E"/>
    <w:rsid w:val="6FDA25DB"/>
    <w:rsid w:val="6FF6CD67"/>
    <w:rsid w:val="6FFEC4C5"/>
    <w:rsid w:val="701E6DF9"/>
    <w:rsid w:val="706E7CFB"/>
    <w:rsid w:val="70F3206E"/>
    <w:rsid w:val="70FF6DF4"/>
    <w:rsid w:val="71093E1A"/>
    <w:rsid w:val="71314643"/>
    <w:rsid w:val="71424FBC"/>
    <w:rsid w:val="71D41687"/>
    <w:rsid w:val="71EC6AF2"/>
    <w:rsid w:val="720A43F2"/>
    <w:rsid w:val="72113144"/>
    <w:rsid w:val="72117454"/>
    <w:rsid w:val="722F92F5"/>
    <w:rsid w:val="724D226A"/>
    <w:rsid w:val="725463B1"/>
    <w:rsid w:val="725B31D2"/>
    <w:rsid w:val="7291520A"/>
    <w:rsid w:val="72BB23A6"/>
    <w:rsid w:val="72DC7615"/>
    <w:rsid w:val="72E34310"/>
    <w:rsid w:val="735E6C66"/>
    <w:rsid w:val="7368438E"/>
    <w:rsid w:val="73783C1A"/>
    <w:rsid w:val="738BCE1D"/>
    <w:rsid w:val="73E1789B"/>
    <w:rsid w:val="73ECBFB9"/>
    <w:rsid w:val="73FFB68C"/>
    <w:rsid w:val="746D2613"/>
    <w:rsid w:val="747D6FA2"/>
    <w:rsid w:val="74844B28"/>
    <w:rsid w:val="748B0E89"/>
    <w:rsid w:val="74A54C22"/>
    <w:rsid w:val="74B7486C"/>
    <w:rsid w:val="74DF5C51"/>
    <w:rsid w:val="74F81D3A"/>
    <w:rsid w:val="753160D6"/>
    <w:rsid w:val="756427FC"/>
    <w:rsid w:val="75B50912"/>
    <w:rsid w:val="75B92EC8"/>
    <w:rsid w:val="75BD8657"/>
    <w:rsid w:val="75DF2B8F"/>
    <w:rsid w:val="762A69A2"/>
    <w:rsid w:val="76515088"/>
    <w:rsid w:val="76551B8E"/>
    <w:rsid w:val="769BAC18"/>
    <w:rsid w:val="76DF0A9C"/>
    <w:rsid w:val="76EA6320"/>
    <w:rsid w:val="76EC2737"/>
    <w:rsid w:val="76FF7CBE"/>
    <w:rsid w:val="77147615"/>
    <w:rsid w:val="7771703D"/>
    <w:rsid w:val="777B0B1D"/>
    <w:rsid w:val="777F0E8A"/>
    <w:rsid w:val="77975514"/>
    <w:rsid w:val="77D527B6"/>
    <w:rsid w:val="77D80696"/>
    <w:rsid w:val="77FBE5B7"/>
    <w:rsid w:val="783F7D08"/>
    <w:rsid w:val="78525259"/>
    <w:rsid w:val="78D57115"/>
    <w:rsid w:val="78DB7870"/>
    <w:rsid w:val="78EBCFDA"/>
    <w:rsid w:val="79305F6B"/>
    <w:rsid w:val="79321165"/>
    <w:rsid w:val="797F1C18"/>
    <w:rsid w:val="79892C2A"/>
    <w:rsid w:val="79A65308"/>
    <w:rsid w:val="79F71FBE"/>
    <w:rsid w:val="7A503D69"/>
    <w:rsid w:val="7AA32755"/>
    <w:rsid w:val="7AB13CAF"/>
    <w:rsid w:val="7AB50AD2"/>
    <w:rsid w:val="7ADF099F"/>
    <w:rsid w:val="7B3476C6"/>
    <w:rsid w:val="7B4604AA"/>
    <w:rsid w:val="7B5C45C4"/>
    <w:rsid w:val="7B9748CB"/>
    <w:rsid w:val="7BA47C0D"/>
    <w:rsid w:val="7BA50026"/>
    <w:rsid w:val="7BBB1976"/>
    <w:rsid w:val="7BFBDF02"/>
    <w:rsid w:val="7BFF7DF1"/>
    <w:rsid w:val="7BFFFB2A"/>
    <w:rsid w:val="7C680100"/>
    <w:rsid w:val="7CA36727"/>
    <w:rsid w:val="7CBF0BB4"/>
    <w:rsid w:val="7D2D1D20"/>
    <w:rsid w:val="7D47D1CE"/>
    <w:rsid w:val="7D47FDE0"/>
    <w:rsid w:val="7D5D5B66"/>
    <w:rsid w:val="7D7B8160"/>
    <w:rsid w:val="7D932127"/>
    <w:rsid w:val="7D9C4C8E"/>
    <w:rsid w:val="7DCB037F"/>
    <w:rsid w:val="7DDF680D"/>
    <w:rsid w:val="7E0C2080"/>
    <w:rsid w:val="7E2517AE"/>
    <w:rsid w:val="7E6F9E3D"/>
    <w:rsid w:val="7E7464BF"/>
    <w:rsid w:val="7EB110B4"/>
    <w:rsid w:val="7EEF692A"/>
    <w:rsid w:val="7EFFFEAE"/>
    <w:rsid w:val="7F377A43"/>
    <w:rsid w:val="7F76F1F0"/>
    <w:rsid w:val="7F7F912C"/>
    <w:rsid w:val="7F7FEF16"/>
    <w:rsid w:val="7FA8058A"/>
    <w:rsid w:val="7FAEAB6F"/>
    <w:rsid w:val="7FAFA290"/>
    <w:rsid w:val="7FB17A76"/>
    <w:rsid w:val="7FBF7492"/>
    <w:rsid w:val="7FDFF502"/>
    <w:rsid w:val="7FED6B23"/>
    <w:rsid w:val="7FEFC3F8"/>
    <w:rsid w:val="7FFB3B70"/>
    <w:rsid w:val="7FFF3EC4"/>
    <w:rsid w:val="7FFFEC1F"/>
    <w:rsid w:val="87D28CD3"/>
    <w:rsid w:val="8DFF956C"/>
    <w:rsid w:val="8E586946"/>
    <w:rsid w:val="8E7D199D"/>
    <w:rsid w:val="97ED55D9"/>
    <w:rsid w:val="9BF79E95"/>
    <w:rsid w:val="9DEE61A9"/>
    <w:rsid w:val="9FF78DB8"/>
    <w:rsid w:val="9FFF3797"/>
    <w:rsid w:val="A5FFA5A8"/>
    <w:rsid w:val="A6EBB848"/>
    <w:rsid w:val="A7B74358"/>
    <w:rsid w:val="A7EF2F45"/>
    <w:rsid w:val="ABFFB2E2"/>
    <w:rsid w:val="AF7F2C45"/>
    <w:rsid w:val="B3FB7121"/>
    <w:rsid w:val="B6AE73E7"/>
    <w:rsid w:val="B7FF1FC2"/>
    <w:rsid w:val="BB992DED"/>
    <w:rsid w:val="BBD1F84F"/>
    <w:rsid w:val="BBDE7565"/>
    <w:rsid w:val="BDDBB5F3"/>
    <w:rsid w:val="BDFD6497"/>
    <w:rsid w:val="BED929A7"/>
    <w:rsid w:val="BEF6C6AC"/>
    <w:rsid w:val="BFBF280F"/>
    <w:rsid w:val="BFCE91A7"/>
    <w:rsid w:val="BFCF981C"/>
    <w:rsid w:val="BFF7836C"/>
    <w:rsid w:val="BFF90E59"/>
    <w:rsid w:val="C6F604E0"/>
    <w:rsid w:val="CB9F142B"/>
    <w:rsid w:val="D39E50BB"/>
    <w:rsid w:val="D5F1CD3D"/>
    <w:rsid w:val="D6D9E424"/>
    <w:rsid w:val="D6F9FC60"/>
    <w:rsid w:val="D75FDC7D"/>
    <w:rsid w:val="D7FFFC7B"/>
    <w:rsid w:val="DB73C6FA"/>
    <w:rsid w:val="DB7CB80B"/>
    <w:rsid w:val="DCD4D321"/>
    <w:rsid w:val="DCF97E0F"/>
    <w:rsid w:val="DDFDBBE8"/>
    <w:rsid w:val="DEAD1908"/>
    <w:rsid w:val="DFDCD3DF"/>
    <w:rsid w:val="DFF76C27"/>
    <w:rsid w:val="DFFEE1AA"/>
    <w:rsid w:val="E6B9E31C"/>
    <w:rsid w:val="E6BF0EE1"/>
    <w:rsid w:val="E9FF2C39"/>
    <w:rsid w:val="EAFDAFF0"/>
    <w:rsid w:val="EB6F3B46"/>
    <w:rsid w:val="ED752CD8"/>
    <w:rsid w:val="EE3E5819"/>
    <w:rsid w:val="EEBA9EFD"/>
    <w:rsid w:val="EF9FFEA6"/>
    <w:rsid w:val="EFDF10C0"/>
    <w:rsid w:val="EFE78F6A"/>
    <w:rsid w:val="EFEAA5CA"/>
    <w:rsid w:val="EFFFA887"/>
    <w:rsid w:val="F3EB9D0C"/>
    <w:rsid w:val="F5FD7159"/>
    <w:rsid w:val="F65FAAA6"/>
    <w:rsid w:val="F6FDBB74"/>
    <w:rsid w:val="F7D33A18"/>
    <w:rsid w:val="F7EEE4FF"/>
    <w:rsid w:val="F7FF65C5"/>
    <w:rsid w:val="F9E7E4CA"/>
    <w:rsid w:val="F9FD5ABD"/>
    <w:rsid w:val="FBBF3450"/>
    <w:rsid w:val="FBBF4E18"/>
    <w:rsid w:val="FBBFA37D"/>
    <w:rsid w:val="FBDD7EB2"/>
    <w:rsid w:val="FBF47ECC"/>
    <w:rsid w:val="FBFDBBC6"/>
    <w:rsid w:val="FDD540E1"/>
    <w:rsid w:val="FDF92591"/>
    <w:rsid w:val="FDFF0210"/>
    <w:rsid w:val="FE26193B"/>
    <w:rsid w:val="FE4FD102"/>
    <w:rsid w:val="FEF4A0AE"/>
    <w:rsid w:val="FEFF683B"/>
    <w:rsid w:val="FF52A414"/>
    <w:rsid w:val="FF578500"/>
    <w:rsid w:val="FF7F198D"/>
    <w:rsid w:val="FFA5BD48"/>
    <w:rsid w:val="FFA7251D"/>
    <w:rsid w:val="FFA77F46"/>
    <w:rsid w:val="FFDA4AE7"/>
    <w:rsid w:val="FFDCC45E"/>
    <w:rsid w:val="FFDED790"/>
    <w:rsid w:val="FFE7D1D0"/>
    <w:rsid w:val="FFEFDA93"/>
    <w:rsid w:val="FFEFDB0F"/>
    <w:rsid w:val="FFF6B620"/>
    <w:rsid w:val="FFF77849"/>
    <w:rsid w:val="FFFB0D8E"/>
    <w:rsid w:val="FFFB1262"/>
    <w:rsid w:val="FFFD6AB3"/>
    <w:rsid w:val="FFFFF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5">
    <w:name w:val="Body Text Indent"/>
    <w:basedOn w:val="1"/>
    <w:qFormat/>
    <w:uiPriority w:val="0"/>
    <w:pPr>
      <w:spacing w:beforeLines="0" w:after="120" w:afterLines="0" w:line="240" w:lineRule="auto"/>
      <w:ind w:left="420" w:leftChars="200"/>
    </w:pPr>
    <w:rPr>
      <w:color w:val="000000" w:themeColor="text1"/>
      <w:sz w:val="21"/>
      <w14:textFill>
        <w14:solidFill>
          <w14:schemeClr w14:val="tx1"/>
        </w14:solidFill>
      </w14:textFill>
    </w:rPr>
  </w:style>
  <w:style w:type="paragraph" w:styleId="6">
    <w:name w:val="Block Text"/>
    <w:basedOn w:val="1"/>
    <w:qFormat/>
    <w:uiPriority w:val="0"/>
    <w:pPr>
      <w:tabs>
        <w:tab w:val="left" w:pos="426"/>
      </w:tabs>
      <w:spacing w:after="120"/>
      <w:ind w:left="1440" w:leftChars="700" w:right="1440" w:rightChars="700"/>
    </w:pPr>
  </w:style>
  <w:style w:type="paragraph" w:styleId="7">
    <w:name w:val="Plain Text"/>
    <w:basedOn w:val="1"/>
    <w:qFormat/>
    <w:uiPriority w:val="0"/>
    <w:rPr>
      <w:rFonts w:ascii="宋体" w:hAnsi="Courier New" w:eastAsia="宋体" w:cs="Times New Roman"/>
      <w:sz w:val="3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3"/>
    <w:next w:val="1"/>
    <w:qFormat/>
    <w:uiPriority w:val="0"/>
    <w:pPr>
      <w:widowControl w:val="0"/>
      <w:spacing w:after="120"/>
      <w:ind w:firstLine="420" w:firstLineChars="100"/>
      <w:jc w:val="both"/>
    </w:pPr>
    <w:rPr>
      <w:rFonts w:hint="eastAsia" w:ascii="Calibri" w:hAnsi="Calibri" w:eastAsia="宋体" w:cs="Times New Roman"/>
      <w:kern w:val="2"/>
      <w:szCs w:val="24"/>
      <w:lang w:val="en-US" w:eastAsia="zh-CN" w:bidi="ar-SA"/>
    </w:rPr>
  </w:style>
  <w:style w:type="paragraph" w:styleId="11">
    <w:name w:val="Body Text First Indent 2"/>
    <w:basedOn w:val="5"/>
    <w:qFormat/>
    <w:uiPriority w:val="0"/>
    <w:pPr>
      <w:ind w:firstLine="420" w:firstLine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rPr>
      <w:sz w:val="22"/>
      <w:szCs w:val="22"/>
    </w:rPr>
  </w:style>
  <w:style w:type="character" w:styleId="18">
    <w:name w:val="Hyperlink"/>
    <w:basedOn w:val="14"/>
    <w:qFormat/>
    <w:uiPriority w:val="0"/>
    <w:rPr>
      <w:color w:val="000000"/>
      <w:u w:val="none"/>
    </w:rPr>
  </w:style>
  <w:style w:type="paragraph" w:customStyle="1" w:styleId="19">
    <w:name w:val="_Style 3"/>
    <w:basedOn w:val="1"/>
    <w:next w:val="1"/>
    <w:qFormat/>
    <w:uiPriority w:val="99"/>
    <w:pPr>
      <w:spacing w:line="360" w:lineRule="auto"/>
      <w:ind w:firstLine="420" w:firstLineChars="200"/>
    </w:pPr>
    <w:rPr>
      <w:sz w:val="24"/>
    </w:rPr>
  </w:style>
  <w:style w:type="character" w:customStyle="1" w:styleId="20">
    <w:name w:val="treeicon"/>
    <w:basedOn w:val="14"/>
    <w:qFormat/>
    <w:uiPriority w:val="0"/>
  </w:style>
  <w:style w:type="character" w:customStyle="1" w:styleId="21">
    <w:name w:val="fontstyle01"/>
    <w:basedOn w:val="14"/>
    <w:qFormat/>
    <w:uiPriority w:val="0"/>
    <w:rPr>
      <w:rFonts w:ascii="宋体" w:hAnsi="宋体" w:eastAsia="宋体" w:cs="宋体"/>
      <w:color w:val="000000"/>
      <w:sz w:val="28"/>
      <w:szCs w:val="28"/>
    </w:rPr>
  </w:style>
  <w:style w:type="character" w:customStyle="1" w:styleId="22">
    <w:name w:val="hover49"/>
    <w:basedOn w:val="14"/>
    <w:qFormat/>
    <w:uiPriority w:val="0"/>
    <w:rPr>
      <w:color w:val="FFFFFF"/>
      <w:shd w:val="clear" w:color="auto" w:fill="1091DB"/>
    </w:rPr>
  </w:style>
  <w:style w:type="character" w:customStyle="1" w:styleId="23">
    <w:name w:val="hover50"/>
    <w:basedOn w:val="14"/>
    <w:qFormat/>
    <w:uiPriority w:val="0"/>
    <w:rPr>
      <w:sz w:val="21"/>
      <w:szCs w:val="21"/>
    </w:rPr>
  </w:style>
  <w:style w:type="character" w:customStyle="1" w:styleId="24">
    <w:name w:val="hover48"/>
    <w:basedOn w:val="14"/>
    <w:qFormat/>
    <w:uiPriority w:val="0"/>
    <w:rPr>
      <w:color w:val="FFFFFF"/>
      <w:shd w:val="clear" w:color="auto" w:fill="1091DB"/>
    </w:rPr>
  </w:style>
  <w:style w:type="paragraph" w:customStyle="1" w:styleId="25">
    <w:name w:val="USE 1"/>
    <w:basedOn w:val="1"/>
    <w:qFormat/>
    <w:uiPriority w:val="0"/>
    <w:pPr>
      <w:spacing w:line="200" w:lineRule="atLeast"/>
      <w:jc w:val="left"/>
    </w:pPr>
    <w:rPr>
      <w:rFonts w:ascii="宋体" w:hAnsi="宋体"/>
      <w:b/>
      <w:sz w:val="24"/>
      <w:szCs w:val="2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2197</Words>
  <Characters>2254</Characters>
  <Lines>0</Lines>
  <Paragraphs>0</Paragraphs>
  <TotalTime>0</TotalTime>
  <ScaleCrop>false</ScaleCrop>
  <LinksUpToDate>false</LinksUpToDate>
  <CharactersWithSpaces>2267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2021-07-02T08:59:00Z</dcterms:created>
  <dc:creator>006</dc:creator>
  <cp:lastModifiedBy>wtj-thy</cp:lastModifiedBy>
  <cp:lastPrinted>2025-04-26T17:13:00Z</cp:lastPrinted>
  <dcterms:modified xsi:type="dcterms:W3CDTF">2025-04-29T16:44:40Z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175AB8ABBF60B369D6440F680657504F</vt:lpwstr>
  </property>
</Properties>
</file>