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120" w:beforeLines="1000" w:line="440" w:lineRule="exact"/>
        <w:jc w:val="center"/>
        <w:rPr>
          <w:rFonts w:hint="eastAsia"/>
          <w:b/>
          <w:bCs w:val="0"/>
          <w:color w:val="auto"/>
          <w:sz w:val="36"/>
          <w:szCs w:val="36"/>
          <w:highlight w:val="none"/>
          <w:lang w:eastAsia="zh-Hans"/>
        </w:rPr>
      </w:pPr>
      <w:r>
        <w:rPr>
          <w:rFonts w:hint="eastAsia" w:asciiTheme="minorEastAsia" w:hAnsiTheme="minorEastAsia" w:eastAsiaTheme="minorEastAsia" w:cstheme="minorEastAsia"/>
          <w:b/>
          <w:bCs w:val="0"/>
          <w:color w:val="auto"/>
          <w:sz w:val="36"/>
          <w:szCs w:val="36"/>
          <w:highlight w:val="none"/>
          <w:lang w:eastAsia="zh-Hans"/>
        </w:rPr>
        <w:t>2020-2022</w:t>
      </w:r>
      <w:r>
        <w:rPr>
          <w:rFonts w:hint="eastAsia"/>
          <w:b/>
          <w:bCs w:val="0"/>
          <w:color w:val="auto"/>
          <w:sz w:val="36"/>
          <w:szCs w:val="36"/>
          <w:highlight w:val="none"/>
          <w:lang w:eastAsia="zh-Hans"/>
        </w:rPr>
        <w:t>年度国家高新技术企业认定奖励项目支出重点绩效评价报告</w:t>
      </w:r>
    </w:p>
    <w:p>
      <w:pPr>
        <w:pStyle w:val="2"/>
        <w:jc w:val="center"/>
        <w:rPr>
          <w:rFonts w:hint="eastAsia" w:asciiTheme="majorEastAsia" w:hAnsiTheme="majorEastAsia" w:eastAsiaTheme="majorEastAsia" w:cstheme="majorEastAsia"/>
          <w:color w:val="auto"/>
          <w:highlight w:val="none"/>
          <w:lang w:val="en-US" w:eastAsia="zh-CN"/>
        </w:rPr>
      </w:pPr>
    </w:p>
    <w:p>
      <w:pPr>
        <w:rPr>
          <w:rFonts w:hint="eastAsia" w:asciiTheme="majorEastAsia" w:hAnsiTheme="majorEastAsia" w:eastAsiaTheme="majorEastAsia" w:cstheme="majorEastAsia"/>
          <w:color w:val="auto"/>
          <w:highlight w:val="none"/>
          <w:lang w:val="en-US" w:eastAsia="zh-CN"/>
        </w:rPr>
      </w:pPr>
    </w:p>
    <w:p>
      <w:pPr>
        <w:pStyle w:val="2"/>
        <w:rPr>
          <w:rFonts w:hint="eastAsia" w:asciiTheme="majorEastAsia" w:hAnsiTheme="majorEastAsia" w:eastAsiaTheme="majorEastAsia" w:cstheme="majorEastAsia"/>
          <w:color w:val="auto"/>
          <w:highlight w:val="none"/>
          <w:lang w:val="en-US" w:eastAsia="zh-CN"/>
        </w:rPr>
      </w:pPr>
    </w:p>
    <w:p>
      <w:pPr>
        <w:rPr>
          <w:rFonts w:hint="eastAsia" w:asciiTheme="majorEastAsia" w:hAnsiTheme="majorEastAsia" w:eastAsiaTheme="majorEastAsia" w:cstheme="majorEastAsia"/>
          <w:color w:val="auto"/>
          <w:highlight w:val="none"/>
          <w:lang w:val="en-US" w:eastAsia="zh-CN"/>
        </w:rPr>
      </w:pPr>
    </w:p>
    <w:p>
      <w:pPr>
        <w:pStyle w:val="2"/>
        <w:rPr>
          <w:rFonts w:hint="eastAsia" w:asciiTheme="majorEastAsia" w:hAnsiTheme="majorEastAsia" w:eastAsiaTheme="majorEastAsia" w:cstheme="majorEastAsia"/>
          <w:color w:val="auto"/>
          <w:highlight w:val="none"/>
          <w:lang w:val="en-US" w:eastAsia="zh-CN"/>
        </w:rPr>
      </w:pPr>
    </w:p>
    <w:p>
      <w:pPr>
        <w:rPr>
          <w:rFonts w:hint="eastAsia" w:asciiTheme="majorEastAsia" w:hAnsiTheme="majorEastAsia" w:eastAsiaTheme="majorEastAsia" w:cstheme="majorEastAsia"/>
          <w:color w:val="auto"/>
          <w:highlight w:val="none"/>
          <w:lang w:val="en-US" w:eastAsia="zh-CN"/>
        </w:rPr>
      </w:pPr>
    </w:p>
    <w:p>
      <w:pPr>
        <w:pStyle w:val="2"/>
        <w:rPr>
          <w:rFonts w:hint="eastAsia"/>
          <w:lang w:val="en-US" w:eastAsia="zh-CN"/>
        </w:rPr>
      </w:pPr>
    </w:p>
    <w:p>
      <w:pPr>
        <w:pStyle w:val="24"/>
        <w:spacing w:after="20"/>
        <w:ind w:firstLine="0" w:firstLineChars="0"/>
        <w:jc w:val="center"/>
        <w:rPr>
          <w:rFonts w:ascii="仿宋_GB2312" w:hAnsi="仿宋_GB2312" w:eastAsia="仿宋_GB2312" w:cs="仿宋_GB2312"/>
          <w:color w:val="auto"/>
          <w:sz w:val="22"/>
          <w:szCs w:val="22"/>
          <w:highlight w:val="none"/>
        </w:rPr>
      </w:pPr>
    </w:p>
    <w:p>
      <w:pPr>
        <w:pStyle w:val="12"/>
        <w:tabs>
          <w:tab w:val="right" w:leader="dot" w:pos="8296"/>
        </w:tabs>
        <w:spacing w:line="530" w:lineRule="exact"/>
        <w:jc w:val="both"/>
        <w:rPr>
          <w:rFonts w:ascii="CESI仿宋-GB2312" w:hAnsi="CESI仿宋-GB2312"/>
          <w:color w:val="auto"/>
          <w:highlight w:val="none"/>
        </w:rPr>
      </w:pPr>
    </w:p>
    <w:p>
      <w:pPr>
        <w:jc w:val="center"/>
        <w:rPr>
          <w:rFonts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b/>
          <w:bCs w:val="0"/>
          <w:color w:val="auto"/>
          <w:sz w:val="36"/>
          <w:szCs w:val="36"/>
          <w:highlight w:val="none"/>
          <w:lang w:eastAsia="zh-Hans"/>
        </w:rPr>
        <w:br w:type="page"/>
      </w:r>
      <w:bookmarkStart w:id="0" w:name="_Toc13477763"/>
      <w:bookmarkStart w:id="1" w:name="_Toc7914"/>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全面实施预算绩效管理，健全科学、合理的财政支出政策绩效评价体系，进一步提高财政资源配置效率和资金使用效益，深圳日浩会计师事务所（普通合伙）受深圳市龙华区财政局（以下简称“区财政局”）委托组建评价小组，对深圳市龙华区科技创新局（以下简称“区科创局”）</w:t>
      </w:r>
      <w:r>
        <w:rPr>
          <w:rFonts w:ascii="仿宋_GB2312" w:hAnsi="仿宋_GB2312" w:eastAsia="仿宋_GB2312" w:cs="仿宋_GB2312"/>
          <w:color w:val="auto"/>
          <w:sz w:val="32"/>
          <w:szCs w:val="32"/>
          <w:highlight w:val="none"/>
        </w:rPr>
        <w:t>2020</w:t>
      </w:r>
      <w:r>
        <w:rPr>
          <w:rFonts w:ascii="仿宋_GB2312" w:hAnsi="仿宋_GB2312" w:eastAsia="仿宋_GB2312" w:cs="仿宋_GB2312"/>
          <w:color w:val="auto"/>
          <w:sz w:val="32"/>
          <w:szCs w:val="32"/>
          <w:highlight w:val="none"/>
          <w:lang w:eastAsia="zh-Hans"/>
        </w:rPr>
        <w:t>-2022</w:t>
      </w:r>
      <w:r>
        <w:rPr>
          <w:rFonts w:hint="eastAsia" w:ascii="仿宋_GB2312" w:hAnsi="仿宋_GB2312" w:eastAsia="仿宋_GB2312" w:cs="仿宋_GB2312"/>
          <w:color w:val="auto"/>
          <w:sz w:val="32"/>
          <w:szCs w:val="32"/>
          <w:highlight w:val="none"/>
          <w:lang w:eastAsia="zh-Hans"/>
        </w:rPr>
        <w:t>年国家高新技术企业认定奖励项目及政策开展重点绩效评价工作。评价小组围绕本项目设立的目标和意义，通过访谈、企业调研、对比分析、问卷调查等方式，对本项目（政策）的设立、实施管理、实施效果等方面进行评价，具体如下：</w:t>
      </w:r>
    </w:p>
    <w:p>
      <w:pPr>
        <w:spacing w:line="560" w:lineRule="exact"/>
        <w:ind w:firstLine="640" w:firstLineChars="200"/>
        <w:outlineLvl w:val="0"/>
        <w:rPr>
          <w:rFonts w:ascii="黑体" w:hAnsi="黑体" w:eastAsia="黑体" w:cs="黑体"/>
          <w:color w:val="auto"/>
          <w:sz w:val="32"/>
          <w:highlight w:val="none"/>
        </w:rPr>
      </w:pPr>
      <w:bookmarkStart w:id="2" w:name="_Toc1847715267"/>
      <w:bookmarkStart w:id="3" w:name="_Toc77932252"/>
      <w:r>
        <w:rPr>
          <w:rFonts w:hint="eastAsia" w:ascii="黑体" w:hAnsi="黑体" w:eastAsia="黑体" w:cs="黑体"/>
          <w:color w:val="auto"/>
          <w:sz w:val="32"/>
          <w:highlight w:val="none"/>
        </w:rPr>
        <w:t>一、</w:t>
      </w:r>
      <w:r>
        <w:rPr>
          <w:rFonts w:hint="eastAsia" w:ascii="黑体" w:hAnsi="黑体" w:eastAsia="黑体" w:cs="黑体"/>
          <w:color w:val="auto"/>
          <w:sz w:val="32"/>
          <w:highlight w:val="none"/>
          <w:lang w:eastAsia="zh-Hans"/>
        </w:rPr>
        <w:t>基本</w:t>
      </w:r>
      <w:bookmarkEnd w:id="0"/>
      <w:bookmarkEnd w:id="1"/>
      <w:r>
        <w:rPr>
          <w:rFonts w:hint="eastAsia" w:ascii="黑体" w:hAnsi="黑体" w:eastAsia="黑体" w:cs="黑体"/>
          <w:color w:val="auto"/>
          <w:sz w:val="32"/>
          <w:highlight w:val="none"/>
          <w:lang w:eastAsia="zh-Hans"/>
        </w:rPr>
        <w:t>情况</w:t>
      </w:r>
      <w:bookmarkEnd w:id="2"/>
      <w:bookmarkEnd w:id="3"/>
    </w:p>
    <w:p>
      <w:pPr>
        <w:spacing w:line="560" w:lineRule="exact"/>
        <w:ind w:firstLine="640" w:firstLineChars="200"/>
        <w:outlineLvl w:val="1"/>
        <w:rPr>
          <w:rFonts w:ascii="楷体_GB2312" w:hAnsi="楷体_GB2312" w:eastAsia="楷体_GB2312" w:cs="楷体_GB2312"/>
          <w:color w:val="auto"/>
          <w:sz w:val="32"/>
          <w:highlight w:val="none"/>
          <w:lang w:eastAsia="zh-Hans"/>
        </w:rPr>
      </w:pPr>
      <w:bookmarkStart w:id="4" w:name="_Toc1989818341"/>
      <w:bookmarkStart w:id="5" w:name="_Toc1796730708"/>
      <w:r>
        <w:rPr>
          <w:rFonts w:hint="eastAsia" w:ascii="楷体_GB2312" w:hAnsi="楷体_GB2312" w:eastAsia="楷体_GB2312" w:cs="楷体_GB2312"/>
          <w:color w:val="auto"/>
          <w:sz w:val="32"/>
          <w:highlight w:val="none"/>
          <w:lang w:eastAsia="zh-Hans"/>
        </w:rPr>
        <w:t>（一）政策背景</w:t>
      </w:r>
      <w:bookmarkEnd w:id="4"/>
      <w:bookmarkEnd w:id="5"/>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ascii="仿宋_GB2312" w:hAnsi="仿宋_GB2312" w:eastAsia="仿宋_GB2312" w:cs="仿宋_GB2312"/>
          <w:color w:val="auto"/>
          <w:sz w:val="32"/>
          <w:szCs w:val="32"/>
          <w:highlight w:val="none"/>
          <w:lang w:eastAsia="zh-Hans"/>
        </w:rPr>
        <w:t>2017年1月7日，龙华区正式挂牌成立行政区，在“一城四区”</w:t>
      </w:r>
      <w:r>
        <w:rPr>
          <w:rStyle w:val="23"/>
          <w:rFonts w:ascii="仿宋_GB2312" w:hAnsi="仿宋_GB2312" w:eastAsia="仿宋_GB2312" w:cs="仿宋_GB2312"/>
          <w:color w:val="auto"/>
          <w:sz w:val="32"/>
          <w:szCs w:val="32"/>
          <w:highlight w:val="none"/>
          <w:lang w:eastAsia="zh-Hans"/>
        </w:rPr>
        <w:footnoteReference w:id="0"/>
      </w:r>
      <w:r>
        <w:rPr>
          <w:rFonts w:ascii="仿宋_GB2312" w:hAnsi="仿宋_GB2312" w:eastAsia="仿宋_GB2312" w:cs="仿宋_GB2312"/>
          <w:color w:val="auto"/>
          <w:sz w:val="32"/>
          <w:szCs w:val="32"/>
          <w:highlight w:val="none"/>
          <w:lang w:eastAsia="zh-Hans"/>
        </w:rPr>
        <w:t>总目标下打造“产业创新主力区”。2017年2月21日，区科创局正式挂牌成立，其主要任务之一是“通过科技创新驱动龙华区发展”。</w:t>
      </w:r>
    </w:p>
    <w:p>
      <w:pPr>
        <w:widowControl/>
        <w:spacing w:line="560" w:lineRule="exact"/>
        <w:ind w:firstLine="640" w:firstLineChars="200"/>
        <w:rPr>
          <w:rFonts w:ascii="仿宋_GB2312" w:eastAsia="仿宋_GB2312"/>
          <w:color w:val="auto"/>
          <w:kern w:val="0"/>
          <w:sz w:val="32"/>
          <w:szCs w:val="28"/>
          <w:highlight w:val="none"/>
          <w:lang w:eastAsia="zh-Hans"/>
        </w:rPr>
      </w:pPr>
      <w:r>
        <w:rPr>
          <w:rFonts w:hint="eastAsia" w:ascii="仿宋_GB2312" w:eastAsia="仿宋_GB2312"/>
          <w:color w:val="auto"/>
          <w:kern w:val="0"/>
          <w:sz w:val="32"/>
          <w:szCs w:val="28"/>
          <w:highlight w:val="none"/>
          <w:lang w:eastAsia="zh-Hans"/>
        </w:rPr>
        <w:t>区科创局为贯彻落实区委、区政府</w:t>
      </w:r>
      <w:r>
        <w:rPr>
          <w:rFonts w:hint="eastAsia" w:eastAsia="仿宋_GB2312"/>
          <w:color w:val="auto"/>
          <w:kern w:val="0"/>
          <w:sz w:val="32"/>
          <w:szCs w:val="28"/>
          <w:highlight w:val="none"/>
          <w:lang w:eastAsia="zh-Hans"/>
        </w:rPr>
        <w:t>工作部署，以深圳市</w:t>
      </w:r>
      <w:r>
        <w:rPr>
          <w:rFonts w:hint="eastAsia" w:ascii="仿宋_GB2312" w:eastAsia="仿宋_GB2312"/>
          <w:color w:val="auto"/>
          <w:kern w:val="0"/>
          <w:sz w:val="32"/>
          <w:szCs w:val="28"/>
          <w:highlight w:val="none"/>
          <w:lang w:eastAsia="zh-Hans"/>
        </w:rPr>
        <w:t>《关于促进科技创新的若干措施》（深发〔</w:t>
      </w:r>
      <w:r>
        <w:rPr>
          <w:rFonts w:ascii="仿宋_GB2312" w:eastAsia="仿宋_GB2312"/>
          <w:color w:val="auto"/>
          <w:kern w:val="0"/>
          <w:sz w:val="32"/>
          <w:szCs w:val="28"/>
          <w:highlight w:val="none"/>
          <w:lang w:eastAsia="zh-Hans"/>
        </w:rPr>
        <w:t>2016</w:t>
      </w:r>
      <w:r>
        <w:rPr>
          <w:rFonts w:hint="eastAsia" w:ascii="仿宋_GB2312" w:eastAsia="仿宋_GB2312"/>
          <w:color w:val="auto"/>
          <w:kern w:val="0"/>
          <w:sz w:val="32"/>
          <w:szCs w:val="28"/>
          <w:highlight w:val="none"/>
          <w:lang w:eastAsia="zh-Hans"/>
        </w:rPr>
        <w:t>〕</w:t>
      </w:r>
      <w:r>
        <w:rPr>
          <w:rFonts w:ascii="仿宋_GB2312" w:eastAsia="仿宋_GB2312"/>
          <w:color w:val="auto"/>
          <w:kern w:val="0"/>
          <w:sz w:val="32"/>
          <w:szCs w:val="28"/>
          <w:highlight w:val="none"/>
          <w:lang w:eastAsia="zh-Hans"/>
        </w:rPr>
        <w:t>7</w:t>
      </w:r>
      <w:r>
        <w:rPr>
          <w:rFonts w:hint="eastAsia" w:ascii="仿宋_GB2312" w:eastAsia="仿宋_GB2312"/>
          <w:color w:val="auto"/>
          <w:kern w:val="0"/>
          <w:sz w:val="32"/>
          <w:szCs w:val="28"/>
          <w:highlight w:val="none"/>
          <w:lang w:eastAsia="zh-Hans"/>
        </w:rPr>
        <w:t>号）、《关于支持企业提升竞争里的若干措施》（深发〔</w:t>
      </w:r>
      <w:r>
        <w:rPr>
          <w:rFonts w:ascii="仿宋_GB2312" w:eastAsia="仿宋_GB2312"/>
          <w:color w:val="auto"/>
          <w:kern w:val="0"/>
          <w:sz w:val="32"/>
          <w:szCs w:val="28"/>
          <w:highlight w:val="none"/>
          <w:lang w:eastAsia="zh-Hans"/>
        </w:rPr>
        <w:t>2016</w:t>
      </w:r>
      <w:r>
        <w:rPr>
          <w:rFonts w:hint="eastAsia" w:ascii="仿宋_GB2312" w:eastAsia="仿宋_GB2312"/>
          <w:color w:val="auto"/>
          <w:kern w:val="0"/>
          <w:sz w:val="32"/>
          <w:szCs w:val="28"/>
          <w:highlight w:val="none"/>
          <w:lang w:eastAsia="zh-Hans"/>
        </w:rPr>
        <w:t>〕</w:t>
      </w:r>
      <w:r>
        <w:rPr>
          <w:rFonts w:ascii="仿宋_GB2312" w:eastAsia="仿宋_GB2312"/>
          <w:color w:val="auto"/>
          <w:kern w:val="0"/>
          <w:sz w:val="32"/>
          <w:szCs w:val="28"/>
          <w:highlight w:val="none"/>
          <w:lang w:eastAsia="zh-Hans"/>
        </w:rPr>
        <w:t>8</w:t>
      </w:r>
      <w:r>
        <w:rPr>
          <w:rFonts w:hint="eastAsia" w:ascii="仿宋_GB2312" w:eastAsia="仿宋_GB2312"/>
          <w:color w:val="auto"/>
          <w:kern w:val="0"/>
          <w:sz w:val="32"/>
          <w:szCs w:val="28"/>
          <w:highlight w:val="none"/>
          <w:lang w:eastAsia="zh-Hans"/>
        </w:rPr>
        <w:t>号）、《关于促进人才优先发展的若干措施》（深发〔</w:t>
      </w:r>
      <w:r>
        <w:rPr>
          <w:rFonts w:ascii="仿宋_GB2312" w:eastAsia="仿宋_GB2312"/>
          <w:color w:val="auto"/>
          <w:kern w:val="0"/>
          <w:sz w:val="32"/>
          <w:szCs w:val="28"/>
          <w:highlight w:val="none"/>
          <w:lang w:eastAsia="zh-Hans"/>
        </w:rPr>
        <w:t>2016</w:t>
      </w:r>
      <w:r>
        <w:rPr>
          <w:rFonts w:hint="eastAsia" w:ascii="仿宋_GB2312" w:eastAsia="仿宋_GB2312"/>
          <w:color w:val="auto"/>
          <w:kern w:val="0"/>
          <w:sz w:val="32"/>
          <w:szCs w:val="28"/>
          <w:highlight w:val="none"/>
          <w:lang w:eastAsia="zh-Hans"/>
        </w:rPr>
        <w:t>〕</w:t>
      </w:r>
      <w:r>
        <w:rPr>
          <w:rFonts w:ascii="仿宋_GB2312" w:eastAsia="仿宋_GB2312"/>
          <w:color w:val="auto"/>
          <w:kern w:val="0"/>
          <w:sz w:val="32"/>
          <w:szCs w:val="28"/>
          <w:highlight w:val="none"/>
          <w:lang w:eastAsia="zh-Hans"/>
        </w:rPr>
        <w:t>9</w:t>
      </w:r>
      <w:r>
        <w:rPr>
          <w:rFonts w:hint="eastAsia" w:ascii="仿宋_GB2312" w:eastAsia="仿宋_GB2312"/>
          <w:color w:val="auto"/>
          <w:kern w:val="0"/>
          <w:sz w:val="32"/>
          <w:szCs w:val="28"/>
          <w:highlight w:val="none"/>
          <w:lang w:eastAsia="zh-Hans"/>
        </w:rPr>
        <w:t>号）</w:t>
      </w:r>
      <w:r>
        <w:rPr>
          <w:rFonts w:eastAsia="仿宋_GB2312"/>
          <w:color w:val="auto"/>
          <w:kern w:val="0"/>
          <w:sz w:val="32"/>
          <w:szCs w:val="28"/>
          <w:highlight w:val="none"/>
          <w:lang w:eastAsia="zh-Hans"/>
        </w:rPr>
        <w:t>、</w:t>
      </w:r>
      <w:r>
        <w:rPr>
          <w:rFonts w:hint="eastAsia" w:eastAsia="仿宋_GB2312"/>
          <w:color w:val="auto"/>
          <w:kern w:val="0"/>
          <w:sz w:val="32"/>
          <w:szCs w:val="28"/>
          <w:highlight w:val="none"/>
          <w:lang w:eastAsia="zh-Hans"/>
        </w:rPr>
        <w:t>龙华区委区政府一届一次和一届二次党代会精神等相关政策和指导精神为依据</w:t>
      </w:r>
      <w:r>
        <w:rPr>
          <w:rFonts w:hint="eastAsia" w:eastAsia="仿宋_GB2312"/>
          <w:color w:val="auto"/>
          <w:kern w:val="0"/>
          <w:sz w:val="32"/>
          <w:szCs w:val="28"/>
          <w:highlight w:val="none"/>
        </w:rPr>
        <w:t>；</w:t>
      </w:r>
      <w:r>
        <w:rPr>
          <w:rFonts w:hint="eastAsia" w:ascii="仿宋_GB2312" w:hAnsi="仿宋_GB2312" w:eastAsia="仿宋_GB2312" w:cs="仿宋_GB2312"/>
          <w:color w:val="auto"/>
          <w:sz w:val="32"/>
          <w:szCs w:val="32"/>
          <w:highlight w:val="none"/>
          <w:lang w:eastAsia="zh-Hans"/>
        </w:rPr>
        <w:t>以</w:t>
      </w:r>
      <w:r>
        <w:rPr>
          <w:rFonts w:hint="eastAsia" w:ascii="仿宋_GB2312" w:hAnsi="仿宋_GB2312" w:eastAsia="仿宋_GB2312" w:cs="仿宋_GB2312"/>
          <w:color w:val="auto"/>
          <w:sz w:val="32"/>
          <w:szCs w:val="32"/>
          <w:highlight w:val="none"/>
        </w:rPr>
        <w:t>深入实施创新驱动发展战略，加快集聚各类创新资源，全面提升企业自主创新能力</w:t>
      </w:r>
      <w:r>
        <w:rPr>
          <w:rFonts w:hint="eastAsia" w:ascii="仿宋_GB2312" w:hAnsi="仿宋_GB2312" w:eastAsia="仿宋_GB2312" w:cs="仿宋_GB2312"/>
          <w:color w:val="auto"/>
          <w:sz w:val="32"/>
          <w:szCs w:val="32"/>
          <w:highlight w:val="none"/>
          <w:lang w:eastAsia="zh-Hans"/>
        </w:rPr>
        <w:t>为主要目的</w:t>
      </w:r>
      <w:r>
        <w:rPr>
          <w:rFonts w:hint="eastAsia" w:ascii="仿宋_GB2312" w:hAnsi="仿宋_GB2312" w:eastAsia="仿宋_GB2312" w:cs="仿宋_GB2312"/>
          <w:color w:val="auto"/>
          <w:sz w:val="32"/>
          <w:szCs w:val="32"/>
          <w:highlight w:val="none"/>
        </w:rPr>
        <w:t>，</w:t>
      </w:r>
      <w:r>
        <w:rPr>
          <w:rFonts w:hint="eastAsia" w:eastAsia="仿宋_GB2312"/>
          <w:color w:val="auto"/>
          <w:kern w:val="0"/>
          <w:sz w:val="32"/>
          <w:szCs w:val="28"/>
          <w:highlight w:val="none"/>
          <w:lang w:eastAsia="zh-Hans"/>
        </w:rPr>
        <w:t>鼓励企业积极认证国家高新技术企业</w:t>
      </w:r>
      <w:r>
        <w:rPr>
          <w:rFonts w:hint="eastAsia" w:eastAsia="仿宋_GB2312"/>
          <w:color w:val="auto"/>
          <w:kern w:val="0"/>
          <w:sz w:val="32"/>
          <w:szCs w:val="28"/>
          <w:highlight w:val="none"/>
        </w:rPr>
        <w:t>（以下简称“国高企业”），并完成科创市对区的有关考核任务</w:t>
      </w:r>
      <w:r>
        <w:rPr>
          <w:rFonts w:hint="eastAsia" w:ascii="仿宋_GB2312" w:hAnsi="仿宋_GB2312" w:eastAsia="仿宋_GB2312" w:cs="仿宋_GB2312"/>
          <w:color w:val="auto"/>
          <w:sz w:val="32"/>
          <w:szCs w:val="32"/>
          <w:highlight w:val="none"/>
        </w:rPr>
        <w:t>。</w:t>
      </w:r>
      <w:r>
        <w:rPr>
          <w:rFonts w:hint="eastAsia" w:eastAsia="仿宋_GB2312"/>
          <w:color w:val="auto"/>
          <w:kern w:val="0"/>
          <w:sz w:val="32"/>
          <w:szCs w:val="28"/>
          <w:highlight w:val="none"/>
          <w:lang w:eastAsia="zh-Hans"/>
        </w:rPr>
        <w:t>在区原经济服务局</w:t>
      </w:r>
      <w:r>
        <w:rPr>
          <w:rStyle w:val="23"/>
          <w:rFonts w:eastAsia="仿宋_GB2312"/>
          <w:color w:val="auto"/>
          <w:kern w:val="0"/>
          <w:sz w:val="32"/>
          <w:szCs w:val="28"/>
          <w:highlight w:val="none"/>
          <w:lang w:eastAsia="zh-Hans"/>
        </w:rPr>
        <w:footnoteReference w:id="1"/>
      </w:r>
      <w:r>
        <w:rPr>
          <w:rFonts w:hint="eastAsia" w:eastAsia="仿宋_GB2312"/>
          <w:color w:val="auto"/>
          <w:kern w:val="0"/>
          <w:sz w:val="32"/>
          <w:szCs w:val="28"/>
          <w:highlight w:val="none"/>
          <w:lang w:eastAsia="zh-Hans"/>
        </w:rPr>
        <w:t>工作的基础上，继续调查研究</w:t>
      </w:r>
      <w:r>
        <w:rPr>
          <w:rFonts w:eastAsia="仿宋_GB2312"/>
          <w:color w:val="auto"/>
          <w:kern w:val="0"/>
          <w:sz w:val="32"/>
          <w:szCs w:val="28"/>
          <w:highlight w:val="none"/>
          <w:lang w:eastAsia="zh-Hans"/>
        </w:rPr>
        <w:t>、</w:t>
      </w:r>
      <w:r>
        <w:rPr>
          <w:rFonts w:hint="eastAsia" w:eastAsia="仿宋_GB2312"/>
          <w:color w:val="auto"/>
          <w:kern w:val="0"/>
          <w:sz w:val="32"/>
          <w:szCs w:val="28"/>
          <w:highlight w:val="none"/>
          <w:lang w:eastAsia="zh-Hans"/>
        </w:rPr>
        <w:t>听取相关部门建议、广泛征求意见</w:t>
      </w:r>
      <w:r>
        <w:rPr>
          <w:rFonts w:eastAsia="仿宋_GB2312"/>
          <w:color w:val="auto"/>
          <w:kern w:val="0"/>
          <w:sz w:val="32"/>
          <w:szCs w:val="28"/>
          <w:highlight w:val="none"/>
          <w:lang w:eastAsia="zh-Hans"/>
        </w:rPr>
        <w:t>，</w:t>
      </w:r>
      <w:r>
        <w:rPr>
          <w:rFonts w:hint="eastAsia" w:eastAsia="仿宋_GB2312"/>
          <w:color w:val="auto"/>
          <w:kern w:val="0"/>
          <w:sz w:val="32"/>
          <w:szCs w:val="28"/>
          <w:highlight w:val="none"/>
          <w:lang w:eastAsia="zh-Hans"/>
        </w:rPr>
        <w:t>并经上级部门批准后</w:t>
      </w:r>
      <w:r>
        <w:rPr>
          <w:rFonts w:eastAsia="仿宋_GB2312"/>
          <w:color w:val="auto"/>
          <w:kern w:val="0"/>
          <w:sz w:val="32"/>
          <w:szCs w:val="28"/>
          <w:highlight w:val="none"/>
          <w:lang w:eastAsia="zh-Hans"/>
        </w:rPr>
        <w:t>，</w:t>
      </w:r>
      <w:r>
        <w:rPr>
          <w:rFonts w:hint="eastAsia" w:eastAsia="仿宋_GB2312"/>
          <w:color w:val="auto"/>
          <w:kern w:val="0"/>
          <w:sz w:val="32"/>
          <w:szCs w:val="28"/>
          <w:highlight w:val="none"/>
          <w:lang w:eastAsia="zh-Hans"/>
        </w:rPr>
        <w:t>出台实施《深圳市龙华区科技创新局关于印发</w:t>
      </w:r>
      <w:r>
        <w:rPr>
          <w:rFonts w:hint="eastAsia" w:eastAsia="仿宋_GB2312"/>
          <w:color w:val="auto"/>
          <w:kern w:val="0"/>
          <w:sz w:val="32"/>
          <w:szCs w:val="28"/>
          <w:highlight w:val="none"/>
        </w:rPr>
        <w:t>&lt;</w:t>
      </w:r>
      <w:r>
        <w:rPr>
          <w:rFonts w:hint="eastAsia" w:eastAsia="仿宋_GB2312"/>
          <w:color w:val="auto"/>
          <w:kern w:val="0"/>
          <w:sz w:val="32"/>
          <w:szCs w:val="28"/>
          <w:highlight w:val="none"/>
          <w:lang w:eastAsia="zh-Hans"/>
        </w:rPr>
        <w:t>深圳市龙华区科技创新专项资金实施细则操作规程（试行）</w:t>
      </w:r>
      <w:r>
        <w:rPr>
          <w:rFonts w:hint="eastAsia" w:eastAsia="仿宋_GB2312"/>
          <w:color w:val="auto"/>
          <w:kern w:val="0"/>
          <w:sz w:val="32"/>
          <w:szCs w:val="28"/>
          <w:highlight w:val="none"/>
        </w:rPr>
        <w:t>&gt;</w:t>
      </w:r>
      <w:r>
        <w:rPr>
          <w:rFonts w:hint="eastAsia" w:eastAsia="仿宋_GB2312"/>
          <w:color w:val="auto"/>
          <w:kern w:val="0"/>
          <w:sz w:val="32"/>
          <w:szCs w:val="28"/>
          <w:highlight w:val="none"/>
          <w:lang w:eastAsia="zh-Hans"/>
        </w:rPr>
        <w:t>的通知》</w:t>
      </w:r>
      <w:r>
        <w:rPr>
          <w:rFonts w:hint="eastAsia" w:ascii="仿宋_GB2312" w:eastAsia="仿宋_GB2312"/>
          <w:color w:val="auto"/>
          <w:kern w:val="0"/>
          <w:sz w:val="32"/>
          <w:szCs w:val="28"/>
          <w:highlight w:val="none"/>
          <w:lang w:eastAsia="zh-Hans"/>
        </w:rPr>
        <w:t>（深龙华科创〔</w:t>
      </w:r>
      <w:r>
        <w:rPr>
          <w:rFonts w:ascii="仿宋_GB2312" w:eastAsia="仿宋_GB2312"/>
          <w:color w:val="auto"/>
          <w:kern w:val="0"/>
          <w:sz w:val="32"/>
          <w:szCs w:val="28"/>
          <w:highlight w:val="none"/>
          <w:lang w:eastAsia="zh-Hans"/>
        </w:rPr>
        <w:t>2018</w:t>
      </w:r>
      <w:r>
        <w:rPr>
          <w:rFonts w:hint="eastAsia" w:ascii="仿宋_GB2312" w:eastAsia="仿宋_GB2312"/>
          <w:color w:val="auto"/>
          <w:kern w:val="0"/>
          <w:sz w:val="32"/>
          <w:szCs w:val="28"/>
          <w:highlight w:val="none"/>
          <w:lang w:eastAsia="zh-Hans"/>
        </w:rPr>
        <w:t>〕</w:t>
      </w:r>
      <w:r>
        <w:rPr>
          <w:rFonts w:ascii="仿宋_GB2312" w:eastAsia="仿宋_GB2312"/>
          <w:color w:val="auto"/>
          <w:kern w:val="0"/>
          <w:sz w:val="32"/>
          <w:szCs w:val="28"/>
          <w:highlight w:val="none"/>
          <w:lang w:eastAsia="zh-Hans"/>
        </w:rPr>
        <w:t>69</w:t>
      </w:r>
      <w:r>
        <w:rPr>
          <w:rFonts w:hint="eastAsia" w:ascii="仿宋_GB2312" w:eastAsia="仿宋_GB2312"/>
          <w:color w:val="auto"/>
          <w:kern w:val="0"/>
          <w:sz w:val="32"/>
          <w:szCs w:val="28"/>
          <w:highlight w:val="none"/>
          <w:lang w:eastAsia="zh-Hans"/>
        </w:rPr>
        <w:t>号），更新出台实施《深圳市龙华区科技创新局关于印发《深圳市龙华区科技创新专项资金实施细则（修订）操作规程（试行）》的通知》（深龙华科创〔2020〕43号），</w:t>
      </w:r>
      <w:r>
        <w:rPr>
          <w:rFonts w:hint="eastAsia" w:eastAsia="仿宋_GB2312"/>
          <w:color w:val="auto"/>
          <w:kern w:val="0"/>
          <w:sz w:val="32"/>
          <w:szCs w:val="28"/>
          <w:highlight w:val="none"/>
          <w:lang w:eastAsia="zh-Hans"/>
        </w:rPr>
        <w:t>其中包括“国家高新技术企业认证奖励政策”。</w:t>
      </w:r>
    </w:p>
    <w:p>
      <w:pPr>
        <w:spacing w:line="560" w:lineRule="exact"/>
        <w:ind w:firstLine="640" w:firstLineChars="200"/>
        <w:outlineLvl w:val="1"/>
        <w:rPr>
          <w:rFonts w:ascii="楷体_GB2312" w:hAnsi="楷体_GB2312" w:eastAsia="楷体_GB2312" w:cs="楷体_GB2312"/>
          <w:color w:val="auto"/>
          <w:sz w:val="32"/>
          <w:highlight w:val="none"/>
        </w:rPr>
      </w:pPr>
      <w:bookmarkStart w:id="6" w:name="_Toc1208807409"/>
      <w:bookmarkStart w:id="7" w:name="_Toc114022456"/>
      <w:r>
        <w:rPr>
          <w:rFonts w:hint="eastAsia" w:ascii="楷体_GB2312" w:hAnsi="楷体_GB2312" w:eastAsia="楷体_GB2312" w:cs="楷体_GB2312"/>
          <w:color w:val="auto"/>
          <w:sz w:val="32"/>
          <w:highlight w:val="none"/>
          <w:lang w:eastAsia="zh-Hans"/>
        </w:rPr>
        <w:t>（二）政策内容</w:t>
      </w:r>
      <w:bookmarkEnd w:id="6"/>
      <w:bookmarkEnd w:id="7"/>
    </w:p>
    <w:p>
      <w:pPr>
        <w:spacing w:line="560" w:lineRule="exact"/>
        <w:ind w:firstLine="642" w:firstLineChars="20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1.资助标准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根据《深圳市龙华区人民政府办公室关于印发深圳市龙华区科技创新专项资金实施细则（修订）的通知》（深龙华府办规</w:t>
      </w:r>
      <w:r>
        <w:rPr>
          <w:rFonts w:hint="eastAsia" w:ascii="仿宋_GB2312" w:hAnsi="仿宋_GB2312" w:eastAsia="仿宋_GB2312" w:cs="仿宋_GB2312"/>
          <w:color w:val="auto"/>
          <w:sz w:val="32"/>
          <w:szCs w:val="32"/>
          <w:highlight w:val="none"/>
          <w:lang w:eastAsia="zh-Hans"/>
        </w:rPr>
        <w:t>〔</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Hans"/>
        </w:rPr>
        <w:t>号</w:t>
      </w:r>
      <w:r>
        <w:rPr>
          <w:rFonts w:hint="eastAsia" w:ascii="仿宋_GB2312" w:hAnsi="仿宋_GB2312" w:eastAsia="仿宋_GB2312" w:cs="仿宋_GB2312"/>
          <w:color w:val="auto"/>
          <w:sz w:val="32"/>
          <w:szCs w:val="32"/>
          <w:highlight w:val="none"/>
        </w:rPr>
        <w:t>）第五条，“对通过国家高新高新技术企业认定的，在龙华区未获得过认定奖励的给予30万元奖励，已获得过认定奖励的给予20万元奖励”。</w:t>
      </w:r>
    </w:p>
    <w:p>
      <w:pPr>
        <w:spacing w:line="560" w:lineRule="exact"/>
        <w:ind w:firstLine="642" w:firstLineChars="20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2.资助条件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《深圳市龙华区科技创新局关于印发&lt;深圳市龙华区科技创新专项资金实施细则（修订）操作规程（试行）&gt;的通知》（深龙华科创〔</w:t>
      </w:r>
      <w:r>
        <w:rPr>
          <w:rFonts w:ascii="仿宋_GB2312" w:hAnsi="仿宋_GB2312" w:eastAsia="仿宋_GB2312" w:cs="仿宋_GB2312"/>
          <w:color w:val="auto"/>
          <w:sz w:val="32"/>
          <w:szCs w:val="32"/>
          <w:highlight w:val="none"/>
        </w:rPr>
        <w:t>2020〕43号）对资助条件进行</w:t>
      </w:r>
      <w:r>
        <w:rPr>
          <w:rFonts w:hint="eastAsia" w:ascii="仿宋_GB2312" w:hAnsi="仿宋_GB2312" w:eastAsia="仿宋_GB2312" w:cs="仿宋_GB2312"/>
          <w:color w:val="auto"/>
          <w:sz w:val="32"/>
          <w:szCs w:val="32"/>
          <w:highlight w:val="none"/>
        </w:rPr>
        <w:t>了规定，核心要点为：企业在龙华区注册纳税并通过国高认定。具体包括：（1）在龙华区依法注册，并办理税务登记的具有独立法人资格的企业；（2）申请单位不存在龙华区财政专项资金相关管理文件规定的不予安排资助的情形；（3）已通过国家高新技术企业认定，且在认定证书有效期内未获得过龙华区国家高新技术企业认定奖励。截至企业申报时，认定证书处于有效期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spacing w:line="560" w:lineRule="exact"/>
        <w:ind w:firstLine="642" w:firstLineChars="20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3.各区情况</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rPr>
        <w:t>2023年4月，市本级已取消国高认定奖励政策，其他区不同政策规定梳理如下。经对比，</w:t>
      </w:r>
      <w:r>
        <w:rPr>
          <w:rFonts w:hint="eastAsia" w:ascii="仿宋_GB2312" w:hAnsi="仿宋_GB2312" w:eastAsia="仿宋_GB2312" w:cs="仿宋_GB2312"/>
          <w:b/>
          <w:bCs w:val="0"/>
          <w:color w:val="auto"/>
          <w:sz w:val="32"/>
          <w:szCs w:val="32"/>
          <w:highlight w:val="none"/>
        </w:rPr>
        <w:t>龙华区的资助条件相对单一，其他区除要求企业取得认定之外，还在</w:t>
      </w:r>
      <w:r>
        <w:rPr>
          <w:rFonts w:hint="eastAsia" w:ascii="仿宋_GB2312" w:hAnsi="仿宋_GB2312" w:eastAsia="仿宋_GB2312" w:cs="仿宋_GB2312"/>
          <w:b/>
          <w:bCs w:val="0"/>
          <w:color w:val="auto"/>
          <w:sz w:val="32"/>
          <w:szCs w:val="32"/>
          <w:highlight w:val="none"/>
          <w:lang w:eastAsia="zh-Hans"/>
        </w:rPr>
        <w:t>申请时间、注册时长</w:t>
      </w:r>
      <w:r>
        <w:rPr>
          <w:rFonts w:hint="eastAsia" w:ascii="仿宋_GB2312" w:hAnsi="仿宋_GB2312" w:eastAsia="仿宋_GB2312" w:cs="仿宋_GB2312"/>
          <w:b/>
          <w:bCs w:val="0"/>
          <w:color w:val="auto"/>
          <w:sz w:val="32"/>
          <w:szCs w:val="32"/>
          <w:highlight w:val="none"/>
        </w:rPr>
        <w:t>、企业营收、</w:t>
      </w:r>
      <w:r>
        <w:rPr>
          <w:rFonts w:hint="eastAsia" w:ascii="仿宋_GB2312" w:hAnsi="仿宋_GB2312" w:eastAsia="仿宋_GB2312" w:cs="仿宋_GB2312"/>
          <w:b/>
          <w:bCs w:val="0"/>
          <w:color w:val="auto"/>
          <w:sz w:val="32"/>
          <w:szCs w:val="32"/>
          <w:highlight w:val="none"/>
          <w:lang w:eastAsia="zh-Hans"/>
        </w:rPr>
        <w:t>企业类型分档奖补等</w:t>
      </w:r>
      <w:r>
        <w:rPr>
          <w:rFonts w:hint="eastAsia" w:ascii="仿宋_GB2312" w:hAnsi="仿宋_GB2312" w:eastAsia="仿宋_GB2312" w:cs="仿宋_GB2312"/>
          <w:b/>
          <w:bCs w:val="0"/>
          <w:color w:val="auto"/>
          <w:sz w:val="32"/>
          <w:szCs w:val="32"/>
          <w:highlight w:val="none"/>
        </w:rPr>
        <w:t>方面设置条件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具体情况详见表</w:t>
      </w:r>
      <w:r>
        <w:rPr>
          <w:rFonts w:ascii="仿宋_GB2312" w:hAnsi="仿宋_GB2312" w:eastAsia="仿宋_GB2312" w:cs="仿宋_GB2312"/>
          <w:color w:val="auto"/>
          <w:sz w:val="32"/>
          <w:szCs w:val="32"/>
          <w:highlight w:val="none"/>
          <w:lang w:eastAsia="zh-Hans"/>
        </w:rPr>
        <w:t>1</w:t>
      </w:r>
      <w:r>
        <w:rPr>
          <w:rFonts w:hint="eastAsia" w:ascii="仿宋_GB2312" w:hAnsi="仿宋_GB2312" w:eastAsia="仿宋_GB2312" w:cs="仿宋_GB2312"/>
          <w:color w:val="auto"/>
          <w:sz w:val="32"/>
          <w:szCs w:val="32"/>
          <w:highlight w:val="none"/>
          <w:lang w:eastAsia="zh-Hans"/>
        </w:rPr>
        <w:t>。</w:t>
      </w:r>
    </w:p>
    <w:p>
      <w:pPr>
        <w:keepNext/>
        <w:spacing w:after="156" w:afterLines="50" w:line="400" w:lineRule="exact"/>
        <w:jc w:val="center"/>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表</w:t>
      </w:r>
      <w:r>
        <w:rPr>
          <w:rFonts w:ascii="仿宋_GB2312" w:eastAsia="仿宋_GB2312"/>
          <w:color w:val="auto"/>
          <w:sz w:val="28"/>
          <w:szCs w:val="28"/>
          <w:highlight w:val="none"/>
          <w:lang w:eastAsia="zh-Hans"/>
        </w:rPr>
        <w:t>1</w:t>
      </w:r>
      <w:r>
        <w:rPr>
          <w:rFonts w:hint="eastAsia" w:ascii="仿宋_GB2312" w:eastAsia="仿宋_GB2312"/>
          <w:color w:val="auto"/>
          <w:sz w:val="28"/>
          <w:szCs w:val="28"/>
          <w:highlight w:val="none"/>
          <w:lang w:eastAsia="zh-Hans"/>
        </w:rPr>
        <w:t xml:space="preserve"> 国高认定奖励门槛条件和标准各区一览表</w:t>
      </w:r>
    </w:p>
    <w:p>
      <w:pPr>
        <w:keepNext/>
        <w:spacing w:after="156" w:afterLines="50" w:line="400" w:lineRule="exact"/>
        <w:jc w:val="center"/>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（截</w:t>
      </w:r>
      <w:r>
        <w:rPr>
          <w:rFonts w:hint="eastAsia" w:ascii="仿宋_GB2312" w:eastAsia="仿宋_GB2312"/>
          <w:color w:val="auto"/>
          <w:sz w:val="28"/>
          <w:szCs w:val="28"/>
          <w:highlight w:val="none"/>
          <w:lang w:eastAsia="zh-CN"/>
        </w:rPr>
        <w:t>至</w:t>
      </w:r>
      <w:r>
        <w:rPr>
          <w:rFonts w:hint="eastAsia" w:ascii="仿宋_GB2312" w:eastAsia="仿宋_GB2312"/>
          <w:color w:val="auto"/>
          <w:sz w:val="28"/>
          <w:szCs w:val="28"/>
          <w:highlight w:val="none"/>
        </w:rPr>
        <w:t>2</w:t>
      </w:r>
      <w:r>
        <w:rPr>
          <w:rFonts w:ascii="仿宋_GB2312" w:eastAsia="仿宋_GB2312"/>
          <w:color w:val="auto"/>
          <w:sz w:val="28"/>
          <w:szCs w:val="28"/>
          <w:highlight w:val="none"/>
        </w:rPr>
        <w:t>023</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4</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eastAsia="zh-Hans"/>
        </w:rPr>
        <w:t>）</w:t>
      </w:r>
    </w:p>
    <w:tbl>
      <w:tblPr>
        <w:tblStyle w:val="18"/>
        <w:tblW w:w="4994" w:type="pct"/>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71"/>
        <w:gridCol w:w="775"/>
        <w:gridCol w:w="762"/>
        <w:gridCol w:w="613"/>
        <w:gridCol w:w="613"/>
        <w:gridCol w:w="610"/>
        <w:gridCol w:w="613"/>
        <w:gridCol w:w="613"/>
        <w:gridCol w:w="613"/>
        <w:gridCol w:w="610"/>
        <w:gridCol w:w="614"/>
        <w:gridCol w:w="609"/>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blHeader/>
        </w:trPr>
        <w:tc>
          <w:tcPr>
            <w:tcW w:w="291"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57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资助条件</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龙华区</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市级</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罗湖区</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龙岗区</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宝安区</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光明区</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坪山区</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福田区</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南山区</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盐田区</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大鹏新区</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1" w:type="pct"/>
            <w:vMerge w:val="restart"/>
            <w:tcBorders>
              <w:tl2br w:val="nil"/>
              <w:tr2bl w:val="nil"/>
            </w:tcBorders>
            <w:shd w:val="clear" w:color="auto" w:fill="auto"/>
            <w:vAlign w:val="center"/>
          </w:tcPr>
          <w:p>
            <w:pPr>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奖补门槛</w:t>
            </w: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bookmarkStart w:id="8" w:name="_Hlk139526417"/>
            <w:r>
              <w:rPr>
                <w:rFonts w:hint="eastAsia" w:ascii="仿宋_GB2312" w:hAnsi="仿宋_GB2312" w:eastAsia="仿宋_GB2312" w:cs="仿宋_GB2312"/>
                <w:bCs w:val="0"/>
                <w:color w:val="auto"/>
                <w:kern w:val="0"/>
                <w:sz w:val="21"/>
                <w:szCs w:val="21"/>
                <w:highlight w:val="none"/>
              </w:rPr>
              <w:t>取得国高认证</w:t>
            </w:r>
            <w:bookmarkEnd w:id="8"/>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1" w:type="pct"/>
            <w:vMerge w:val="continue"/>
            <w:tcBorders>
              <w:tl2br w:val="nil"/>
              <w:tr2bl w:val="nil"/>
            </w:tcBorders>
            <w:shd w:val="clear" w:color="auto" w:fill="auto"/>
            <w:vAlign w:val="center"/>
          </w:tcPr>
          <w:p>
            <w:pPr>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营收增长</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部分</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1" w:type="pct"/>
            <w:vMerge w:val="continue"/>
            <w:tcBorders>
              <w:tl2br w:val="nil"/>
              <w:tr2bl w:val="nil"/>
            </w:tcBorders>
            <w:shd w:val="clear" w:color="auto" w:fill="auto"/>
            <w:vAlign w:val="center"/>
          </w:tcPr>
          <w:p>
            <w:pPr>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奖励年限</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部分</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1" w:type="pct"/>
            <w:vMerge w:val="continue"/>
            <w:tcBorders>
              <w:tl2br w:val="nil"/>
              <w:tr2bl w:val="nil"/>
            </w:tcBorders>
            <w:shd w:val="clear" w:color="auto" w:fill="auto"/>
            <w:vAlign w:val="center"/>
          </w:tcPr>
          <w:p>
            <w:pPr>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注册时长（在奖励区）</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1" w:type="pct"/>
            <w:vMerge w:val="continue"/>
            <w:tcBorders>
              <w:tl2br w:val="nil"/>
              <w:tr2bl w:val="nil"/>
            </w:tcBorders>
            <w:shd w:val="clear" w:color="auto" w:fill="auto"/>
            <w:vAlign w:val="center"/>
          </w:tcPr>
          <w:p>
            <w:pPr>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申请时间</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1" w:type="pct"/>
            <w:vMerge w:val="continue"/>
            <w:tcBorders>
              <w:tl2br w:val="nil"/>
              <w:tr2bl w:val="nil"/>
            </w:tcBorders>
            <w:shd w:val="clear" w:color="auto" w:fill="auto"/>
            <w:vAlign w:val="center"/>
          </w:tcPr>
          <w:p>
            <w:pPr>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企业类型</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分档奖励</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分档奖励</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分档奖励</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1" w:type="pct"/>
            <w:vMerge w:val="continue"/>
            <w:tcBorders>
              <w:tl2br w:val="nil"/>
              <w:tr2bl w:val="nil"/>
            </w:tcBorders>
            <w:shd w:val="clear" w:color="auto" w:fill="auto"/>
            <w:vAlign w:val="center"/>
          </w:tcPr>
          <w:p>
            <w:pPr>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纳入区域统计范围</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设定</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1" w:type="pct"/>
            <w:vMerge w:val="continue"/>
            <w:tcBorders>
              <w:tl2br w:val="nil"/>
              <w:tr2bl w:val="nil"/>
            </w:tcBorders>
            <w:shd w:val="clear" w:color="auto" w:fill="auto"/>
            <w:vAlign w:val="center"/>
          </w:tcPr>
          <w:p>
            <w:pPr>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纳税情况</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分档奖励</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1" w:type="pct"/>
            <w:vMerge w:val="continue"/>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办公场地租金</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分档奖励</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1" w:type="pct"/>
            <w:vMerge w:val="restar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奖补标准</w:t>
            </w: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初次认定</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3</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447" w:type="pct"/>
            <w:vMerge w:val="restar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5万元（已取消）</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ascii="仿宋_GB2312" w:hAnsi="仿宋_GB2312" w:eastAsia="仿宋_GB2312" w:cs="仿宋_GB2312"/>
                <w:bCs w:val="0"/>
                <w:color w:val="auto"/>
                <w:kern w:val="0"/>
                <w:sz w:val="21"/>
                <w:szCs w:val="21"/>
                <w:highlight w:val="none"/>
              </w:rPr>
              <w:t>20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1</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3</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3</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3</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ascii="仿宋_GB2312" w:hAnsi="仿宋_GB2312" w:eastAsia="仿宋_GB2312" w:cs="仿宋_GB2312"/>
                <w:bCs w:val="0"/>
                <w:color w:val="auto"/>
                <w:kern w:val="0"/>
                <w:sz w:val="21"/>
                <w:szCs w:val="21"/>
                <w:highlight w:val="none"/>
              </w:rPr>
              <w:t>20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3</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3</w:t>
            </w:r>
            <w:r>
              <w:rPr>
                <w:rFonts w:ascii="仿宋_GB2312" w:hAnsi="仿宋_GB2312" w:eastAsia="仿宋_GB2312" w:cs="仿宋_GB2312"/>
                <w:bCs w:val="0"/>
                <w:color w:val="auto"/>
                <w:kern w:val="0"/>
                <w:sz w:val="21"/>
                <w:szCs w:val="21"/>
                <w:highlight w:val="none"/>
              </w:rPr>
              <w:t>5</w:t>
            </w:r>
            <w:r>
              <w:rPr>
                <w:rFonts w:hint="eastAsia" w:ascii="仿宋_GB2312" w:hAnsi="仿宋_GB2312" w:eastAsia="仿宋_GB2312" w:cs="仿宋_GB2312"/>
                <w:bCs w:val="0"/>
                <w:color w:val="auto"/>
                <w:kern w:val="0"/>
                <w:sz w:val="21"/>
                <w:szCs w:val="21"/>
                <w:highlight w:val="none"/>
              </w:rPr>
              <w:t>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1" w:type="pct"/>
            <w:vMerge w:val="continue"/>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570" w:type="pct"/>
            <w:tcBorders>
              <w:tl2br w:val="nil"/>
              <w:tr2bl w:val="nil"/>
            </w:tcBorders>
            <w:shd w:val="clear" w:color="auto" w:fill="auto"/>
            <w:vAlign w:val="center"/>
          </w:tcPr>
          <w:p>
            <w:pPr>
              <w:widowControl/>
              <w:spacing w:line="240" w:lineRule="exact"/>
              <w:jc w:val="left"/>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再次认定</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447" w:type="pct"/>
            <w:vMerge w:val="continue"/>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ascii="仿宋_GB2312" w:hAnsi="仿宋_GB2312" w:eastAsia="仿宋_GB2312" w:cs="仿宋_GB2312"/>
                <w:bCs w:val="0"/>
                <w:color w:val="auto"/>
                <w:kern w:val="0"/>
                <w:sz w:val="21"/>
                <w:szCs w:val="21"/>
                <w:highlight w:val="none"/>
              </w:rPr>
              <w:t>20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5万</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1</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1</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3</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1</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1</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ascii="仿宋_GB2312" w:hAnsi="仿宋_GB2312" w:eastAsia="仿宋_GB2312" w:cs="仿宋_GB2312"/>
                <w:bCs w:val="0"/>
                <w:color w:val="auto"/>
                <w:kern w:val="0"/>
                <w:sz w:val="21"/>
                <w:szCs w:val="21"/>
                <w:highlight w:val="none"/>
              </w:rPr>
              <w:t>20</w:t>
            </w:r>
            <w:r>
              <w:rPr>
                <w:rFonts w:hint="eastAsia" w:ascii="仿宋_GB2312" w:hAnsi="仿宋_GB2312" w:eastAsia="仿宋_GB2312" w:cs="仿宋_GB2312"/>
                <w:bCs w:val="0"/>
                <w:color w:val="auto"/>
                <w:kern w:val="0"/>
                <w:sz w:val="21"/>
                <w:szCs w:val="21"/>
                <w:highlight w:val="none"/>
              </w:rPr>
              <w:t>万</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1</w:t>
            </w:r>
            <w:r>
              <w:rPr>
                <w:rFonts w:ascii="仿宋_GB2312" w:hAnsi="仿宋_GB2312" w:eastAsia="仿宋_GB2312" w:cs="仿宋_GB2312"/>
                <w:bCs w:val="0"/>
                <w:color w:val="auto"/>
                <w:kern w:val="0"/>
                <w:sz w:val="21"/>
                <w:szCs w:val="21"/>
                <w:highlight w:val="none"/>
              </w:rPr>
              <w:t>0</w:t>
            </w:r>
            <w:r>
              <w:rPr>
                <w:rFonts w:hint="eastAsia" w:ascii="仿宋_GB2312" w:hAnsi="仿宋_GB2312" w:eastAsia="仿宋_GB2312" w:cs="仿宋_GB2312"/>
                <w:bCs w:val="0"/>
                <w:color w:val="auto"/>
                <w:kern w:val="0"/>
                <w:sz w:val="21"/>
                <w:szCs w:val="21"/>
                <w:highlight w:val="none"/>
              </w:rPr>
              <w:t>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pct"/>
            <w:gridSpan w:val="2"/>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合计数量</w:t>
            </w:r>
          </w:p>
        </w:tc>
        <w:tc>
          <w:tcPr>
            <w:tcW w:w="455"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1</w:t>
            </w:r>
          </w:p>
        </w:tc>
        <w:tc>
          <w:tcPr>
            <w:tcW w:w="44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1</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5</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4</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3</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2</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2</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2</w:t>
            </w:r>
          </w:p>
        </w:tc>
        <w:tc>
          <w:tcPr>
            <w:tcW w:w="358"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2</w:t>
            </w:r>
          </w:p>
        </w:tc>
        <w:tc>
          <w:tcPr>
            <w:tcW w:w="360"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1</w:t>
            </w:r>
          </w:p>
        </w:tc>
        <w:tc>
          <w:tcPr>
            <w:tcW w:w="357" w:type="pct"/>
            <w:tcBorders>
              <w:tl2br w:val="nil"/>
              <w:tr2bl w:val="nil"/>
            </w:tcBorders>
            <w:shd w:val="clear" w:color="auto" w:fill="auto"/>
            <w:vAlign w:val="center"/>
          </w:tcPr>
          <w:p>
            <w:pPr>
              <w:widowControl/>
              <w:spacing w:line="240" w:lineRule="exact"/>
              <w:jc w:val="center"/>
              <w:rPr>
                <w:rFonts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1</w:t>
            </w:r>
          </w:p>
        </w:tc>
      </w:tr>
    </w:tbl>
    <w:p>
      <w:pPr>
        <w:spacing w:line="240" w:lineRule="atLeast"/>
        <w:ind w:firstLine="440" w:firstLineChars="200"/>
        <w:rPr>
          <w:rFonts w:ascii="仿宋_GB2312" w:hAnsi="仿宋_GB2312" w:eastAsia="仿宋_GB2312" w:cs="仿宋_GB2312"/>
          <w:bCs w:val="0"/>
          <w:color w:val="auto"/>
          <w:sz w:val="22"/>
          <w:szCs w:val="22"/>
          <w:highlight w:val="none"/>
          <w:lang w:eastAsia="zh-Hans"/>
        </w:rPr>
      </w:pPr>
      <w:r>
        <w:rPr>
          <w:rFonts w:hint="eastAsia" w:ascii="仿宋_GB2312" w:hAnsi="仿宋_GB2312" w:eastAsia="仿宋_GB2312" w:cs="仿宋_GB2312"/>
          <w:bCs w:val="0"/>
          <w:color w:val="auto"/>
          <w:sz w:val="22"/>
          <w:szCs w:val="22"/>
          <w:highlight w:val="none"/>
          <w:lang w:eastAsia="zh-Hans"/>
        </w:rPr>
        <w:t>（数据来源：各区公开的政策信息）</w:t>
      </w:r>
    </w:p>
    <w:p>
      <w:pPr>
        <w:spacing w:line="560" w:lineRule="exact"/>
        <w:ind w:firstLine="640" w:firstLineChars="200"/>
        <w:outlineLvl w:val="1"/>
        <w:rPr>
          <w:rFonts w:ascii="黑体" w:hAnsi="黑体" w:eastAsia="黑体" w:cs="黑体"/>
          <w:color w:val="auto"/>
          <w:sz w:val="32"/>
          <w:highlight w:val="none"/>
          <w:lang w:eastAsia="zh-Hans"/>
        </w:rPr>
      </w:pPr>
      <w:bookmarkStart w:id="9" w:name="_Toc1784360318"/>
      <w:bookmarkStart w:id="10" w:name="_Toc820004868"/>
      <w:r>
        <w:rPr>
          <w:rFonts w:hint="eastAsia" w:ascii="楷体_GB2312" w:hAnsi="楷体_GB2312" w:eastAsia="楷体_GB2312" w:cs="楷体_GB2312"/>
          <w:color w:val="auto"/>
          <w:sz w:val="32"/>
          <w:highlight w:val="none"/>
          <w:lang w:eastAsia="zh-Hans"/>
        </w:rPr>
        <w:t>（三）政策实施情况</w:t>
      </w:r>
      <w:bookmarkEnd w:id="9"/>
      <w:bookmarkEnd w:id="10"/>
    </w:p>
    <w:p>
      <w:pPr>
        <w:spacing w:line="560" w:lineRule="exact"/>
        <w:ind w:firstLine="642" w:firstLineChars="200"/>
        <w:outlineLvl w:val="2"/>
        <w:rPr>
          <w:rFonts w:ascii="仿宋_GB2312" w:hAnsi="仿宋_GB2312" w:eastAsia="仿宋_GB2312" w:cs="仿宋_GB2312"/>
          <w:b/>
          <w:bCs w:val="0"/>
          <w:color w:val="auto"/>
          <w:sz w:val="32"/>
          <w:szCs w:val="32"/>
          <w:highlight w:val="none"/>
          <w:lang w:eastAsia="zh-Hans"/>
        </w:rPr>
      </w:pPr>
      <w:r>
        <w:rPr>
          <w:rFonts w:ascii="仿宋_GB2312" w:hAnsi="仿宋_GB2312" w:eastAsia="仿宋_GB2312" w:cs="仿宋_GB2312"/>
          <w:b/>
          <w:bCs w:val="0"/>
          <w:color w:val="auto"/>
          <w:sz w:val="32"/>
          <w:szCs w:val="32"/>
          <w:highlight w:val="none"/>
          <w:lang w:eastAsia="zh-Hans"/>
        </w:rPr>
        <w:t>1.</w:t>
      </w:r>
      <w:r>
        <w:rPr>
          <w:rFonts w:hint="eastAsia" w:ascii="仿宋_GB2312" w:hAnsi="仿宋_GB2312" w:eastAsia="仿宋_GB2312" w:cs="仿宋_GB2312"/>
          <w:b/>
          <w:bCs w:val="0"/>
          <w:color w:val="auto"/>
          <w:sz w:val="32"/>
          <w:szCs w:val="32"/>
          <w:highlight w:val="none"/>
          <w:lang w:eastAsia="zh-Hans"/>
        </w:rPr>
        <w:t>资金奖补规模和拨付</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本项目自</w:t>
      </w:r>
      <w:r>
        <w:rPr>
          <w:rFonts w:ascii="仿宋_GB2312" w:hAnsi="仿宋_GB2312" w:eastAsia="仿宋_GB2312" w:cs="仿宋_GB2312"/>
          <w:color w:val="auto"/>
          <w:sz w:val="32"/>
          <w:szCs w:val="32"/>
          <w:highlight w:val="none"/>
          <w:lang w:eastAsia="zh-Hans"/>
        </w:rPr>
        <w:t>2018</w:t>
      </w:r>
      <w:r>
        <w:rPr>
          <w:rFonts w:hint="eastAsia" w:ascii="仿宋_GB2312" w:hAnsi="仿宋_GB2312" w:eastAsia="仿宋_GB2312" w:cs="仿宋_GB2312"/>
          <w:color w:val="auto"/>
          <w:sz w:val="32"/>
          <w:szCs w:val="32"/>
          <w:highlight w:val="none"/>
          <w:lang w:eastAsia="zh-Hans"/>
        </w:rPr>
        <w:t>年起实施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截至</w:t>
      </w:r>
      <w:r>
        <w:rPr>
          <w:rFonts w:ascii="仿宋_GB2312" w:hAnsi="仿宋_GB2312" w:eastAsia="仿宋_GB2312" w:cs="仿宋_GB2312"/>
          <w:color w:val="auto"/>
          <w:sz w:val="32"/>
          <w:szCs w:val="32"/>
          <w:highlight w:val="none"/>
          <w:lang w:eastAsia="zh-Hans"/>
        </w:rPr>
        <w:t>2022</w:t>
      </w:r>
      <w:r>
        <w:rPr>
          <w:rFonts w:hint="eastAsia" w:ascii="仿宋_GB2312" w:hAnsi="仿宋_GB2312" w:eastAsia="仿宋_GB2312" w:cs="仿宋_GB2312"/>
          <w:color w:val="auto"/>
          <w:sz w:val="32"/>
          <w:szCs w:val="32"/>
          <w:highlight w:val="none"/>
          <w:lang w:eastAsia="zh-Hans"/>
        </w:rPr>
        <w:t>年末</w:t>
      </w:r>
      <w:r>
        <w:rPr>
          <w:rFonts w:hint="eastAsia" w:ascii="仿宋_GB2312" w:hAnsi="仿宋_GB2312" w:eastAsia="仿宋_GB2312" w:cs="仿宋_GB2312"/>
          <w:color w:val="auto"/>
          <w:sz w:val="32"/>
          <w:szCs w:val="32"/>
          <w:highlight w:val="none"/>
        </w:rPr>
        <w:t>累计</w:t>
      </w:r>
      <w:r>
        <w:rPr>
          <w:rFonts w:hint="eastAsia" w:ascii="仿宋_GB2312" w:hAnsi="仿宋_GB2312" w:eastAsia="仿宋_GB2312" w:cs="仿宋_GB2312"/>
          <w:color w:val="auto"/>
          <w:sz w:val="32"/>
          <w:szCs w:val="32"/>
          <w:highlight w:val="none"/>
          <w:lang w:eastAsia="zh-Hans"/>
        </w:rPr>
        <w:t>资助企业</w:t>
      </w:r>
      <w:r>
        <w:rPr>
          <w:rFonts w:hint="eastAsia" w:ascii="仿宋_GB2312" w:hAnsi="仿宋_GB2312" w:eastAsia="仿宋_GB2312" w:cs="仿宋_GB2312"/>
          <w:color w:val="auto"/>
          <w:sz w:val="32"/>
          <w:szCs w:val="32"/>
          <w:highlight w:val="none"/>
        </w:rPr>
        <w:t>3</w:t>
      </w:r>
      <w:r>
        <w:rPr>
          <w:rFonts w:ascii="仿宋_GB2312" w:hAnsi="仿宋_GB2312" w:eastAsia="仿宋_GB2312" w:cs="仿宋_GB2312"/>
          <w:color w:val="auto"/>
          <w:sz w:val="32"/>
          <w:szCs w:val="32"/>
          <w:highlight w:val="none"/>
        </w:rPr>
        <w:t>,539</w:t>
      </w:r>
      <w:r>
        <w:rPr>
          <w:rStyle w:val="23"/>
          <w:rFonts w:hint="eastAsia" w:ascii="仿宋_GB2312" w:hAnsi="仿宋_GB2312" w:eastAsia="仿宋_GB2312" w:cs="仿宋_GB2312"/>
          <w:color w:val="auto"/>
          <w:sz w:val="32"/>
          <w:szCs w:val="32"/>
          <w:highlight w:val="none"/>
        </w:rPr>
        <w:footnoteReference w:id="2"/>
      </w:r>
      <w:r>
        <w:rPr>
          <w:rFonts w:hint="eastAsia" w:ascii="仿宋_GB2312" w:hAnsi="仿宋_GB2312" w:eastAsia="仿宋_GB2312" w:cs="仿宋_GB2312"/>
          <w:color w:val="auto"/>
          <w:sz w:val="32"/>
          <w:szCs w:val="32"/>
          <w:highlight w:val="none"/>
          <w:lang w:eastAsia="zh-Hans"/>
        </w:rPr>
        <w:t>宗，</w:t>
      </w:r>
      <w:r>
        <w:rPr>
          <w:rFonts w:ascii="仿宋_GB2312" w:hAnsi="仿宋_GB2312" w:eastAsia="仿宋_GB2312" w:cs="仿宋_GB2312"/>
          <w:color w:val="auto"/>
          <w:sz w:val="32"/>
          <w:szCs w:val="32"/>
          <w:highlight w:val="none"/>
          <w:lang w:eastAsia="zh-Hans"/>
        </w:rPr>
        <w:t>5</w:t>
      </w:r>
      <w:r>
        <w:rPr>
          <w:rFonts w:hint="eastAsia" w:ascii="仿宋_GB2312" w:hAnsi="仿宋_GB2312" w:eastAsia="仿宋_GB2312" w:cs="仿宋_GB2312"/>
          <w:color w:val="auto"/>
          <w:sz w:val="32"/>
          <w:szCs w:val="32"/>
          <w:highlight w:val="none"/>
          <w:lang w:eastAsia="zh-Hans"/>
        </w:rPr>
        <w:t>年总计安排资助资金94,410万元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val="0"/>
          <w:color w:val="auto"/>
          <w:sz w:val="32"/>
          <w:szCs w:val="32"/>
          <w:highlight w:val="none"/>
          <w:lang w:eastAsia="zh-Hans"/>
        </w:rPr>
        <w:t>从每年受理情况看，</w:t>
      </w:r>
      <w:r>
        <w:rPr>
          <w:rFonts w:hint="eastAsia" w:ascii="仿宋_GB2312" w:hAnsi="仿宋_GB2312" w:eastAsia="仿宋_GB2312" w:cs="仿宋_GB2312"/>
          <w:color w:val="auto"/>
          <w:sz w:val="32"/>
          <w:szCs w:val="32"/>
          <w:highlight w:val="none"/>
          <w:lang w:eastAsia="zh-Hans"/>
        </w:rPr>
        <w:t>除</w:t>
      </w:r>
      <w:r>
        <w:rPr>
          <w:rFonts w:ascii="仿宋_GB2312" w:hAnsi="仿宋_GB2312" w:eastAsia="仿宋_GB2312" w:cs="仿宋_GB2312"/>
          <w:color w:val="auto"/>
          <w:sz w:val="32"/>
          <w:szCs w:val="32"/>
          <w:highlight w:val="none"/>
          <w:lang w:eastAsia="zh-Hans"/>
        </w:rPr>
        <w:t>2020</w:t>
      </w:r>
      <w:r>
        <w:rPr>
          <w:rFonts w:hint="eastAsia" w:ascii="仿宋_GB2312" w:hAnsi="仿宋_GB2312" w:eastAsia="仿宋_GB2312" w:cs="仿宋_GB2312"/>
          <w:color w:val="auto"/>
          <w:sz w:val="32"/>
          <w:szCs w:val="32"/>
          <w:highlight w:val="none"/>
          <w:lang w:eastAsia="zh-Hans"/>
        </w:rPr>
        <w:t>年批复额为</w:t>
      </w:r>
      <w:r>
        <w:rPr>
          <w:rFonts w:ascii="仿宋_GB2312" w:hAnsi="仿宋_GB2312" w:eastAsia="仿宋_GB2312" w:cs="仿宋_GB2312"/>
          <w:color w:val="auto"/>
          <w:sz w:val="32"/>
          <w:szCs w:val="32"/>
          <w:highlight w:val="none"/>
          <w:lang w:eastAsia="zh-Hans"/>
        </w:rPr>
        <w:t>2.6</w:t>
      </w:r>
      <w:r>
        <w:rPr>
          <w:rFonts w:hint="eastAsia" w:ascii="仿宋_GB2312" w:hAnsi="仿宋_GB2312" w:eastAsia="仿宋_GB2312" w:cs="仿宋_GB2312"/>
          <w:color w:val="auto"/>
          <w:sz w:val="32"/>
          <w:szCs w:val="32"/>
          <w:highlight w:val="none"/>
          <w:lang w:eastAsia="zh-Hans"/>
        </w:rPr>
        <w:t>亿元外，其他各年批复额约为</w:t>
      </w:r>
      <w:r>
        <w:rPr>
          <w:rFonts w:ascii="仿宋_GB2312" w:hAnsi="仿宋_GB2312" w:eastAsia="仿宋_GB2312" w:cs="仿宋_GB2312"/>
          <w:color w:val="auto"/>
          <w:sz w:val="32"/>
          <w:szCs w:val="32"/>
          <w:highlight w:val="none"/>
          <w:lang w:eastAsia="zh-Hans"/>
        </w:rPr>
        <w:t>2</w:t>
      </w:r>
      <w:r>
        <w:rPr>
          <w:rFonts w:hint="eastAsia" w:ascii="仿宋_GB2312" w:hAnsi="仿宋_GB2312" w:eastAsia="仿宋_GB2312" w:cs="仿宋_GB2312"/>
          <w:color w:val="auto"/>
          <w:sz w:val="32"/>
          <w:szCs w:val="32"/>
          <w:highlight w:val="none"/>
          <w:lang w:eastAsia="zh-Hans"/>
        </w:rPr>
        <w:t>亿元；</w:t>
      </w:r>
      <w:r>
        <w:rPr>
          <w:rFonts w:hint="eastAsia" w:ascii="仿宋_GB2312" w:hAnsi="仿宋_GB2312" w:eastAsia="仿宋_GB2312" w:cs="仿宋_GB2312"/>
          <w:b/>
          <w:bCs w:val="0"/>
          <w:color w:val="auto"/>
          <w:sz w:val="32"/>
          <w:szCs w:val="32"/>
          <w:highlight w:val="none"/>
          <w:lang w:eastAsia="zh-Hans"/>
        </w:rPr>
        <w:t>从拨付情况看，</w:t>
      </w:r>
      <w:r>
        <w:rPr>
          <w:rFonts w:hint="eastAsia" w:ascii="仿宋_GB2312" w:hAnsi="仿宋_GB2312" w:eastAsia="仿宋_GB2312" w:cs="仿宋_GB2312"/>
          <w:color w:val="auto"/>
          <w:sz w:val="32"/>
          <w:szCs w:val="32"/>
          <w:highlight w:val="none"/>
          <w:lang w:eastAsia="zh-Hans"/>
        </w:rPr>
        <w:t>因批复规模较大，均采用“本年批复、次年拨付”的模式，详见表</w:t>
      </w:r>
      <w:r>
        <w:rPr>
          <w:rFonts w:ascii="仿宋_GB2312" w:hAnsi="仿宋_GB2312" w:eastAsia="仿宋_GB2312" w:cs="仿宋_GB2312"/>
          <w:color w:val="auto"/>
          <w:sz w:val="32"/>
          <w:szCs w:val="32"/>
          <w:highlight w:val="none"/>
          <w:lang w:eastAsia="zh-Hans"/>
        </w:rPr>
        <w:t>2</w:t>
      </w:r>
      <w:r>
        <w:rPr>
          <w:rFonts w:hint="eastAsia" w:ascii="仿宋_GB2312" w:hAnsi="仿宋_GB2312" w:eastAsia="仿宋_GB2312" w:cs="仿宋_GB2312"/>
          <w:color w:val="auto"/>
          <w:sz w:val="32"/>
          <w:szCs w:val="32"/>
          <w:highlight w:val="none"/>
          <w:lang w:eastAsia="zh-Hans"/>
        </w:rPr>
        <w:t>与附件</w:t>
      </w:r>
      <w:r>
        <w:rPr>
          <w:rFonts w:ascii="仿宋_GB2312" w:hAnsi="仿宋_GB2312" w:eastAsia="仿宋_GB2312" w:cs="仿宋_GB2312"/>
          <w:color w:val="auto"/>
          <w:sz w:val="32"/>
          <w:szCs w:val="32"/>
          <w:highlight w:val="none"/>
          <w:lang w:eastAsia="zh-Hans"/>
        </w:rPr>
        <w:t>1</w:t>
      </w:r>
      <w:r>
        <w:rPr>
          <w:rFonts w:hint="eastAsia" w:ascii="仿宋_GB2312" w:hAnsi="仿宋_GB2312" w:eastAsia="仿宋_GB2312" w:cs="仿宋_GB2312"/>
          <w:color w:val="auto"/>
          <w:sz w:val="32"/>
          <w:szCs w:val="32"/>
          <w:highlight w:val="none"/>
          <w:lang w:eastAsia="zh-Hans"/>
        </w:rPr>
        <w:t>。</w:t>
      </w:r>
    </w:p>
    <w:p>
      <w:pPr>
        <w:keepNext/>
        <w:spacing w:after="156" w:afterLines="50"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表</w:t>
      </w:r>
      <w:r>
        <w:rPr>
          <w:rFonts w:ascii="仿宋_GB2312" w:eastAsia="仿宋_GB2312"/>
          <w:color w:val="auto"/>
          <w:sz w:val="28"/>
          <w:szCs w:val="28"/>
          <w:highlight w:val="none"/>
        </w:rPr>
        <w:t>2</w:t>
      </w:r>
      <w:r>
        <w:rPr>
          <w:rFonts w:hint="eastAsia" w:ascii="仿宋_GB2312" w:eastAsia="仿宋_GB2312"/>
          <w:color w:val="auto"/>
          <w:sz w:val="28"/>
          <w:szCs w:val="28"/>
          <w:highlight w:val="none"/>
        </w:rPr>
        <w:t xml:space="preserve"> 国高认定奖励情况表</w:t>
      </w:r>
    </w:p>
    <w:tbl>
      <w:tblPr>
        <w:tblStyle w:val="18"/>
        <w:tblW w:w="4998" w:type="pct"/>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660"/>
        <w:gridCol w:w="1601"/>
        <w:gridCol w:w="1668"/>
        <w:gridCol w:w="2172"/>
        <w:gridCol w:w="1418"/>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blHeader/>
        </w:trPr>
        <w:tc>
          <w:tcPr>
            <w:tcW w:w="974"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kern w:val="0"/>
                <w:sz w:val="21"/>
                <w:szCs w:val="21"/>
                <w:highlight w:val="none"/>
                <w:lang w:bidi="ar"/>
              </w:rPr>
              <w:t>审核受理年份</w:t>
            </w:r>
          </w:p>
        </w:tc>
        <w:tc>
          <w:tcPr>
            <w:tcW w:w="939"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kern w:val="0"/>
                <w:sz w:val="21"/>
                <w:szCs w:val="21"/>
                <w:highlight w:val="none"/>
                <w:lang w:bidi="ar"/>
              </w:rPr>
              <w:t>受理宗数</w:t>
            </w:r>
            <w:r>
              <w:rPr>
                <w:rFonts w:ascii="仿宋_GB2312" w:hAnsi="仿宋_GB2312" w:eastAsia="仿宋_GB2312" w:cs="仿宋_GB2312"/>
                <w:b/>
                <w:bCs w:val="0"/>
                <w:color w:val="auto"/>
                <w:kern w:val="0"/>
                <w:sz w:val="21"/>
                <w:szCs w:val="21"/>
                <w:highlight w:val="none"/>
                <w:lang w:bidi="ar"/>
              </w:rPr>
              <w:br w:type="textWrapping"/>
            </w:r>
            <w:r>
              <w:rPr>
                <w:rFonts w:hint="eastAsia" w:ascii="仿宋_GB2312" w:hAnsi="仿宋_GB2312" w:eastAsia="仿宋_GB2312" w:cs="仿宋_GB2312"/>
                <w:b/>
                <w:bCs w:val="0"/>
                <w:color w:val="auto"/>
                <w:sz w:val="21"/>
                <w:szCs w:val="21"/>
                <w:highlight w:val="none"/>
                <w:lang w:bidi="ar"/>
              </w:rPr>
              <w:t>（宗）</w:t>
            </w:r>
          </w:p>
        </w:tc>
        <w:tc>
          <w:tcPr>
            <w:tcW w:w="978"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受理资助金额</w:t>
            </w:r>
          </w:p>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（万元）</w:t>
            </w:r>
          </w:p>
        </w:tc>
        <w:tc>
          <w:tcPr>
            <w:tcW w:w="1274"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kern w:val="0"/>
                <w:sz w:val="21"/>
                <w:szCs w:val="21"/>
                <w:highlight w:val="none"/>
                <w:lang w:bidi="ar"/>
              </w:rPr>
              <w:t>拨款年份</w:t>
            </w:r>
          </w:p>
        </w:tc>
        <w:tc>
          <w:tcPr>
            <w:tcW w:w="832"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kern w:val="0"/>
                <w:sz w:val="21"/>
                <w:szCs w:val="21"/>
                <w:highlight w:val="none"/>
                <w:lang w:bidi="ar"/>
              </w:rPr>
              <w:t>拨款金额</w:t>
            </w:r>
            <w:r>
              <w:rPr>
                <w:rFonts w:hint="eastAsia" w:ascii="仿宋_GB2312" w:hAnsi="仿宋_GB2312" w:eastAsia="仿宋_GB2312" w:cs="仿宋_GB2312"/>
                <w:b/>
                <w:bCs w:val="0"/>
                <w:color w:val="auto"/>
                <w:sz w:val="21"/>
                <w:szCs w:val="21"/>
                <w:highlight w:val="none"/>
              </w:rPr>
              <w:t>（万元）</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974" w:type="pct"/>
            <w:vMerge w:val="restar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2018年</w:t>
            </w:r>
          </w:p>
        </w:tc>
        <w:tc>
          <w:tcPr>
            <w:tcW w:w="939" w:type="pct"/>
            <w:vMerge w:val="restar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8</w:t>
            </w:r>
            <w:r>
              <w:rPr>
                <w:rFonts w:ascii="仿宋_GB2312" w:hAnsi="仿宋_GB2312" w:eastAsia="仿宋_GB2312" w:cs="仿宋_GB2312"/>
                <w:bCs w:val="0"/>
                <w:color w:val="auto"/>
                <w:kern w:val="0"/>
                <w:sz w:val="21"/>
                <w:szCs w:val="21"/>
                <w:highlight w:val="none"/>
              </w:rPr>
              <w:t>62</w:t>
            </w:r>
          </w:p>
        </w:tc>
        <w:tc>
          <w:tcPr>
            <w:tcW w:w="1626" w:type="dxa"/>
            <w:vMerge w:val="restart"/>
            <w:tcBorders>
              <w:tl2br w:val="nil"/>
              <w:tr2bl w:val="nil"/>
            </w:tcBorders>
            <w:shd w:val="clear" w:color="auto" w:fill="auto"/>
            <w:noWrap/>
            <w:vAlign w:val="center"/>
          </w:tcPr>
          <w:p>
            <w:pPr>
              <w:keepNext w:val="0"/>
              <w:keepLines w:val="0"/>
              <w:widowControl/>
              <w:suppressLineNumbers w:val="0"/>
              <w:spacing w:line="240" w:lineRule="exact"/>
              <w:jc w:val="center"/>
              <w:textAlignment w:val="auto"/>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i w:val="0"/>
                <w:iCs w:val="0"/>
                <w:color w:val="auto"/>
                <w:kern w:val="0"/>
                <w:sz w:val="21"/>
                <w:szCs w:val="21"/>
                <w:highlight w:val="none"/>
                <w:u w:val="none"/>
                <w:lang w:val="en-US" w:eastAsia="zh-CN" w:bidi="ar"/>
              </w:rPr>
              <w:t xml:space="preserve">23,730 </w:t>
            </w:r>
          </w:p>
        </w:tc>
        <w:tc>
          <w:tcPr>
            <w:tcW w:w="1274"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2018年</w:t>
            </w:r>
          </w:p>
        </w:tc>
        <w:tc>
          <w:tcPr>
            <w:tcW w:w="832"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11,290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74" w:type="pct"/>
            <w:vMerge w:val="continue"/>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939" w:type="pct"/>
            <w:vMerge w:val="continue"/>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978" w:type="pct"/>
            <w:vMerge w:val="continue"/>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1274" w:type="pct"/>
            <w:vMerge w:val="restar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2019年</w:t>
            </w:r>
          </w:p>
        </w:tc>
        <w:tc>
          <w:tcPr>
            <w:tcW w:w="832" w:type="pct"/>
            <w:vMerge w:val="restar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26,200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74" w:type="pct"/>
            <w:vMerge w:val="restar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2019年</w:t>
            </w:r>
          </w:p>
        </w:tc>
        <w:tc>
          <w:tcPr>
            <w:tcW w:w="939" w:type="pct"/>
            <w:vMerge w:val="restar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781</w:t>
            </w:r>
          </w:p>
        </w:tc>
        <w:tc>
          <w:tcPr>
            <w:tcW w:w="1626" w:type="dxa"/>
            <w:vMerge w:val="restart"/>
            <w:tcBorders>
              <w:tl2br w:val="nil"/>
              <w:tr2bl w:val="nil"/>
            </w:tcBorders>
            <w:shd w:val="clear" w:color="auto" w:fill="auto"/>
            <w:noWrap/>
            <w:vAlign w:val="center"/>
          </w:tcPr>
          <w:p>
            <w:pPr>
              <w:keepNext w:val="0"/>
              <w:keepLines w:val="0"/>
              <w:widowControl/>
              <w:suppressLineNumbers w:val="0"/>
              <w:spacing w:line="240" w:lineRule="exact"/>
              <w:jc w:val="center"/>
              <w:textAlignment w:val="auto"/>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i w:val="0"/>
                <w:iCs w:val="0"/>
                <w:color w:val="auto"/>
                <w:kern w:val="0"/>
                <w:sz w:val="21"/>
                <w:szCs w:val="21"/>
                <w:highlight w:val="none"/>
                <w:u w:val="none"/>
                <w:lang w:val="en-US" w:eastAsia="zh-CN" w:bidi="ar"/>
              </w:rPr>
              <w:t>21,760</w:t>
            </w:r>
          </w:p>
        </w:tc>
        <w:tc>
          <w:tcPr>
            <w:tcW w:w="1274" w:type="pct"/>
            <w:vMerge w:val="continue"/>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832" w:type="pct"/>
            <w:vMerge w:val="continue"/>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74" w:type="pct"/>
            <w:vMerge w:val="continue"/>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939" w:type="pct"/>
            <w:vMerge w:val="continue"/>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978" w:type="pct"/>
            <w:vMerge w:val="continue"/>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p>
        </w:tc>
        <w:tc>
          <w:tcPr>
            <w:tcW w:w="1274"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2020年</w:t>
            </w:r>
          </w:p>
        </w:tc>
        <w:tc>
          <w:tcPr>
            <w:tcW w:w="832"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8,000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974"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2020年</w:t>
            </w:r>
          </w:p>
        </w:tc>
        <w:tc>
          <w:tcPr>
            <w:tcW w:w="939"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1005</w:t>
            </w:r>
          </w:p>
        </w:tc>
        <w:tc>
          <w:tcPr>
            <w:tcW w:w="1626" w:type="dxa"/>
            <w:tcBorders>
              <w:tl2br w:val="nil"/>
              <w:tr2bl w:val="nil"/>
            </w:tcBorders>
            <w:shd w:val="clear" w:color="auto" w:fill="auto"/>
            <w:noWrap/>
            <w:vAlign w:val="center"/>
          </w:tcPr>
          <w:p>
            <w:pPr>
              <w:keepNext w:val="0"/>
              <w:keepLines w:val="0"/>
              <w:widowControl/>
              <w:suppressLineNumbers w:val="0"/>
              <w:spacing w:line="240" w:lineRule="exact"/>
              <w:jc w:val="center"/>
              <w:textAlignment w:val="auto"/>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i w:val="0"/>
                <w:iCs w:val="0"/>
                <w:color w:val="auto"/>
                <w:kern w:val="0"/>
                <w:sz w:val="21"/>
                <w:szCs w:val="21"/>
                <w:highlight w:val="none"/>
                <w:u w:val="none"/>
                <w:lang w:val="en-US" w:eastAsia="zh-CN" w:bidi="ar"/>
              </w:rPr>
              <w:t>26,370</w:t>
            </w:r>
          </w:p>
        </w:tc>
        <w:tc>
          <w:tcPr>
            <w:tcW w:w="1274"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2021年</w:t>
            </w:r>
          </w:p>
        </w:tc>
        <w:tc>
          <w:tcPr>
            <w:tcW w:w="832"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26,370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974"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2021年</w:t>
            </w:r>
          </w:p>
        </w:tc>
        <w:tc>
          <w:tcPr>
            <w:tcW w:w="939"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891</w:t>
            </w:r>
          </w:p>
        </w:tc>
        <w:tc>
          <w:tcPr>
            <w:tcW w:w="1626" w:type="dxa"/>
            <w:tcBorders>
              <w:tl2br w:val="nil"/>
              <w:tr2bl w:val="nil"/>
            </w:tcBorders>
            <w:shd w:val="clear" w:color="auto" w:fill="auto"/>
            <w:noWrap/>
            <w:vAlign w:val="center"/>
          </w:tcPr>
          <w:p>
            <w:pPr>
              <w:keepNext w:val="0"/>
              <w:keepLines w:val="0"/>
              <w:widowControl/>
              <w:suppressLineNumbers w:val="0"/>
              <w:spacing w:line="240" w:lineRule="exact"/>
              <w:jc w:val="center"/>
              <w:textAlignment w:val="auto"/>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i w:val="0"/>
                <w:iCs w:val="0"/>
                <w:color w:val="auto"/>
                <w:kern w:val="0"/>
                <w:sz w:val="21"/>
                <w:szCs w:val="21"/>
                <w:highlight w:val="none"/>
                <w:u w:val="none"/>
                <w:lang w:val="en-US" w:eastAsia="zh-CN" w:bidi="ar"/>
              </w:rPr>
              <w:t>22,550</w:t>
            </w:r>
          </w:p>
        </w:tc>
        <w:tc>
          <w:tcPr>
            <w:tcW w:w="1274"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2022年</w:t>
            </w:r>
          </w:p>
        </w:tc>
        <w:tc>
          <w:tcPr>
            <w:tcW w:w="832" w:type="pct"/>
            <w:tcBorders>
              <w:tl2br w:val="nil"/>
              <w:tr2bl w:val="nil"/>
            </w:tcBorders>
            <w:shd w:val="clear" w:color="auto" w:fill="auto"/>
            <w:noWrap/>
            <w:vAlign w:val="center"/>
          </w:tcPr>
          <w:p>
            <w:pPr>
              <w:widowControl/>
              <w:spacing w:line="240" w:lineRule="exact"/>
              <w:jc w:val="center"/>
              <w:rPr>
                <w:rFonts w:ascii="仿宋_GB2312" w:hAnsi="仿宋_GB2312" w:eastAsia="仿宋_GB2312" w:cs="仿宋_GB2312"/>
                <w:bCs w:val="0"/>
                <w:color w:val="auto"/>
                <w:kern w:val="0"/>
                <w:sz w:val="21"/>
                <w:szCs w:val="21"/>
                <w:highlight w:val="none"/>
              </w:rPr>
            </w:pPr>
            <w:r>
              <w:rPr>
                <w:rFonts w:hint="eastAsia" w:ascii="仿宋_GB2312" w:hAnsi="仿宋_GB2312" w:eastAsia="仿宋_GB2312" w:cs="仿宋_GB2312"/>
                <w:bCs w:val="0"/>
                <w:color w:val="auto"/>
                <w:kern w:val="0"/>
                <w:sz w:val="21"/>
                <w:szCs w:val="21"/>
                <w:highlight w:val="none"/>
              </w:rPr>
              <w:t>22,550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974"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kern w:val="0"/>
                <w:sz w:val="21"/>
                <w:szCs w:val="21"/>
                <w:highlight w:val="none"/>
                <w:lang w:bidi="ar"/>
              </w:rPr>
              <w:t>合计</w:t>
            </w:r>
          </w:p>
        </w:tc>
        <w:tc>
          <w:tcPr>
            <w:tcW w:w="939"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kern w:val="0"/>
                <w:sz w:val="21"/>
                <w:szCs w:val="21"/>
                <w:highlight w:val="none"/>
                <w:lang w:bidi="ar"/>
              </w:rPr>
              <w:t>353</w:t>
            </w:r>
            <w:r>
              <w:rPr>
                <w:rFonts w:ascii="仿宋_GB2312" w:hAnsi="仿宋_GB2312" w:eastAsia="仿宋_GB2312" w:cs="仿宋_GB2312"/>
                <w:b/>
                <w:bCs w:val="0"/>
                <w:color w:val="auto"/>
                <w:kern w:val="0"/>
                <w:sz w:val="21"/>
                <w:szCs w:val="21"/>
                <w:highlight w:val="none"/>
                <w:lang w:bidi="ar"/>
              </w:rPr>
              <w:t>9</w:t>
            </w:r>
          </w:p>
        </w:tc>
        <w:tc>
          <w:tcPr>
            <w:tcW w:w="162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val="0"/>
                <w:color w:val="auto"/>
                <w:sz w:val="21"/>
                <w:szCs w:val="21"/>
                <w:highlight w:val="none"/>
                <w:lang w:val="en-US"/>
              </w:rPr>
            </w:pPr>
            <w:r>
              <w:rPr>
                <w:rFonts w:hint="eastAsia" w:ascii="仿宋_GB2312" w:hAnsi="仿宋_GB2312" w:eastAsia="仿宋_GB2312" w:cs="仿宋_GB2312"/>
                <w:b/>
                <w:bCs w:val="0"/>
                <w:i w:val="0"/>
                <w:iCs w:val="0"/>
                <w:color w:val="auto"/>
                <w:kern w:val="0"/>
                <w:sz w:val="21"/>
                <w:szCs w:val="21"/>
                <w:highlight w:val="none"/>
                <w:u w:val="none"/>
                <w:lang w:val="en-US" w:eastAsia="zh-CN" w:bidi="ar"/>
              </w:rPr>
              <w:t>94,410</w:t>
            </w:r>
          </w:p>
        </w:tc>
        <w:tc>
          <w:tcPr>
            <w:tcW w:w="1274"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kern w:val="0"/>
                <w:sz w:val="21"/>
                <w:szCs w:val="21"/>
                <w:highlight w:val="none"/>
                <w:lang w:bidi="ar"/>
              </w:rPr>
              <w:t>——</w:t>
            </w:r>
          </w:p>
        </w:tc>
        <w:tc>
          <w:tcPr>
            <w:tcW w:w="832" w:type="pct"/>
            <w:tcBorders>
              <w:tl2br w:val="nil"/>
              <w:tr2bl w:val="nil"/>
            </w:tcBorders>
            <w:shd w:val="clear" w:color="auto" w:fill="auto"/>
            <w:noWrap/>
            <w:vAlign w:val="center"/>
          </w:tcPr>
          <w:p>
            <w:pPr>
              <w:widowControl/>
              <w:jc w:val="center"/>
              <w:textAlignment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kern w:val="0"/>
                <w:sz w:val="21"/>
                <w:szCs w:val="21"/>
                <w:highlight w:val="none"/>
                <w:lang w:bidi="ar"/>
              </w:rPr>
              <w:t>94,410</w:t>
            </w:r>
          </w:p>
        </w:tc>
      </w:tr>
    </w:tbl>
    <w:p>
      <w:pPr>
        <w:spacing w:line="240" w:lineRule="atLeast"/>
        <w:ind w:firstLine="440" w:firstLineChars="200"/>
        <w:rPr>
          <w:rFonts w:ascii="仿宋_GB2312" w:hAnsi="仿宋_GB2312" w:eastAsia="仿宋_GB2312" w:cs="仿宋_GB2312"/>
          <w:bCs w:val="0"/>
          <w:color w:val="auto"/>
          <w:sz w:val="22"/>
          <w:szCs w:val="22"/>
          <w:highlight w:val="none"/>
          <w:lang w:eastAsia="zh-Hans"/>
        </w:rPr>
      </w:pPr>
      <w:r>
        <w:rPr>
          <w:rFonts w:hint="eastAsia" w:ascii="仿宋_GB2312" w:hAnsi="仿宋_GB2312" w:eastAsia="仿宋_GB2312" w:cs="仿宋_GB2312"/>
          <w:bCs w:val="0"/>
          <w:color w:val="auto"/>
          <w:sz w:val="22"/>
          <w:szCs w:val="22"/>
          <w:highlight w:val="none"/>
          <w:lang w:eastAsia="zh-Hans"/>
        </w:rPr>
        <w:t>（数据来源：龙华区科创局批复文件统计结果）</w:t>
      </w:r>
      <w:bookmarkStart w:id="51" w:name="_GoBack"/>
      <w:bookmarkEnd w:id="51"/>
    </w:p>
    <w:p>
      <w:pPr>
        <w:spacing w:line="560" w:lineRule="exact"/>
        <w:ind w:firstLine="642" w:firstLineChars="200"/>
        <w:outlineLvl w:val="2"/>
        <w:rPr>
          <w:rFonts w:ascii="仿宋_GB2312" w:hAnsi="仿宋_GB2312" w:eastAsia="仿宋_GB2312" w:cs="仿宋_GB2312"/>
          <w:b/>
          <w:bCs w:val="0"/>
          <w:color w:val="auto"/>
          <w:sz w:val="32"/>
          <w:szCs w:val="32"/>
          <w:highlight w:val="none"/>
          <w:lang w:eastAsia="zh-Hans"/>
        </w:rPr>
      </w:pPr>
      <w:r>
        <w:rPr>
          <w:rFonts w:ascii="仿宋_GB2312" w:hAnsi="仿宋_GB2312" w:eastAsia="仿宋_GB2312" w:cs="仿宋_GB2312"/>
          <w:b/>
          <w:bCs w:val="0"/>
          <w:color w:val="auto"/>
          <w:sz w:val="32"/>
          <w:szCs w:val="32"/>
          <w:highlight w:val="none"/>
          <w:lang w:eastAsia="zh-Hans"/>
        </w:rPr>
        <w:t>2.</w:t>
      </w:r>
      <w:r>
        <w:rPr>
          <w:rFonts w:hint="eastAsia" w:ascii="仿宋_GB2312" w:hAnsi="仿宋_GB2312" w:eastAsia="仿宋_GB2312" w:cs="仿宋_GB2312"/>
          <w:b/>
          <w:bCs w:val="0"/>
          <w:color w:val="auto"/>
          <w:sz w:val="32"/>
          <w:szCs w:val="32"/>
          <w:highlight w:val="none"/>
          <w:lang w:eastAsia="zh-Hans"/>
        </w:rPr>
        <w:t>各年批复情况</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根据企业是否为“首次”在龙华区内认证国高，将每年审核批复企业总数统计如下：</w:t>
      </w: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018</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Hans"/>
        </w:rPr>
        <w:t>龙华区内“首次”认证企业宗数占总批复宗数</w:t>
      </w:r>
      <w:r>
        <w:rPr>
          <w:rFonts w:ascii="仿宋_GB2312" w:hAnsi="仿宋_GB2312" w:eastAsia="仿宋_GB2312" w:cs="仿宋_GB2312"/>
          <w:color w:val="auto"/>
          <w:sz w:val="32"/>
          <w:szCs w:val="32"/>
          <w:highlight w:val="none"/>
          <w:lang w:eastAsia="zh-Hans"/>
        </w:rPr>
        <w:t>66.77%</w:t>
      </w:r>
      <w:r>
        <w:rPr>
          <w:rFonts w:hint="eastAsia" w:ascii="仿宋_GB2312" w:hAnsi="仿宋_GB2312" w:eastAsia="仿宋_GB2312" w:cs="仿宋_GB2312"/>
          <w:color w:val="auto"/>
          <w:sz w:val="32"/>
          <w:szCs w:val="32"/>
          <w:highlight w:val="none"/>
          <w:lang w:eastAsia="zh-Hans"/>
        </w:rPr>
        <w:t>，复认证企业宗数占总批复宗数</w:t>
      </w:r>
      <w:r>
        <w:rPr>
          <w:rFonts w:ascii="仿宋_GB2312" w:hAnsi="仿宋_GB2312" w:eastAsia="仿宋_GB2312" w:cs="仿宋_GB2312"/>
          <w:color w:val="auto"/>
          <w:sz w:val="32"/>
          <w:szCs w:val="32"/>
          <w:highlight w:val="none"/>
          <w:lang w:eastAsia="zh-Hans"/>
        </w:rPr>
        <w:t>33.23%</w:t>
      </w:r>
      <w:r>
        <w:rPr>
          <w:rFonts w:hint="eastAsia" w:ascii="仿宋_GB2312" w:hAnsi="仿宋_GB2312" w:eastAsia="仿宋_GB2312" w:cs="仿宋_GB2312"/>
          <w:color w:val="auto"/>
          <w:sz w:val="32"/>
          <w:szCs w:val="32"/>
          <w:highlight w:val="none"/>
          <w:lang w:eastAsia="zh-Hans"/>
        </w:rPr>
        <w:t>。其中政策实施初期“首次”认证企业占比较高，后续“首次”认证企业占比由</w:t>
      </w:r>
      <w:r>
        <w:rPr>
          <w:rFonts w:hint="eastAsia" w:ascii="仿宋_GB2312" w:hAnsi="仿宋_GB2312" w:eastAsia="仿宋_GB2312" w:cs="仿宋_GB2312"/>
          <w:color w:val="auto"/>
          <w:sz w:val="32"/>
          <w:szCs w:val="32"/>
          <w:highlight w:val="none"/>
        </w:rPr>
        <w:t>2018年的75.29%降到2021年的53.09%</w:t>
      </w:r>
      <w:r>
        <w:rPr>
          <w:rFonts w:hint="eastAsia" w:ascii="仿宋_GB2312" w:hAnsi="仿宋_GB2312" w:eastAsia="仿宋_GB2312" w:cs="仿宋_GB2312"/>
          <w:color w:val="auto"/>
          <w:sz w:val="32"/>
          <w:szCs w:val="32"/>
          <w:highlight w:val="none"/>
          <w:lang w:eastAsia="zh-Hans"/>
        </w:rPr>
        <w:t>，各年情况详见表</w:t>
      </w:r>
      <w:r>
        <w:rPr>
          <w:rFonts w:ascii="仿宋_GB2312" w:hAnsi="仿宋_GB2312" w:eastAsia="仿宋_GB2312" w:cs="仿宋_GB2312"/>
          <w:color w:val="auto"/>
          <w:sz w:val="32"/>
          <w:szCs w:val="32"/>
          <w:highlight w:val="none"/>
          <w:lang w:eastAsia="zh-Hans"/>
        </w:rPr>
        <w:t>3</w:t>
      </w:r>
      <w:r>
        <w:rPr>
          <w:rFonts w:hint="eastAsia" w:ascii="仿宋_GB2312" w:hAnsi="仿宋_GB2312" w:eastAsia="仿宋_GB2312" w:cs="仿宋_GB2312"/>
          <w:color w:val="auto"/>
          <w:sz w:val="32"/>
          <w:szCs w:val="32"/>
          <w:highlight w:val="none"/>
          <w:lang w:eastAsia="zh-Hans"/>
        </w:rPr>
        <w:t>。</w:t>
      </w:r>
    </w:p>
    <w:p>
      <w:pPr>
        <w:keepNext/>
        <w:spacing w:after="156" w:afterLines="50"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表</w:t>
      </w:r>
      <w:r>
        <w:rPr>
          <w:rFonts w:ascii="仿宋_GB2312" w:eastAsia="仿宋_GB2312"/>
          <w:color w:val="auto"/>
          <w:sz w:val="28"/>
          <w:szCs w:val="28"/>
          <w:highlight w:val="none"/>
        </w:rPr>
        <w:t>3</w:t>
      </w:r>
      <w:r>
        <w:rPr>
          <w:rFonts w:hint="eastAsia" w:ascii="仿宋_GB2312" w:eastAsia="仿宋_GB2312"/>
          <w:color w:val="auto"/>
          <w:sz w:val="28"/>
          <w:szCs w:val="28"/>
          <w:highlight w:val="none"/>
        </w:rPr>
        <w:t xml:space="preserve"> 国高认定审核情况表</w:t>
      </w:r>
    </w:p>
    <w:tbl>
      <w:tblPr>
        <w:tblStyle w:val="18"/>
        <w:tblW w:w="4998" w:type="pct"/>
        <w:tblInd w:w="0" w:type="dxa"/>
        <w:tblBorders>
          <w:top w:val="single" w:color="000000" w:sz="18" w:space="0"/>
          <w:left w:val="none" w:color="auto" w:sz="0" w:space="0"/>
          <w:bottom w:val="single" w:color="000000" w:sz="18"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1485"/>
        <w:gridCol w:w="1829"/>
        <w:gridCol w:w="1456"/>
        <w:gridCol w:w="1692"/>
        <w:gridCol w:w="1183"/>
        <w:gridCol w:w="874"/>
      </w:tblGrid>
      <w:tr>
        <w:tblPrEx>
          <w:tblBorders>
            <w:top w:val="single" w:color="000000" w:sz="18" w:space="0"/>
            <w:left w:val="none" w:color="auto" w:sz="0" w:space="0"/>
            <w:bottom w:val="single" w:color="000000" w:sz="18"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36" w:hRule="atLeast"/>
        </w:trPr>
        <w:tc>
          <w:tcPr>
            <w:tcW w:w="892" w:type="pct"/>
            <w:vMerge w:val="restart"/>
            <w:tcBorders>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eastAsia="zh-Hans" w:bidi="ar"/>
              </w:rPr>
            </w:pPr>
            <w:r>
              <w:rPr>
                <w:rFonts w:hint="eastAsia" w:ascii="仿宋_GB2312" w:hAnsi="仿宋_GB2312" w:eastAsia="仿宋_GB2312" w:cs="仿宋_GB2312"/>
                <w:b/>
                <w:bCs w:val="0"/>
                <w:color w:val="auto"/>
                <w:kern w:val="0"/>
                <w:sz w:val="21"/>
                <w:szCs w:val="21"/>
                <w:highlight w:val="none"/>
                <w:lang w:eastAsia="zh-Hans" w:bidi="ar"/>
              </w:rPr>
              <w:t>批复年份</w:t>
            </w:r>
          </w:p>
        </w:tc>
        <w:tc>
          <w:tcPr>
            <w:tcW w:w="1967" w:type="pct"/>
            <w:gridSpan w:val="2"/>
            <w:tcBorders>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龙华区内初次认证企业</w:t>
            </w:r>
          </w:p>
        </w:tc>
        <w:tc>
          <w:tcPr>
            <w:tcW w:w="1606" w:type="pct"/>
            <w:gridSpan w:val="2"/>
            <w:tcBorders>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复认证企业</w:t>
            </w:r>
          </w:p>
        </w:tc>
        <w:tc>
          <w:tcPr>
            <w:tcW w:w="533" w:type="pct"/>
            <w:vMerge w:val="restart"/>
            <w:tcBorders>
              <w:left w:val="dashSmallGap" w:color="000000" w:sz="4" w:space="0"/>
              <w:bottom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eastAsia="zh-Hans" w:bidi="ar"/>
              </w:rPr>
            </w:pPr>
            <w:r>
              <w:rPr>
                <w:rFonts w:hint="eastAsia" w:ascii="仿宋_GB2312" w:hAnsi="仿宋_GB2312" w:eastAsia="仿宋_GB2312" w:cs="仿宋_GB2312"/>
                <w:b/>
                <w:bCs w:val="0"/>
                <w:color w:val="auto"/>
                <w:kern w:val="0"/>
                <w:sz w:val="21"/>
                <w:szCs w:val="21"/>
                <w:highlight w:val="none"/>
                <w:lang w:eastAsia="zh-Hans" w:bidi="ar"/>
              </w:rPr>
              <w:t>合计</w:t>
            </w:r>
          </w:p>
        </w:tc>
      </w:tr>
      <w:tr>
        <w:tblPrEx>
          <w:tblBorders>
            <w:top w:val="single" w:color="000000" w:sz="18" w:space="0"/>
            <w:left w:val="none" w:color="auto" w:sz="0" w:space="0"/>
            <w:bottom w:val="single" w:color="000000" w:sz="18"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36" w:hRule="atLeast"/>
        </w:trPr>
        <w:tc>
          <w:tcPr>
            <w:tcW w:w="892" w:type="pct"/>
            <w:vMerge w:val="continue"/>
            <w:tcBorders>
              <w:top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p>
        </w:tc>
        <w:tc>
          <w:tcPr>
            <w:tcW w:w="1093"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审核宗数（宗）</w:t>
            </w:r>
          </w:p>
        </w:tc>
        <w:tc>
          <w:tcPr>
            <w:tcW w:w="87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占比</w:t>
            </w:r>
          </w:p>
        </w:tc>
        <w:tc>
          <w:tcPr>
            <w:tcW w:w="892"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审核宗数（宗）</w:t>
            </w:r>
          </w:p>
        </w:tc>
        <w:tc>
          <w:tcPr>
            <w:tcW w:w="71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占比</w:t>
            </w:r>
          </w:p>
        </w:tc>
        <w:tc>
          <w:tcPr>
            <w:tcW w:w="533" w:type="pct"/>
            <w:vMerge w:val="continue"/>
            <w:tcBorders>
              <w:top w:val="dashSmallGap" w:color="000000" w:sz="4" w:space="0"/>
              <w:left w:val="dashSmallGap" w:color="000000" w:sz="4" w:space="0"/>
              <w:bottom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p>
        </w:tc>
      </w:tr>
      <w:tr>
        <w:tblPrEx>
          <w:tblBorders>
            <w:top w:val="single" w:color="000000" w:sz="18" w:space="0"/>
            <w:left w:val="none" w:color="auto" w:sz="0" w:space="0"/>
            <w:bottom w:val="single" w:color="000000" w:sz="18"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36" w:hRule="atLeast"/>
        </w:trPr>
        <w:tc>
          <w:tcPr>
            <w:tcW w:w="892" w:type="pct"/>
            <w:tcBorders>
              <w:top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2018年</w:t>
            </w:r>
          </w:p>
        </w:tc>
        <w:tc>
          <w:tcPr>
            <w:tcW w:w="1093"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649</w:t>
            </w:r>
          </w:p>
        </w:tc>
        <w:tc>
          <w:tcPr>
            <w:tcW w:w="87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75.29%</w:t>
            </w:r>
          </w:p>
        </w:tc>
        <w:tc>
          <w:tcPr>
            <w:tcW w:w="892"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213</w:t>
            </w:r>
          </w:p>
        </w:tc>
        <w:tc>
          <w:tcPr>
            <w:tcW w:w="71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24.71%</w:t>
            </w:r>
          </w:p>
        </w:tc>
        <w:tc>
          <w:tcPr>
            <w:tcW w:w="533" w:type="pct"/>
            <w:tcBorders>
              <w:top w:val="dashSmallGap" w:color="000000" w:sz="4" w:space="0"/>
              <w:left w:val="dashSmallGap" w:color="000000" w:sz="4" w:space="0"/>
              <w:bottom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862</w:t>
            </w:r>
          </w:p>
        </w:tc>
      </w:tr>
      <w:tr>
        <w:tblPrEx>
          <w:tblBorders>
            <w:top w:val="single" w:color="000000" w:sz="18" w:space="0"/>
            <w:left w:val="none" w:color="auto" w:sz="0" w:space="0"/>
            <w:bottom w:val="single" w:color="000000" w:sz="18"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36" w:hRule="atLeast"/>
        </w:trPr>
        <w:tc>
          <w:tcPr>
            <w:tcW w:w="892" w:type="pct"/>
            <w:tcBorders>
              <w:top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2019年</w:t>
            </w:r>
          </w:p>
        </w:tc>
        <w:tc>
          <w:tcPr>
            <w:tcW w:w="1093"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614</w:t>
            </w:r>
          </w:p>
        </w:tc>
        <w:tc>
          <w:tcPr>
            <w:tcW w:w="87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78.62%</w:t>
            </w:r>
          </w:p>
        </w:tc>
        <w:tc>
          <w:tcPr>
            <w:tcW w:w="892"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167</w:t>
            </w:r>
          </w:p>
        </w:tc>
        <w:tc>
          <w:tcPr>
            <w:tcW w:w="71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21.38%</w:t>
            </w:r>
          </w:p>
        </w:tc>
        <w:tc>
          <w:tcPr>
            <w:tcW w:w="533" w:type="pct"/>
            <w:tcBorders>
              <w:top w:val="dashSmallGap" w:color="000000" w:sz="4" w:space="0"/>
              <w:left w:val="dashSmallGap" w:color="000000" w:sz="4" w:space="0"/>
              <w:bottom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781</w:t>
            </w:r>
          </w:p>
        </w:tc>
      </w:tr>
      <w:tr>
        <w:tblPrEx>
          <w:tblBorders>
            <w:top w:val="single" w:color="000000" w:sz="18" w:space="0"/>
            <w:left w:val="none" w:color="auto" w:sz="0" w:space="0"/>
            <w:bottom w:val="single" w:color="000000" w:sz="18"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36" w:hRule="atLeast"/>
        </w:trPr>
        <w:tc>
          <w:tcPr>
            <w:tcW w:w="892" w:type="pct"/>
            <w:tcBorders>
              <w:top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2020年</w:t>
            </w:r>
          </w:p>
        </w:tc>
        <w:tc>
          <w:tcPr>
            <w:tcW w:w="1093"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627</w:t>
            </w:r>
          </w:p>
        </w:tc>
        <w:tc>
          <w:tcPr>
            <w:tcW w:w="87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62.39%</w:t>
            </w:r>
          </w:p>
        </w:tc>
        <w:tc>
          <w:tcPr>
            <w:tcW w:w="892"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378</w:t>
            </w:r>
          </w:p>
        </w:tc>
        <w:tc>
          <w:tcPr>
            <w:tcW w:w="71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37.61%</w:t>
            </w:r>
          </w:p>
        </w:tc>
        <w:tc>
          <w:tcPr>
            <w:tcW w:w="533" w:type="pct"/>
            <w:tcBorders>
              <w:top w:val="dashSmallGap" w:color="000000" w:sz="4" w:space="0"/>
              <w:left w:val="dashSmallGap" w:color="000000" w:sz="4" w:space="0"/>
              <w:bottom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1005</w:t>
            </w:r>
          </w:p>
        </w:tc>
      </w:tr>
      <w:tr>
        <w:tblPrEx>
          <w:tblBorders>
            <w:top w:val="single" w:color="000000" w:sz="18" w:space="0"/>
            <w:left w:val="none" w:color="auto" w:sz="0" w:space="0"/>
            <w:bottom w:val="single" w:color="000000" w:sz="18"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36" w:hRule="atLeast"/>
        </w:trPr>
        <w:tc>
          <w:tcPr>
            <w:tcW w:w="892" w:type="pct"/>
            <w:tcBorders>
              <w:top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2021年</w:t>
            </w:r>
          </w:p>
        </w:tc>
        <w:tc>
          <w:tcPr>
            <w:tcW w:w="1093"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473</w:t>
            </w:r>
          </w:p>
        </w:tc>
        <w:tc>
          <w:tcPr>
            <w:tcW w:w="87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53.09%</w:t>
            </w:r>
          </w:p>
        </w:tc>
        <w:tc>
          <w:tcPr>
            <w:tcW w:w="892"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418</w:t>
            </w:r>
          </w:p>
        </w:tc>
        <w:tc>
          <w:tcPr>
            <w:tcW w:w="714" w:type="pct"/>
            <w:tcBorders>
              <w:top w:val="dashSmallGap" w:color="000000" w:sz="4" w:space="0"/>
              <w:left w:val="dashSmallGap" w:color="000000" w:sz="4" w:space="0"/>
              <w:bottom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46.91%</w:t>
            </w:r>
          </w:p>
        </w:tc>
        <w:tc>
          <w:tcPr>
            <w:tcW w:w="533" w:type="pct"/>
            <w:tcBorders>
              <w:top w:val="dashSmallGap" w:color="000000" w:sz="4" w:space="0"/>
              <w:left w:val="dashSmallGap" w:color="000000" w:sz="4" w:space="0"/>
              <w:bottom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891</w:t>
            </w:r>
          </w:p>
        </w:tc>
      </w:tr>
      <w:tr>
        <w:tblPrEx>
          <w:tblBorders>
            <w:top w:val="single" w:color="000000" w:sz="18" w:space="0"/>
            <w:left w:val="none" w:color="auto" w:sz="0" w:space="0"/>
            <w:bottom w:val="single" w:color="000000" w:sz="18"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36" w:hRule="atLeast"/>
        </w:trPr>
        <w:tc>
          <w:tcPr>
            <w:tcW w:w="892" w:type="pct"/>
            <w:tcBorders>
              <w:top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总计</w:t>
            </w:r>
          </w:p>
        </w:tc>
        <w:tc>
          <w:tcPr>
            <w:tcW w:w="1093" w:type="pct"/>
            <w:tcBorders>
              <w:top w:val="dashSmallGap" w:color="000000" w:sz="4" w:space="0"/>
              <w:left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2363</w:t>
            </w:r>
          </w:p>
        </w:tc>
        <w:tc>
          <w:tcPr>
            <w:tcW w:w="874" w:type="pct"/>
            <w:tcBorders>
              <w:top w:val="dashSmallGap" w:color="000000" w:sz="4" w:space="0"/>
              <w:left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66.77%</w:t>
            </w:r>
          </w:p>
        </w:tc>
        <w:tc>
          <w:tcPr>
            <w:tcW w:w="892" w:type="pct"/>
            <w:tcBorders>
              <w:top w:val="dashSmallGap" w:color="000000" w:sz="4" w:space="0"/>
              <w:left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1176</w:t>
            </w:r>
          </w:p>
        </w:tc>
        <w:tc>
          <w:tcPr>
            <w:tcW w:w="714" w:type="pct"/>
            <w:tcBorders>
              <w:top w:val="dashSmallGap" w:color="000000" w:sz="4" w:space="0"/>
              <w:left w:val="dashSmallGap" w:color="000000" w:sz="4" w:space="0"/>
              <w:righ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33.23%</w:t>
            </w:r>
          </w:p>
        </w:tc>
        <w:tc>
          <w:tcPr>
            <w:tcW w:w="533" w:type="pct"/>
            <w:tcBorders>
              <w:top w:val="dashSmallGap" w:color="000000" w:sz="4" w:space="0"/>
              <w:left w:val="dashSmallGap" w:color="000000" w:sz="4" w:space="0"/>
            </w:tcBorders>
            <w:shd w:val="clear" w:color="auto" w:fill="auto"/>
            <w:noWrap/>
            <w:vAlign w:val="center"/>
          </w:tcPr>
          <w:p>
            <w:pPr>
              <w:widowControl/>
              <w:jc w:val="center"/>
              <w:textAlignment w:val="center"/>
              <w:rPr>
                <w:rFonts w:ascii="仿宋_GB2312" w:hAnsi="仿宋_GB2312" w:eastAsia="仿宋_GB2312" w:cs="仿宋_GB2312"/>
                <w:b/>
                <w:bCs w:val="0"/>
                <w:color w:val="auto"/>
                <w:kern w:val="0"/>
                <w:sz w:val="21"/>
                <w:szCs w:val="21"/>
                <w:highlight w:val="none"/>
                <w:lang w:bidi="ar"/>
              </w:rPr>
            </w:pPr>
            <w:r>
              <w:rPr>
                <w:rFonts w:hint="eastAsia" w:ascii="仿宋_GB2312" w:hAnsi="仿宋_GB2312" w:eastAsia="仿宋_GB2312" w:cs="仿宋_GB2312"/>
                <w:b/>
                <w:bCs w:val="0"/>
                <w:color w:val="auto"/>
                <w:kern w:val="0"/>
                <w:sz w:val="21"/>
                <w:szCs w:val="21"/>
                <w:highlight w:val="none"/>
                <w:lang w:bidi="ar"/>
              </w:rPr>
              <w:t>3539</w:t>
            </w:r>
          </w:p>
        </w:tc>
      </w:tr>
    </w:tbl>
    <w:p>
      <w:pPr>
        <w:spacing w:line="240" w:lineRule="atLeast"/>
        <w:ind w:firstLine="440" w:firstLineChars="200"/>
        <w:rPr>
          <w:rFonts w:ascii="仿宋_GB2312" w:hAnsi="仿宋_GB2312" w:eastAsia="仿宋_GB2312" w:cs="仿宋_GB2312"/>
          <w:bCs w:val="0"/>
          <w:color w:val="auto"/>
          <w:sz w:val="22"/>
          <w:szCs w:val="22"/>
          <w:highlight w:val="none"/>
          <w:lang w:eastAsia="zh-Hans"/>
        </w:rPr>
      </w:pPr>
      <w:r>
        <w:rPr>
          <w:rFonts w:hint="eastAsia" w:ascii="仿宋_GB2312" w:hAnsi="仿宋_GB2312" w:eastAsia="仿宋_GB2312" w:cs="仿宋_GB2312"/>
          <w:bCs w:val="0"/>
          <w:color w:val="auto"/>
          <w:sz w:val="22"/>
          <w:szCs w:val="22"/>
          <w:highlight w:val="none"/>
          <w:lang w:eastAsia="zh-Hans"/>
        </w:rPr>
        <w:t>（数据来源：龙华区科创局批复文件统计结果）</w:t>
      </w:r>
    </w:p>
    <w:p>
      <w:pPr>
        <w:tabs>
          <w:tab w:val="left" w:pos="499"/>
        </w:tabs>
        <w:spacing w:line="560" w:lineRule="exact"/>
        <w:ind w:firstLine="640" w:firstLineChars="200"/>
        <w:outlineLvl w:val="0"/>
        <w:rPr>
          <w:rFonts w:ascii="黑体" w:hAnsi="黑体" w:eastAsia="黑体" w:cs="黑体"/>
          <w:color w:val="auto"/>
          <w:sz w:val="32"/>
          <w:highlight w:val="none"/>
          <w:lang w:eastAsia="zh-Hans"/>
        </w:rPr>
      </w:pPr>
      <w:bookmarkStart w:id="11" w:name="_Toc1419253677"/>
      <w:bookmarkStart w:id="12" w:name="_Toc713489542"/>
      <w:r>
        <w:rPr>
          <w:rFonts w:hint="eastAsia" w:ascii="黑体" w:hAnsi="黑体" w:eastAsia="黑体" w:cs="黑体"/>
          <w:color w:val="auto"/>
          <w:sz w:val="32"/>
          <w:highlight w:val="none"/>
          <w:lang w:eastAsia="zh-Hans"/>
        </w:rPr>
        <w:t>二</w:t>
      </w:r>
      <w:r>
        <w:rPr>
          <w:rFonts w:hint="eastAsia" w:ascii="黑体" w:hAnsi="黑体" w:eastAsia="黑体" w:cs="黑体"/>
          <w:color w:val="auto"/>
          <w:sz w:val="32"/>
          <w:highlight w:val="none"/>
        </w:rPr>
        <w:t>、</w:t>
      </w:r>
      <w:r>
        <w:rPr>
          <w:rFonts w:hint="eastAsia" w:ascii="黑体" w:hAnsi="黑体" w:eastAsia="黑体" w:cs="黑体"/>
          <w:color w:val="auto"/>
          <w:sz w:val="32"/>
          <w:highlight w:val="none"/>
          <w:lang w:eastAsia="zh-Hans"/>
        </w:rPr>
        <w:t>评估结果</w:t>
      </w:r>
      <w:bookmarkEnd w:id="11"/>
      <w:bookmarkEnd w:id="12"/>
    </w:p>
    <w:p>
      <w:pPr>
        <w:spacing w:line="579" w:lineRule="exact"/>
        <w:ind w:firstLine="640" w:firstLineChars="200"/>
        <w:rPr>
          <w:rFonts w:ascii="仿宋_GB2312" w:hAnsi="仿宋_GB2312" w:eastAsia="仿宋_GB2312" w:cs="仿宋_GB2312"/>
          <w:bCs w:val="0"/>
          <w:color w:val="auto"/>
          <w:sz w:val="32"/>
          <w:szCs w:val="32"/>
          <w:highlight w:val="none"/>
          <w:lang w:val="zh-CN"/>
        </w:rPr>
      </w:pPr>
      <w:bookmarkStart w:id="13" w:name="_Toc13343"/>
      <w:r>
        <w:rPr>
          <w:rFonts w:hint="eastAsia" w:ascii="仿宋_GB2312" w:hAnsi="仿宋_GB2312" w:eastAsia="仿宋_GB2312" w:cs="仿宋_GB2312"/>
          <w:bCs w:val="0"/>
          <w:color w:val="auto"/>
          <w:sz w:val="32"/>
          <w:szCs w:val="32"/>
          <w:highlight w:val="none"/>
          <w:lang w:val="zh-CN"/>
        </w:rPr>
        <w:t>本次重点绩效评价评分结果为</w:t>
      </w:r>
      <w:r>
        <w:rPr>
          <w:rFonts w:hint="eastAsia" w:ascii="仿宋_GB2312" w:hAnsi="仿宋_GB2312" w:eastAsia="仿宋_GB2312" w:cs="仿宋_GB2312"/>
          <w:bCs w:val="0"/>
          <w:color w:val="auto"/>
          <w:sz w:val="32"/>
          <w:szCs w:val="32"/>
          <w:highlight w:val="none"/>
          <w:lang w:val="en-US" w:eastAsia="zh-CN"/>
        </w:rPr>
        <w:t>75.41</w:t>
      </w:r>
      <w:r>
        <w:rPr>
          <w:rFonts w:hint="eastAsia" w:ascii="仿宋_GB2312" w:hAnsi="仿宋_GB2312" w:eastAsia="仿宋_GB2312" w:cs="仿宋_GB2312"/>
          <w:bCs w:val="0"/>
          <w:color w:val="auto"/>
          <w:sz w:val="32"/>
          <w:szCs w:val="32"/>
          <w:highlight w:val="none"/>
          <w:lang w:val="zh-CN"/>
        </w:rPr>
        <w:t>分，绩效评级为“</w:t>
      </w:r>
      <w:r>
        <w:rPr>
          <w:rFonts w:hint="eastAsia" w:ascii="仿宋_GB2312" w:hAnsi="仿宋_GB2312" w:eastAsia="仿宋_GB2312" w:cs="仿宋_GB2312"/>
          <w:bCs w:val="0"/>
          <w:color w:val="auto"/>
          <w:sz w:val="32"/>
          <w:szCs w:val="32"/>
          <w:highlight w:val="none"/>
        </w:rPr>
        <w:t>中</w:t>
      </w:r>
      <w:r>
        <w:rPr>
          <w:rFonts w:hint="eastAsia" w:ascii="仿宋_GB2312" w:hAnsi="仿宋_GB2312" w:eastAsia="仿宋_GB2312" w:cs="仿宋_GB2312"/>
          <w:bCs w:val="0"/>
          <w:color w:val="auto"/>
          <w:sz w:val="32"/>
          <w:szCs w:val="32"/>
          <w:highlight w:val="none"/>
          <w:vertAlign w:val="superscript"/>
          <w:lang w:val="zh-CN"/>
        </w:rPr>
        <w:footnoteReference w:id="3"/>
      </w:r>
      <w:r>
        <w:rPr>
          <w:rFonts w:hint="eastAsia" w:ascii="仿宋_GB2312" w:hAnsi="仿宋_GB2312" w:eastAsia="仿宋_GB2312" w:cs="仿宋_GB2312"/>
          <w:bCs w:val="0"/>
          <w:color w:val="auto"/>
          <w:sz w:val="32"/>
          <w:szCs w:val="32"/>
          <w:highlight w:val="none"/>
          <w:lang w:val="zh-CN"/>
        </w:rPr>
        <w:t>”，其中“</w:t>
      </w:r>
      <w:r>
        <w:rPr>
          <w:rFonts w:hint="eastAsia" w:ascii="仿宋_GB2312" w:hAnsi="仿宋_GB2312" w:eastAsia="仿宋_GB2312" w:cs="仿宋_GB2312"/>
          <w:bCs w:val="0"/>
          <w:color w:val="auto"/>
          <w:sz w:val="32"/>
          <w:szCs w:val="32"/>
          <w:highlight w:val="none"/>
        </w:rPr>
        <w:t>项目政策</w:t>
      </w:r>
      <w:r>
        <w:rPr>
          <w:rFonts w:hint="eastAsia" w:ascii="仿宋_GB2312" w:hAnsi="仿宋_GB2312" w:eastAsia="仿宋_GB2312" w:cs="仿宋_GB2312"/>
          <w:bCs w:val="0"/>
          <w:color w:val="auto"/>
          <w:sz w:val="32"/>
          <w:szCs w:val="32"/>
          <w:highlight w:val="none"/>
          <w:lang w:val="zh-CN"/>
        </w:rPr>
        <w:t>”指标</w:t>
      </w:r>
      <w:r>
        <w:rPr>
          <w:rFonts w:hint="eastAsia" w:ascii="仿宋_GB2312" w:hAnsi="仿宋_GB2312" w:eastAsia="仿宋_GB2312" w:cs="仿宋_GB2312"/>
          <w:bCs w:val="0"/>
          <w:color w:val="auto"/>
          <w:sz w:val="32"/>
          <w:szCs w:val="32"/>
          <w:highlight w:val="none"/>
        </w:rPr>
        <w:t>25</w:t>
      </w:r>
      <w:r>
        <w:rPr>
          <w:rFonts w:hint="eastAsia" w:ascii="仿宋_GB2312" w:hAnsi="仿宋_GB2312" w:eastAsia="仿宋_GB2312" w:cs="仿宋_GB2312"/>
          <w:bCs w:val="0"/>
          <w:color w:val="auto"/>
          <w:sz w:val="32"/>
          <w:szCs w:val="32"/>
          <w:highlight w:val="none"/>
          <w:lang w:val="zh-CN"/>
        </w:rPr>
        <w:t>分，得分</w:t>
      </w:r>
      <w:r>
        <w:rPr>
          <w:rFonts w:hint="eastAsia" w:ascii="仿宋_GB2312" w:hAnsi="仿宋_GB2312" w:eastAsia="仿宋_GB2312" w:cs="仿宋_GB2312"/>
          <w:bCs w:val="0"/>
          <w:color w:val="auto"/>
          <w:sz w:val="32"/>
          <w:szCs w:val="32"/>
          <w:highlight w:val="none"/>
        </w:rPr>
        <w:t>18</w:t>
      </w:r>
      <w:r>
        <w:rPr>
          <w:rFonts w:hint="eastAsia" w:ascii="仿宋_GB2312" w:hAnsi="仿宋_GB2312" w:eastAsia="仿宋_GB2312" w:cs="仿宋_GB2312"/>
          <w:bCs w:val="0"/>
          <w:color w:val="auto"/>
          <w:sz w:val="32"/>
          <w:szCs w:val="32"/>
          <w:highlight w:val="none"/>
          <w:lang w:val="zh-CN"/>
        </w:rPr>
        <w:t>分，</w:t>
      </w:r>
      <w:r>
        <w:rPr>
          <w:rFonts w:hint="eastAsia" w:ascii="仿宋_GB2312" w:hAnsi="仿宋_GB2312" w:eastAsia="仿宋_GB2312" w:cs="仿宋_GB2312"/>
          <w:bCs w:val="0"/>
          <w:color w:val="auto"/>
          <w:sz w:val="32"/>
          <w:szCs w:val="32"/>
          <w:highlight w:val="none"/>
        </w:rPr>
        <w:t>得分率72.00</w:t>
      </w:r>
      <w:r>
        <w:rPr>
          <w:rFonts w:ascii="仿宋_GB2312" w:hAnsi="仿宋_GB2312" w:eastAsia="仿宋_GB2312" w:cs="仿宋_GB2312"/>
          <w:bCs w:val="0"/>
          <w:color w:val="auto"/>
          <w:sz w:val="32"/>
          <w:szCs w:val="32"/>
          <w:highlight w:val="none"/>
        </w:rPr>
        <w:t>%</w:t>
      </w:r>
      <w:r>
        <w:rPr>
          <w:rFonts w:hint="eastAsia" w:ascii="仿宋_GB2312" w:hAnsi="仿宋_GB2312" w:eastAsia="仿宋_GB2312" w:cs="仿宋_GB2312"/>
          <w:bCs w:val="0"/>
          <w:color w:val="auto"/>
          <w:sz w:val="32"/>
          <w:szCs w:val="32"/>
          <w:highlight w:val="none"/>
          <w:lang w:val="zh-CN"/>
        </w:rPr>
        <w:t>;“</w:t>
      </w:r>
      <w:r>
        <w:rPr>
          <w:rFonts w:hint="eastAsia" w:ascii="仿宋_GB2312" w:hAnsi="仿宋_GB2312" w:eastAsia="仿宋_GB2312" w:cs="仿宋_GB2312"/>
          <w:bCs w:val="0"/>
          <w:color w:val="auto"/>
          <w:sz w:val="32"/>
          <w:szCs w:val="32"/>
          <w:highlight w:val="none"/>
        </w:rPr>
        <w:t>项目过程管理</w:t>
      </w:r>
      <w:r>
        <w:rPr>
          <w:rFonts w:hint="eastAsia" w:ascii="仿宋_GB2312" w:hAnsi="仿宋_GB2312" w:eastAsia="仿宋_GB2312" w:cs="仿宋_GB2312"/>
          <w:bCs w:val="0"/>
          <w:color w:val="auto"/>
          <w:sz w:val="32"/>
          <w:szCs w:val="32"/>
          <w:highlight w:val="none"/>
          <w:lang w:val="zh-CN"/>
        </w:rPr>
        <w:t>”指标</w:t>
      </w:r>
      <w:r>
        <w:rPr>
          <w:rFonts w:hint="eastAsia" w:ascii="仿宋_GB2312" w:hAnsi="仿宋_GB2312" w:eastAsia="仿宋_GB2312" w:cs="仿宋_GB2312"/>
          <w:bCs w:val="0"/>
          <w:color w:val="auto"/>
          <w:sz w:val="32"/>
          <w:szCs w:val="32"/>
          <w:highlight w:val="none"/>
        </w:rPr>
        <w:t>35</w:t>
      </w:r>
      <w:r>
        <w:rPr>
          <w:rFonts w:hint="eastAsia" w:ascii="仿宋_GB2312" w:hAnsi="仿宋_GB2312" w:eastAsia="仿宋_GB2312" w:cs="仿宋_GB2312"/>
          <w:bCs w:val="0"/>
          <w:color w:val="auto"/>
          <w:sz w:val="32"/>
          <w:szCs w:val="32"/>
          <w:highlight w:val="none"/>
          <w:lang w:val="zh-CN"/>
        </w:rPr>
        <w:t>分，得分</w:t>
      </w:r>
      <w:r>
        <w:rPr>
          <w:rFonts w:hint="eastAsia" w:ascii="仿宋_GB2312" w:hAnsi="仿宋_GB2312" w:eastAsia="仿宋_GB2312" w:cs="仿宋_GB2312"/>
          <w:bCs w:val="0"/>
          <w:color w:val="auto"/>
          <w:sz w:val="32"/>
          <w:szCs w:val="32"/>
          <w:highlight w:val="none"/>
          <w:lang w:val="en-US" w:eastAsia="zh-CN"/>
        </w:rPr>
        <w:t>21.1</w:t>
      </w:r>
      <w:r>
        <w:rPr>
          <w:rFonts w:hint="eastAsia" w:ascii="仿宋_GB2312" w:hAnsi="仿宋_GB2312" w:eastAsia="仿宋_GB2312" w:cs="仿宋_GB2312"/>
          <w:bCs w:val="0"/>
          <w:color w:val="auto"/>
          <w:sz w:val="32"/>
          <w:szCs w:val="32"/>
          <w:highlight w:val="none"/>
          <w:lang w:val="zh-CN"/>
        </w:rPr>
        <w:t>分，</w:t>
      </w:r>
      <w:r>
        <w:rPr>
          <w:rFonts w:hint="eastAsia" w:ascii="仿宋_GB2312" w:hAnsi="仿宋_GB2312" w:eastAsia="仿宋_GB2312" w:cs="仿宋_GB2312"/>
          <w:bCs w:val="0"/>
          <w:color w:val="auto"/>
          <w:sz w:val="32"/>
          <w:szCs w:val="32"/>
          <w:highlight w:val="none"/>
        </w:rPr>
        <w:t>得分率</w:t>
      </w:r>
      <w:r>
        <w:rPr>
          <w:rFonts w:hint="eastAsia" w:ascii="仿宋_GB2312" w:hAnsi="仿宋_GB2312" w:eastAsia="仿宋_GB2312" w:cs="仿宋_GB2312"/>
          <w:bCs w:val="0"/>
          <w:color w:val="auto"/>
          <w:sz w:val="32"/>
          <w:szCs w:val="32"/>
          <w:highlight w:val="none"/>
          <w:lang w:val="en-US" w:eastAsia="zh-CN"/>
        </w:rPr>
        <w:t>60</w:t>
      </w:r>
      <w:r>
        <w:rPr>
          <w:rFonts w:hint="eastAsia" w:ascii="仿宋_GB2312" w:hAnsi="仿宋_GB2312" w:eastAsia="仿宋_GB2312" w:cs="仿宋_GB2312"/>
          <w:bCs w:val="0"/>
          <w:color w:val="auto"/>
          <w:sz w:val="32"/>
          <w:szCs w:val="32"/>
          <w:highlight w:val="none"/>
        </w:rPr>
        <w:t>.29%</w:t>
      </w:r>
      <w:r>
        <w:rPr>
          <w:rFonts w:hint="eastAsia" w:ascii="仿宋_GB2312" w:hAnsi="仿宋_GB2312" w:eastAsia="仿宋_GB2312" w:cs="仿宋_GB2312"/>
          <w:bCs w:val="0"/>
          <w:color w:val="auto"/>
          <w:sz w:val="32"/>
          <w:szCs w:val="32"/>
          <w:highlight w:val="none"/>
          <w:lang w:val="zh-CN"/>
        </w:rPr>
        <w:t>；“</w:t>
      </w:r>
      <w:r>
        <w:rPr>
          <w:rFonts w:hint="eastAsia" w:ascii="仿宋_GB2312" w:hAnsi="仿宋_GB2312" w:eastAsia="仿宋_GB2312" w:cs="仿宋_GB2312"/>
          <w:bCs w:val="0"/>
          <w:color w:val="auto"/>
          <w:sz w:val="32"/>
          <w:szCs w:val="32"/>
          <w:highlight w:val="none"/>
        </w:rPr>
        <w:t>项目产出</w:t>
      </w:r>
      <w:r>
        <w:rPr>
          <w:rFonts w:hint="eastAsia" w:ascii="仿宋_GB2312" w:hAnsi="仿宋_GB2312" w:eastAsia="仿宋_GB2312" w:cs="仿宋_GB2312"/>
          <w:bCs w:val="0"/>
          <w:color w:val="auto"/>
          <w:sz w:val="32"/>
          <w:szCs w:val="32"/>
          <w:highlight w:val="none"/>
          <w:lang w:val="zh-CN"/>
        </w:rPr>
        <w:t>”指标</w:t>
      </w:r>
      <w:r>
        <w:rPr>
          <w:rFonts w:hint="eastAsia" w:ascii="仿宋_GB2312" w:hAnsi="仿宋_GB2312" w:eastAsia="仿宋_GB2312" w:cs="仿宋_GB2312"/>
          <w:bCs w:val="0"/>
          <w:color w:val="auto"/>
          <w:sz w:val="32"/>
          <w:szCs w:val="32"/>
          <w:highlight w:val="none"/>
        </w:rPr>
        <w:t>10</w:t>
      </w:r>
      <w:r>
        <w:rPr>
          <w:rFonts w:hint="eastAsia" w:ascii="仿宋_GB2312" w:hAnsi="仿宋_GB2312" w:eastAsia="仿宋_GB2312" w:cs="仿宋_GB2312"/>
          <w:bCs w:val="0"/>
          <w:color w:val="auto"/>
          <w:sz w:val="32"/>
          <w:szCs w:val="32"/>
          <w:highlight w:val="none"/>
          <w:lang w:val="zh-CN"/>
        </w:rPr>
        <w:t>分，得分</w:t>
      </w:r>
      <w:r>
        <w:rPr>
          <w:rFonts w:hint="eastAsia" w:ascii="仿宋_GB2312" w:hAnsi="仿宋_GB2312" w:eastAsia="仿宋_GB2312" w:cs="仿宋_GB2312"/>
          <w:bCs w:val="0"/>
          <w:color w:val="auto"/>
          <w:sz w:val="32"/>
          <w:szCs w:val="32"/>
          <w:highlight w:val="none"/>
        </w:rPr>
        <w:t>9</w:t>
      </w:r>
      <w:r>
        <w:rPr>
          <w:rFonts w:hint="eastAsia" w:ascii="仿宋_GB2312" w:hAnsi="仿宋_GB2312" w:eastAsia="仿宋_GB2312" w:cs="仿宋_GB2312"/>
          <w:bCs w:val="0"/>
          <w:color w:val="auto"/>
          <w:sz w:val="32"/>
          <w:szCs w:val="32"/>
          <w:highlight w:val="none"/>
          <w:lang w:val="zh-CN"/>
        </w:rPr>
        <w:t>分，</w:t>
      </w:r>
      <w:r>
        <w:rPr>
          <w:rFonts w:hint="eastAsia" w:ascii="仿宋_GB2312" w:hAnsi="仿宋_GB2312" w:eastAsia="仿宋_GB2312" w:cs="仿宋_GB2312"/>
          <w:bCs w:val="0"/>
          <w:color w:val="auto"/>
          <w:sz w:val="32"/>
          <w:szCs w:val="32"/>
          <w:highlight w:val="none"/>
        </w:rPr>
        <w:t>得分率90.00%</w:t>
      </w:r>
      <w:r>
        <w:rPr>
          <w:rFonts w:hint="eastAsia" w:ascii="仿宋_GB2312" w:hAnsi="仿宋_GB2312" w:eastAsia="仿宋_GB2312" w:cs="仿宋_GB2312"/>
          <w:bCs w:val="0"/>
          <w:color w:val="auto"/>
          <w:sz w:val="32"/>
          <w:szCs w:val="32"/>
          <w:highlight w:val="none"/>
          <w:lang w:val="zh-CN"/>
        </w:rPr>
        <w:t>；“</w:t>
      </w:r>
      <w:r>
        <w:rPr>
          <w:rFonts w:hint="eastAsia" w:ascii="仿宋_GB2312" w:hAnsi="仿宋_GB2312" w:eastAsia="仿宋_GB2312" w:cs="仿宋_GB2312"/>
          <w:bCs w:val="0"/>
          <w:color w:val="auto"/>
          <w:sz w:val="32"/>
          <w:szCs w:val="32"/>
          <w:highlight w:val="none"/>
        </w:rPr>
        <w:t>项目效益</w:t>
      </w:r>
      <w:r>
        <w:rPr>
          <w:rFonts w:hint="eastAsia" w:ascii="仿宋_GB2312" w:hAnsi="仿宋_GB2312" w:eastAsia="仿宋_GB2312" w:cs="仿宋_GB2312"/>
          <w:bCs w:val="0"/>
          <w:color w:val="auto"/>
          <w:sz w:val="32"/>
          <w:szCs w:val="32"/>
          <w:highlight w:val="none"/>
          <w:lang w:val="zh-CN"/>
        </w:rPr>
        <w:t>”指标</w:t>
      </w:r>
      <w:r>
        <w:rPr>
          <w:rFonts w:hint="eastAsia" w:ascii="仿宋_GB2312" w:hAnsi="仿宋_GB2312" w:eastAsia="仿宋_GB2312" w:cs="仿宋_GB2312"/>
          <w:bCs w:val="0"/>
          <w:color w:val="auto"/>
          <w:sz w:val="32"/>
          <w:szCs w:val="32"/>
          <w:highlight w:val="none"/>
        </w:rPr>
        <w:t>30</w:t>
      </w:r>
      <w:r>
        <w:rPr>
          <w:rFonts w:hint="eastAsia" w:ascii="仿宋_GB2312" w:hAnsi="仿宋_GB2312" w:eastAsia="仿宋_GB2312" w:cs="仿宋_GB2312"/>
          <w:bCs w:val="0"/>
          <w:color w:val="auto"/>
          <w:sz w:val="32"/>
          <w:szCs w:val="32"/>
          <w:highlight w:val="none"/>
          <w:lang w:val="zh-CN"/>
        </w:rPr>
        <w:t>分，得分</w:t>
      </w:r>
      <w:r>
        <w:rPr>
          <w:rFonts w:hint="eastAsia" w:ascii="仿宋_GB2312" w:hAnsi="仿宋_GB2312" w:eastAsia="仿宋_GB2312" w:cs="仿宋_GB2312"/>
          <w:bCs w:val="0"/>
          <w:color w:val="auto"/>
          <w:sz w:val="32"/>
          <w:szCs w:val="32"/>
          <w:highlight w:val="none"/>
        </w:rPr>
        <w:t>27.31</w:t>
      </w:r>
      <w:r>
        <w:rPr>
          <w:rFonts w:hint="eastAsia" w:ascii="仿宋_GB2312" w:hAnsi="仿宋_GB2312" w:eastAsia="仿宋_GB2312" w:cs="仿宋_GB2312"/>
          <w:bCs w:val="0"/>
          <w:color w:val="auto"/>
          <w:sz w:val="32"/>
          <w:szCs w:val="32"/>
          <w:highlight w:val="none"/>
          <w:lang w:val="zh-CN"/>
        </w:rPr>
        <w:t>分，</w:t>
      </w:r>
      <w:r>
        <w:rPr>
          <w:rFonts w:hint="eastAsia" w:ascii="仿宋_GB2312" w:hAnsi="仿宋_GB2312" w:eastAsia="仿宋_GB2312" w:cs="仿宋_GB2312"/>
          <w:bCs w:val="0"/>
          <w:color w:val="auto"/>
          <w:sz w:val="32"/>
          <w:szCs w:val="32"/>
          <w:highlight w:val="none"/>
        </w:rPr>
        <w:t>得分率91.0</w:t>
      </w:r>
      <w:r>
        <w:rPr>
          <w:rFonts w:hint="eastAsia" w:ascii="仿宋_GB2312" w:hAnsi="仿宋_GB2312" w:eastAsia="仿宋_GB2312" w:cs="仿宋_GB2312"/>
          <w:bCs w:val="0"/>
          <w:color w:val="auto"/>
          <w:sz w:val="32"/>
          <w:szCs w:val="32"/>
          <w:highlight w:val="none"/>
          <w:lang w:val="en-US" w:eastAsia="zh-CN"/>
        </w:rPr>
        <w:t>3</w:t>
      </w:r>
      <w:r>
        <w:rPr>
          <w:rFonts w:ascii="仿宋_GB2312" w:hAnsi="仿宋_GB2312" w:eastAsia="仿宋_GB2312" w:cs="仿宋_GB2312"/>
          <w:bCs w:val="0"/>
          <w:color w:val="auto"/>
          <w:sz w:val="32"/>
          <w:szCs w:val="32"/>
          <w:highlight w:val="none"/>
        </w:rPr>
        <w:t>%</w:t>
      </w:r>
      <w:r>
        <w:rPr>
          <w:rFonts w:hint="eastAsia" w:ascii="仿宋_GB2312" w:hAnsi="仿宋_GB2312" w:eastAsia="仿宋_GB2312" w:cs="仿宋_GB2312"/>
          <w:bCs w:val="0"/>
          <w:color w:val="auto"/>
          <w:sz w:val="32"/>
          <w:szCs w:val="32"/>
          <w:highlight w:val="none"/>
          <w:lang w:val="zh-CN"/>
        </w:rPr>
        <w:t>；详见表</w:t>
      </w:r>
      <w:r>
        <w:rPr>
          <w:rFonts w:ascii="仿宋_GB2312" w:hAnsi="仿宋_GB2312" w:eastAsia="仿宋_GB2312" w:cs="仿宋_GB2312"/>
          <w:bCs w:val="0"/>
          <w:color w:val="auto"/>
          <w:sz w:val="32"/>
          <w:szCs w:val="32"/>
          <w:highlight w:val="none"/>
        </w:rPr>
        <w:t>4</w:t>
      </w:r>
      <w:r>
        <w:rPr>
          <w:rFonts w:hint="eastAsia" w:ascii="仿宋_GB2312" w:hAnsi="仿宋_GB2312" w:eastAsia="仿宋_GB2312" w:cs="仿宋_GB2312"/>
          <w:bCs w:val="0"/>
          <w:color w:val="auto"/>
          <w:sz w:val="32"/>
          <w:szCs w:val="32"/>
          <w:highlight w:val="none"/>
          <w:lang w:val="zh-CN"/>
        </w:rPr>
        <w:t>。</w:t>
      </w:r>
      <w:bookmarkEnd w:id="13"/>
    </w:p>
    <w:p>
      <w:pPr>
        <w:keepNext/>
        <w:spacing w:after="156" w:afterLines="50" w:line="400" w:lineRule="exact"/>
        <w:jc w:val="center"/>
        <w:rPr>
          <w:rFonts w:ascii="仿宋_GB2312" w:eastAsia="仿宋_GB2312"/>
          <w:color w:val="auto"/>
          <w:sz w:val="28"/>
          <w:szCs w:val="28"/>
          <w:highlight w:val="none"/>
        </w:rPr>
      </w:pPr>
      <w:bookmarkStart w:id="14" w:name="_Toc17396"/>
      <w:r>
        <w:rPr>
          <w:rFonts w:hint="eastAsia" w:ascii="仿宋_GB2312" w:eastAsia="仿宋_GB2312"/>
          <w:color w:val="auto"/>
          <w:sz w:val="28"/>
          <w:szCs w:val="28"/>
          <w:highlight w:val="none"/>
        </w:rPr>
        <w:t>表</w:t>
      </w:r>
      <w:r>
        <w:rPr>
          <w:rFonts w:ascii="仿宋_GB2312" w:eastAsia="仿宋_GB2312"/>
          <w:color w:val="auto"/>
          <w:sz w:val="28"/>
          <w:szCs w:val="28"/>
          <w:highlight w:val="none"/>
        </w:rPr>
        <w:t>4</w:t>
      </w:r>
      <w:r>
        <w:rPr>
          <w:rFonts w:hint="eastAsia" w:ascii="仿宋_GB2312" w:eastAsia="仿宋_GB2312"/>
          <w:color w:val="auto"/>
          <w:sz w:val="28"/>
          <w:szCs w:val="28"/>
          <w:highlight w:val="none"/>
        </w:rPr>
        <w:t xml:space="preserve"> 企业研发投入激励项目绩效评价评分表</w:t>
      </w:r>
      <w:bookmarkEnd w:id="14"/>
    </w:p>
    <w:tbl>
      <w:tblPr>
        <w:tblStyle w:val="18"/>
        <w:tblW w:w="4998" w:type="pct"/>
        <w:tblInd w:w="0" w:type="dxa"/>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931"/>
        <w:gridCol w:w="1203"/>
        <w:gridCol w:w="2304"/>
        <w:gridCol w:w="835"/>
        <w:gridCol w:w="973"/>
        <w:gridCol w:w="1273"/>
      </w:tblGrid>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blHeader/>
        </w:trPr>
        <w:tc>
          <w:tcPr>
            <w:tcW w:w="1133"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b/>
                <w:color w:val="auto"/>
                <w:sz w:val="21"/>
                <w:szCs w:val="21"/>
                <w:highlight w:val="none"/>
              </w:rPr>
            </w:pPr>
            <w:r>
              <w:rPr>
                <w:rFonts w:hint="eastAsia" w:ascii="仿宋_GB2312" w:hAnsi="宋体" w:eastAsia="仿宋_GB2312" w:cs="仿宋_GB2312"/>
                <w:b/>
                <w:color w:val="auto"/>
                <w:kern w:val="0"/>
                <w:sz w:val="21"/>
                <w:szCs w:val="21"/>
                <w:highlight w:val="none"/>
                <w:lang w:bidi="ar"/>
              </w:rPr>
              <w:t>一级指标</w:t>
            </w:r>
          </w:p>
        </w:tc>
        <w:tc>
          <w:tcPr>
            <w:tcW w:w="706"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b/>
                <w:color w:val="auto"/>
                <w:sz w:val="21"/>
                <w:szCs w:val="21"/>
                <w:highlight w:val="none"/>
              </w:rPr>
            </w:pPr>
            <w:r>
              <w:rPr>
                <w:rFonts w:hint="eastAsia" w:ascii="仿宋_GB2312" w:hAnsi="宋体" w:eastAsia="仿宋_GB2312" w:cs="仿宋_GB2312"/>
                <w:b/>
                <w:color w:val="auto"/>
                <w:kern w:val="0"/>
                <w:sz w:val="21"/>
                <w:szCs w:val="21"/>
                <w:highlight w:val="none"/>
                <w:lang w:bidi="ar"/>
              </w:rPr>
              <w:t>二级指标</w:t>
            </w:r>
          </w:p>
        </w:tc>
        <w:tc>
          <w:tcPr>
            <w:tcW w:w="1352"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b/>
                <w:color w:val="auto"/>
                <w:sz w:val="21"/>
                <w:szCs w:val="21"/>
                <w:highlight w:val="none"/>
              </w:rPr>
            </w:pPr>
            <w:r>
              <w:rPr>
                <w:rFonts w:hint="eastAsia" w:ascii="仿宋_GB2312" w:hAnsi="宋体" w:eastAsia="仿宋_GB2312" w:cs="仿宋_GB2312"/>
                <w:b/>
                <w:color w:val="auto"/>
                <w:kern w:val="0"/>
                <w:sz w:val="21"/>
                <w:szCs w:val="21"/>
                <w:highlight w:val="none"/>
                <w:lang w:bidi="ar"/>
              </w:rPr>
              <w:t>三级指标</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b/>
                <w:color w:val="auto"/>
                <w:sz w:val="21"/>
                <w:szCs w:val="21"/>
                <w:highlight w:val="none"/>
              </w:rPr>
            </w:pPr>
            <w:r>
              <w:rPr>
                <w:rFonts w:hint="eastAsia" w:ascii="仿宋_GB2312" w:hAnsi="宋体" w:eastAsia="仿宋_GB2312" w:cs="仿宋_GB2312"/>
                <w:b/>
                <w:color w:val="auto"/>
                <w:kern w:val="0"/>
                <w:sz w:val="21"/>
                <w:szCs w:val="21"/>
                <w:highlight w:val="none"/>
                <w:lang w:bidi="ar"/>
              </w:rPr>
              <w:t>权重</w:t>
            </w:r>
          </w:p>
        </w:tc>
        <w:tc>
          <w:tcPr>
            <w:tcW w:w="571"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b/>
                <w:color w:val="auto"/>
                <w:sz w:val="21"/>
                <w:szCs w:val="21"/>
                <w:highlight w:val="none"/>
              </w:rPr>
            </w:pPr>
            <w:r>
              <w:rPr>
                <w:rFonts w:hint="eastAsia" w:ascii="仿宋_GB2312" w:hAnsi="宋体" w:eastAsia="仿宋_GB2312" w:cs="仿宋_GB2312"/>
                <w:b/>
                <w:color w:val="auto"/>
                <w:kern w:val="0"/>
                <w:sz w:val="21"/>
                <w:szCs w:val="21"/>
                <w:highlight w:val="none"/>
                <w:lang w:bidi="ar"/>
              </w:rPr>
              <w:t>得分</w:t>
            </w:r>
          </w:p>
        </w:tc>
        <w:tc>
          <w:tcPr>
            <w:tcW w:w="747"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b/>
                <w:color w:val="auto"/>
                <w:sz w:val="21"/>
                <w:szCs w:val="21"/>
                <w:highlight w:val="none"/>
              </w:rPr>
            </w:pPr>
            <w:r>
              <w:rPr>
                <w:rFonts w:hint="eastAsia" w:ascii="仿宋_GB2312" w:hAnsi="宋体" w:eastAsia="仿宋_GB2312" w:cs="仿宋_GB2312"/>
                <w:b/>
                <w:color w:val="auto"/>
                <w:kern w:val="0"/>
                <w:sz w:val="21"/>
                <w:szCs w:val="21"/>
                <w:highlight w:val="none"/>
                <w:lang w:bidi="ar"/>
              </w:rPr>
              <w:t>得分率</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restar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项目政策</w:t>
            </w:r>
          </w:p>
        </w:tc>
        <w:tc>
          <w:tcPr>
            <w:tcW w:w="706" w:type="pct"/>
            <w:vMerge w:val="restar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rPr>
              <w:t>项目政策设立</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设立依据充分性</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5</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83.33%</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政策内容针对性</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5</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3</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立项程序规范性</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4</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66.67%</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restar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项目政策目标</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整体目标明确性</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4</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50.00%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阶段目标具体性</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4</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4</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2058" w:type="pct"/>
            <w:gridSpan w:val="2"/>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小计</w:t>
            </w:r>
          </w:p>
        </w:tc>
        <w:tc>
          <w:tcPr>
            <w:tcW w:w="490"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25</w:t>
            </w:r>
          </w:p>
        </w:tc>
        <w:tc>
          <w:tcPr>
            <w:tcW w:w="571"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18</w:t>
            </w:r>
          </w:p>
        </w:tc>
        <w:tc>
          <w:tcPr>
            <w:tcW w:w="747"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72.00%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restar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项目过程管理</w:t>
            </w:r>
          </w:p>
        </w:tc>
        <w:tc>
          <w:tcPr>
            <w:tcW w:w="706" w:type="pct"/>
            <w:vMerge w:val="restart"/>
            <w:tcBorders>
              <w:tl2br w:val="nil"/>
              <w:tr2bl w:val="nil"/>
            </w:tcBorders>
            <w:shd w:val="clear" w:color="auto" w:fill="auto"/>
            <w:vAlign w:val="center"/>
          </w:tcPr>
          <w:p>
            <w:pPr>
              <w:widowControl/>
              <w:spacing w:line="320" w:lineRule="exact"/>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rPr>
              <w:t>资金投入</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预算编制科学性</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3</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33.33%</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资金分配合理性</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3</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1.5</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50.00%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restart"/>
            <w:tcBorders>
              <w:tl2br w:val="nil"/>
              <w:tr2bl w:val="nil"/>
            </w:tcBorders>
            <w:shd w:val="clear" w:color="auto" w:fill="auto"/>
            <w:vAlign w:val="center"/>
          </w:tcPr>
          <w:p>
            <w:pPr>
              <w:widowControl/>
              <w:spacing w:line="320" w:lineRule="exact"/>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rPr>
              <w:t>资金管理</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资金拨付及时性</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4</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25.00%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rPr>
              <w:t>预算执行率</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3</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3</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rPr>
              <w:t>资金使用合规性</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4</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4</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rPr>
              <w:t>资金投入有效性</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hint="default" w:ascii="仿宋_GB2312" w:hAnsi="宋体" w:eastAsia="仿宋_GB2312" w:cs="仿宋_GB2312"/>
                <w:color w:val="auto"/>
                <w:kern w:val="0"/>
                <w:sz w:val="21"/>
                <w:szCs w:val="21"/>
                <w:highlight w:val="none"/>
                <w:lang w:val="en-US" w:eastAsia="zh-CN" w:bidi="ar"/>
              </w:rPr>
            </w:pPr>
            <w:r>
              <w:rPr>
                <w:rFonts w:hint="eastAsia" w:ascii="仿宋_GB2312" w:hAnsi="宋体" w:eastAsia="仿宋_GB2312" w:cs="仿宋_GB2312"/>
                <w:color w:val="auto"/>
                <w:kern w:val="0"/>
                <w:sz w:val="21"/>
                <w:szCs w:val="21"/>
                <w:highlight w:val="none"/>
                <w:lang w:val="en-US" w:eastAsia="zh-CN" w:bidi="ar"/>
              </w:rPr>
              <w:t>1.6</w:t>
            </w:r>
          </w:p>
        </w:tc>
        <w:tc>
          <w:tcPr>
            <w:tcW w:w="747" w:type="pct"/>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bCs/>
                <w:i w:val="0"/>
                <w:iCs w:val="0"/>
                <w:color w:val="auto"/>
                <w:kern w:val="0"/>
                <w:sz w:val="21"/>
                <w:szCs w:val="21"/>
                <w:highlight w:val="none"/>
                <w:u w:val="none"/>
                <w:lang w:val="en-US" w:eastAsia="zh-CN" w:bidi="ar"/>
              </w:rPr>
              <w:t>26.67%</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restart"/>
            <w:tcBorders>
              <w:tl2br w:val="nil"/>
              <w:tr2bl w:val="nil"/>
            </w:tcBorders>
            <w:shd w:val="clear" w:color="auto" w:fill="auto"/>
            <w:vAlign w:val="center"/>
          </w:tcPr>
          <w:p>
            <w:pPr>
              <w:widowControl/>
              <w:spacing w:line="320" w:lineRule="exact"/>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rPr>
              <w:t>组织实施</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部门履职尽责性</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hint="default" w:ascii="仿宋_GB2312" w:hAnsi="宋体" w:eastAsia="仿宋_GB2312" w:cs="仿宋_GB2312"/>
                <w:color w:val="auto"/>
                <w:kern w:val="0"/>
                <w:sz w:val="21"/>
                <w:szCs w:val="21"/>
                <w:highlight w:val="none"/>
                <w:lang w:val="en-US" w:eastAsia="zh-CN" w:bidi="ar"/>
              </w:rPr>
            </w:pPr>
            <w:r>
              <w:rPr>
                <w:rFonts w:hint="eastAsia" w:ascii="仿宋_GB2312" w:hAnsi="宋体" w:eastAsia="仿宋_GB2312" w:cs="仿宋_GB2312"/>
                <w:color w:val="auto"/>
                <w:kern w:val="0"/>
                <w:sz w:val="21"/>
                <w:szCs w:val="21"/>
                <w:highlight w:val="none"/>
                <w:lang w:val="en-US" w:eastAsia="zh-CN" w:bidi="ar"/>
              </w:rPr>
              <w:t>4.0</w:t>
            </w:r>
          </w:p>
        </w:tc>
        <w:tc>
          <w:tcPr>
            <w:tcW w:w="747" w:type="pct"/>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bCs/>
                <w:i w:val="0"/>
                <w:iCs w:val="0"/>
                <w:color w:val="auto"/>
                <w:kern w:val="0"/>
                <w:sz w:val="21"/>
                <w:szCs w:val="21"/>
                <w:highlight w:val="none"/>
                <w:u w:val="none"/>
                <w:lang w:val="en-US" w:eastAsia="zh-CN" w:bidi="ar"/>
              </w:rPr>
              <w:t>66.67%</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制度执行有效性</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4</w:t>
            </w:r>
          </w:p>
        </w:tc>
        <w:tc>
          <w:tcPr>
            <w:tcW w:w="571"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3</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75.00%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实施条件保障充足性</w:t>
            </w:r>
          </w:p>
        </w:tc>
        <w:tc>
          <w:tcPr>
            <w:tcW w:w="490"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571" w:type="pct"/>
            <w:tcBorders>
              <w:tl2br w:val="nil"/>
              <w:tr2bl w:val="nil"/>
            </w:tcBorders>
            <w:shd w:val="clear" w:color="auto" w:fill="auto"/>
            <w:noWrap/>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2058" w:type="pct"/>
            <w:gridSpan w:val="2"/>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小计</w:t>
            </w:r>
          </w:p>
        </w:tc>
        <w:tc>
          <w:tcPr>
            <w:tcW w:w="490" w:type="pct"/>
            <w:tcBorders>
              <w:tl2br w:val="nil"/>
              <w:tr2bl w:val="nil"/>
            </w:tcBorders>
            <w:shd w:val="clear" w:color="auto" w:fill="DEEBF6" w:themeFill="accent1" w:themeFillTint="32"/>
            <w:noWrap/>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35</w:t>
            </w:r>
          </w:p>
        </w:tc>
        <w:tc>
          <w:tcPr>
            <w:tcW w:w="571" w:type="pct"/>
            <w:tcBorders>
              <w:tl2br w:val="nil"/>
              <w:tr2bl w:val="nil"/>
            </w:tcBorders>
            <w:shd w:val="clear" w:color="auto" w:fill="DEEBF6" w:themeFill="accent1" w:themeFillTint="32"/>
            <w:noWrap/>
            <w:vAlign w:val="center"/>
          </w:tcPr>
          <w:p>
            <w:pPr>
              <w:widowControl/>
              <w:spacing w:line="320" w:lineRule="exact"/>
              <w:jc w:val="center"/>
              <w:textAlignment w:val="center"/>
              <w:rPr>
                <w:rFonts w:hint="default" w:ascii="仿宋_GB2312" w:hAnsi="宋体" w:eastAsia="仿宋_GB2312" w:cs="仿宋_GB2312"/>
                <w:b/>
                <w:bCs w:val="0"/>
                <w:color w:val="auto"/>
                <w:kern w:val="0"/>
                <w:sz w:val="21"/>
                <w:szCs w:val="21"/>
                <w:highlight w:val="none"/>
                <w:lang w:val="en-US" w:eastAsia="zh-CN" w:bidi="ar"/>
              </w:rPr>
            </w:pPr>
            <w:r>
              <w:rPr>
                <w:rFonts w:hint="eastAsia" w:ascii="仿宋_GB2312" w:hAnsi="宋体" w:eastAsia="仿宋_GB2312" w:cs="仿宋_GB2312"/>
                <w:b/>
                <w:bCs w:val="0"/>
                <w:color w:val="auto"/>
                <w:kern w:val="0"/>
                <w:sz w:val="21"/>
                <w:szCs w:val="21"/>
                <w:highlight w:val="none"/>
                <w:lang w:val="en-US" w:eastAsia="zh-CN" w:bidi="ar"/>
              </w:rPr>
              <w:t>21.1</w:t>
            </w:r>
          </w:p>
        </w:tc>
        <w:tc>
          <w:tcPr>
            <w:tcW w:w="747" w:type="pct"/>
            <w:tcBorders>
              <w:tl2br w:val="nil"/>
              <w:tr2bl w:val="nil"/>
            </w:tcBorders>
            <w:shd w:val="clear" w:color="auto" w:fill="DEEBF6" w:themeFill="accent1" w:themeFillTint="32"/>
            <w:vAlign w:val="center"/>
          </w:tcPr>
          <w:p>
            <w:pPr>
              <w:keepNext w:val="0"/>
              <w:keepLines w:val="0"/>
              <w:widowControl/>
              <w:suppressLineNumbers w:val="0"/>
              <w:spacing w:line="320" w:lineRule="exact"/>
              <w:jc w:val="center"/>
              <w:textAlignment w:val="center"/>
              <w:rPr>
                <w:rFonts w:hint="default" w:ascii="仿宋_GB2312" w:hAnsi="宋体" w:eastAsia="仿宋_GB2312" w:cs="仿宋_GB2312"/>
                <w:b/>
                <w:bCs w:val="0"/>
                <w:i w:val="0"/>
                <w:iCs w:val="0"/>
                <w:color w:val="auto"/>
                <w:kern w:val="0"/>
                <w:sz w:val="21"/>
                <w:szCs w:val="21"/>
                <w:highlight w:val="none"/>
                <w:u w:val="none"/>
                <w:lang w:val="en-US" w:eastAsia="zh-CN" w:bidi="ar"/>
              </w:rPr>
            </w:pPr>
            <w:r>
              <w:rPr>
                <w:rFonts w:hint="default" w:ascii="仿宋_GB2312" w:hAnsi="宋体" w:eastAsia="仿宋_GB2312" w:cs="仿宋_GB2312"/>
                <w:b/>
                <w:bCs w:val="0"/>
                <w:i w:val="0"/>
                <w:iCs w:val="0"/>
                <w:color w:val="auto"/>
                <w:kern w:val="0"/>
                <w:sz w:val="21"/>
                <w:szCs w:val="21"/>
                <w:highlight w:val="none"/>
                <w:u w:val="none"/>
                <w:lang w:val="en-US" w:eastAsia="zh-CN" w:bidi="ar"/>
              </w:rPr>
              <w:t>60.29%</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restar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项目产出</w:t>
            </w:r>
          </w:p>
        </w:tc>
        <w:tc>
          <w:tcPr>
            <w:tcW w:w="706"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计划科学性</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计划设置合理性</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50.00%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restar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指标达标程度</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补助数量完成率</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补助质量达标率</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项目完成及时性</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成本控制情况</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2</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2058" w:type="pct"/>
            <w:gridSpan w:val="2"/>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小计</w:t>
            </w:r>
          </w:p>
        </w:tc>
        <w:tc>
          <w:tcPr>
            <w:tcW w:w="490"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10</w:t>
            </w:r>
          </w:p>
        </w:tc>
        <w:tc>
          <w:tcPr>
            <w:tcW w:w="571"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9</w:t>
            </w:r>
          </w:p>
        </w:tc>
        <w:tc>
          <w:tcPr>
            <w:tcW w:w="747"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90.00%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restar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项目效益</w:t>
            </w:r>
          </w:p>
        </w:tc>
        <w:tc>
          <w:tcPr>
            <w:tcW w:w="706" w:type="pct"/>
            <w:vMerge w:val="restar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项目效益</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国高企业新增情况</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 xml:space="preserve">6.00 </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100.00%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国高企业营收情况</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 xml:space="preserve">5.08 </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84.64%</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国高企业研发水平</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 xml:space="preserve">5.76 </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95.96%</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国高企业的经济贡献</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 xml:space="preserve">4.68 </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78.06%</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706"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sz w:val="21"/>
                <w:szCs w:val="21"/>
                <w:highlight w:val="none"/>
              </w:rPr>
            </w:pPr>
            <w:r>
              <w:rPr>
                <w:rFonts w:hint="eastAsia" w:ascii="仿宋_GB2312" w:hAnsi="宋体" w:eastAsia="仿宋_GB2312" w:cs="仿宋_GB2312"/>
                <w:color w:val="auto"/>
                <w:kern w:val="0"/>
                <w:sz w:val="21"/>
                <w:szCs w:val="21"/>
                <w:highlight w:val="none"/>
                <w:lang w:bidi="ar"/>
              </w:rPr>
              <w:t>满意度</w:t>
            </w:r>
          </w:p>
        </w:tc>
        <w:tc>
          <w:tcPr>
            <w:tcW w:w="1352"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受益企业满意度</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6</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 xml:space="preserve">5.79 </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color w:val="auto"/>
                <w:kern w:val="0"/>
                <w:sz w:val="21"/>
                <w:szCs w:val="21"/>
                <w:highlight w:val="none"/>
                <w:lang w:bidi="ar"/>
              </w:rPr>
            </w:pPr>
            <w:r>
              <w:rPr>
                <w:rFonts w:hint="eastAsia" w:ascii="仿宋_GB2312" w:hAnsi="宋体" w:eastAsia="仿宋_GB2312" w:cs="仿宋_GB2312"/>
                <w:color w:val="auto"/>
                <w:kern w:val="0"/>
                <w:sz w:val="21"/>
                <w:szCs w:val="21"/>
                <w:highlight w:val="none"/>
                <w:lang w:bidi="ar"/>
              </w:rPr>
              <w:t>97.00%</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133" w:type="pct"/>
            <w:vMerge w:val="continue"/>
            <w:tcBorders>
              <w:tl2br w:val="nil"/>
              <w:tr2bl w:val="nil"/>
            </w:tcBorders>
            <w:shd w:val="clear" w:color="auto" w:fill="auto"/>
            <w:vAlign w:val="center"/>
          </w:tcPr>
          <w:p>
            <w:pPr>
              <w:spacing w:line="320" w:lineRule="exact"/>
              <w:jc w:val="center"/>
              <w:rPr>
                <w:rFonts w:ascii="仿宋_GB2312" w:hAnsi="宋体" w:eastAsia="仿宋_GB2312" w:cs="仿宋_GB2312"/>
                <w:color w:val="auto"/>
                <w:sz w:val="21"/>
                <w:szCs w:val="21"/>
                <w:highlight w:val="none"/>
              </w:rPr>
            </w:pPr>
          </w:p>
        </w:tc>
        <w:tc>
          <w:tcPr>
            <w:tcW w:w="2058" w:type="pct"/>
            <w:gridSpan w:val="2"/>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小计</w:t>
            </w:r>
          </w:p>
        </w:tc>
        <w:tc>
          <w:tcPr>
            <w:tcW w:w="490"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30</w:t>
            </w:r>
          </w:p>
        </w:tc>
        <w:tc>
          <w:tcPr>
            <w:tcW w:w="571"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27.31</w:t>
            </w:r>
          </w:p>
        </w:tc>
        <w:tc>
          <w:tcPr>
            <w:tcW w:w="747" w:type="pct"/>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91.0</w:t>
            </w:r>
            <w:r>
              <w:rPr>
                <w:rFonts w:hint="eastAsia" w:ascii="仿宋_GB2312" w:hAnsi="宋体" w:eastAsia="仿宋_GB2312" w:cs="仿宋_GB2312"/>
                <w:b/>
                <w:bCs w:val="0"/>
                <w:color w:val="auto"/>
                <w:kern w:val="0"/>
                <w:sz w:val="21"/>
                <w:szCs w:val="21"/>
                <w:highlight w:val="none"/>
                <w:lang w:val="en-US" w:eastAsia="zh-CN" w:bidi="ar"/>
              </w:rPr>
              <w:t>3</w:t>
            </w:r>
            <w:r>
              <w:rPr>
                <w:rFonts w:hint="eastAsia" w:ascii="仿宋_GB2312" w:hAnsi="宋体" w:eastAsia="仿宋_GB2312" w:cs="仿宋_GB2312"/>
                <w:b/>
                <w:bCs w:val="0"/>
                <w:color w:val="auto"/>
                <w:kern w:val="0"/>
                <w:sz w:val="21"/>
                <w:szCs w:val="21"/>
                <w:highlight w:val="none"/>
                <w:lang w:bidi="ar"/>
              </w:rPr>
              <w:t>%</w:t>
            </w:r>
          </w:p>
        </w:tc>
      </w:tr>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3191" w:type="pct"/>
            <w:gridSpan w:val="3"/>
            <w:tcBorders>
              <w:tl2br w:val="nil"/>
              <w:tr2bl w:val="nil"/>
            </w:tcBorders>
            <w:shd w:val="clear" w:color="auto" w:fill="DEEBF6" w:themeFill="accent1" w:themeFillTint="32"/>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合计</w:t>
            </w:r>
          </w:p>
        </w:tc>
        <w:tc>
          <w:tcPr>
            <w:tcW w:w="490"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bidi="ar"/>
              </w:rPr>
              <w:t>100</w:t>
            </w:r>
          </w:p>
        </w:tc>
        <w:tc>
          <w:tcPr>
            <w:tcW w:w="571"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val="en-US" w:eastAsia="zh-CN" w:bidi="ar"/>
              </w:rPr>
              <w:t>75.41</w:t>
            </w:r>
            <w:r>
              <w:rPr>
                <w:rFonts w:hint="eastAsia" w:ascii="仿宋_GB2312" w:hAnsi="宋体" w:eastAsia="仿宋_GB2312" w:cs="仿宋_GB2312"/>
                <w:b/>
                <w:bCs w:val="0"/>
                <w:color w:val="auto"/>
                <w:kern w:val="0"/>
                <w:sz w:val="21"/>
                <w:szCs w:val="21"/>
                <w:highlight w:val="none"/>
                <w:lang w:bidi="ar"/>
              </w:rPr>
              <w:t xml:space="preserve"> </w:t>
            </w:r>
          </w:p>
        </w:tc>
        <w:tc>
          <w:tcPr>
            <w:tcW w:w="747" w:type="pct"/>
            <w:tcBorders>
              <w:tl2br w:val="nil"/>
              <w:tr2bl w:val="nil"/>
            </w:tcBorders>
            <w:shd w:val="clear" w:color="auto" w:fill="auto"/>
            <w:vAlign w:val="center"/>
          </w:tcPr>
          <w:p>
            <w:pPr>
              <w:widowControl/>
              <w:spacing w:line="320" w:lineRule="exact"/>
              <w:jc w:val="center"/>
              <w:textAlignment w:val="center"/>
              <w:rPr>
                <w:rFonts w:ascii="仿宋_GB2312" w:hAnsi="宋体" w:eastAsia="仿宋_GB2312" w:cs="仿宋_GB2312"/>
                <w:b/>
                <w:bCs w:val="0"/>
                <w:color w:val="auto"/>
                <w:kern w:val="0"/>
                <w:sz w:val="21"/>
                <w:szCs w:val="21"/>
                <w:highlight w:val="none"/>
                <w:lang w:bidi="ar"/>
              </w:rPr>
            </w:pPr>
            <w:r>
              <w:rPr>
                <w:rFonts w:hint="eastAsia" w:ascii="仿宋_GB2312" w:hAnsi="宋体" w:eastAsia="仿宋_GB2312" w:cs="仿宋_GB2312"/>
                <w:b/>
                <w:bCs w:val="0"/>
                <w:color w:val="auto"/>
                <w:kern w:val="0"/>
                <w:sz w:val="21"/>
                <w:szCs w:val="21"/>
                <w:highlight w:val="none"/>
                <w:lang w:val="en-US" w:eastAsia="zh-CN" w:bidi="ar"/>
              </w:rPr>
              <w:t>75.41</w:t>
            </w:r>
            <w:r>
              <w:rPr>
                <w:rFonts w:hint="eastAsia" w:ascii="仿宋_GB2312" w:hAnsi="宋体" w:eastAsia="仿宋_GB2312" w:cs="仿宋_GB2312"/>
                <w:b/>
                <w:bCs w:val="0"/>
                <w:color w:val="auto"/>
                <w:kern w:val="0"/>
                <w:sz w:val="21"/>
                <w:szCs w:val="21"/>
                <w:highlight w:val="none"/>
                <w:lang w:bidi="ar"/>
              </w:rPr>
              <w:t>%</w:t>
            </w:r>
          </w:p>
        </w:tc>
      </w:tr>
    </w:tbl>
    <w:p>
      <w:pPr>
        <w:tabs>
          <w:tab w:val="left" w:pos="499"/>
        </w:tabs>
        <w:spacing w:line="560" w:lineRule="exact"/>
        <w:ind w:firstLine="640" w:firstLineChars="200"/>
        <w:outlineLvl w:val="0"/>
        <w:rPr>
          <w:rFonts w:ascii="黑体" w:hAnsi="黑体" w:eastAsia="黑体" w:cs="黑体"/>
          <w:color w:val="auto"/>
          <w:sz w:val="32"/>
          <w:highlight w:val="none"/>
          <w:lang w:eastAsia="zh-Hans"/>
        </w:rPr>
      </w:pPr>
      <w:bookmarkStart w:id="15" w:name="_Toc1295682110"/>
      <w:bookmarkStart w:id="16" w:name="_Toc1436233437"/>
      <w:r>
        <w:rPr>
          <w:rFonts w:hint="eastAsia" w:ascii="黑体" w:hAnsi="黑体" w:eastAsia="黑体" w:cs="黑体"/>
          <w:color w:val="auto"/>
          <w:sz w:val="32"/>
          <w:highlight w:val="none"/>
          <w:lang w:eastAsia="zh-Hans"/>
        </w:rPr>
        <w:t>三、主要经验和做法</w:t>
      </w:r>
      <w:bookmarkEnd w:id="15"/>
      <w:bookmarkEnd w:id="16"/>
    </w:p>
    <w:p>
      <w:pPr>
        <w:spacing w:line="560" w:lineRule="exact"/>
        <w:ind w:firstLine="640" w:firstLineChars="200"/>
        <w:outlineLvl w:val="1"/>
        <w:rPr>
          <w:rFonts w:hint="eastAsia" w:ascii="楷体_GB2312" w:hAnsi="楷体_GB2312" w:eastAsia="楷体_GB2312" w:cs="楷体_GB2312"/>
          <w:b w:val="0"/>
          <w:bCs/>
          <w:color w:val="auto"/>
          <w:sz w:val="32"/>
          <w:szCs w:val="44"/>
          <w:highlight w:val="none"/>
          <w:lang w:eastAsia="zh-Hans"/>
        </w:rPr>
      </w:pPr>
      <w:bookmarkStart w:id="17" w:name="_Toc1045042190"/>
      <w:bookmarkStart w:id="18" w:name="_Toc1146834356"/>
      <w:r>
        <w:rPr>
          <w:rFonts w:hint="eastAsia" w:ascii="楷体_GB2312" w:hAnsi="楷体_GB2312" w:eastAsia="楷体_GB2312" w:cs="楷体_GB2312"/>
          <w:b w:val="0"/>
          <w:bCs/>
          <w:color w:val="auto"/>
          <w:sz w:val="32"/>
          <w:szCs w:val="44"/>
          <w:highlight w:val="none"/>
          <w:lang w:eastAsia="zh-Hans"/>
        </w:rPr>
        <w:t>（一）</w:t>
      </w:r>
      <w:bookmarkEnd w:id="17"/>
      <w:bookmarkStart w:id="19" w:name="_Toc1902822164"/>
      <w:r>
        <w:rPr>
          <w:rFonts w:hint="eastAsia" w:ascii="楷体_GB2312" w:hAnsi="楷体_GB2312" w:eastAsia="楷体_GB2312" w:cs="楷体_GB2312"/>
          <w:b w:val="0"/>
          <w:bCs/>
          <w:color w:val="auto"/>
          <w:sz w:val="32"/>
          <w:szCs w:val="44"/>
          <w:highlight w:val="none"/>
          <w:lang w:eastAsia="zh-CN"/>
        </w:rPr>
        <w:t>申报</w:t>
      </w:r>
      <w:r>
        <w:rPr>
          <w:rFonts w:hint="eastAsia" w:ascii="楷体_GB2312" w:hAnsi="楷体_GB2312" w:eastAsia="楷体_GB2312" w:cs="楷体_GB2312"/>
          <w:b w:val="0"/>
          <w:bCs/>
          <w:color w:val="auto"/>
          <w:sz w:val="32"/>
          <w:szCs w:val="44"/>
          <w:highlight w:val="none"/>
          <w:lang w:eastAsia="zh-Hans"/>
        </w:rPr>
        <w:t>服务质量佳，受益企业满意度较高</w:t>
      </w:r>
      <w:bookmarkEnd w:id="18"/>
      <w:bookmarkEnd w:id="19"/>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印发《龙华区2021年国家高新技术企业培育方案》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Hans"/>
        </w:rPr>
        <w:t>多措并举</w:t>
      </w:r>
      <w:r>
        <w:rPr>
          <w:rFonts w:hint="eastAsia" w:ascii="仿宋_GB2312" w:hAnsi="仿宋_GB2312" w:eastAsia="仿宋_GB2312" w:cs="仿宋_GB2312"/>
          <w:color w:val="auto"/>
          <w:sz w:val="32"/>
          <w:szCs w:val="32"/>
          <w:highlight w:val="none"/>
          <w:lang w:eastAsia="zh-CN"/>
        </w:rPr>
        <w:t>做好国高企业认定相关服务。</w:t>
      </w:r>
      <w:r>
        <w:rPr>
          <w:rFonts w:hint="eastAsia" w:ascii="仿宋_GB2312" w:hAnsi="仿宋_GB2312" w:eastAsia="仿宋_GB2312" w:cs="仿宋_GB2312"/>
          <w:b/>
          <w:bCs w:val="0"/>
          <w:color w:val="auto"/>
          <w:sz w:val="32"/>
          <w:szCs w:val="32"/>
          <w:highlight w:val="none"/>
          <w:lang w:eastAsia="zh-Hans"/>
        </w:rPr>
        <w:t>一是</w:t>
      </w:r>
      <w:r>
        <w:rPr>
          <w:rFonts w:hint="eastAsia" w:ascii="仿宋_GB2312" w:hAnsi="仿宋_GB2312" w:eastAsia="仿宋_GB2312" w:cs="仿宋_GB2312"/>
          <w:color w:val="auto"/>
          <w:sz w:val="32"/>
          <w:szCs w:val="32"/>
          <w:highlight w:val="none"/>
          <w:lang w:eastAsia="zh-Hans"/>
        </w:rPr>
        <w:t>建立阶段性培训企业库，印发《龙华区2021年国家高新技术企业培育方案》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Hans"/>
        </w:rPr>
        <w:t>收集企业经营数据和专利数据，经过数据分析筛选潜在国高企业，并根据企业动态数据划分企业潜力高低，筛选潜力高的企业入库；</w:t>
      </w:r>
      <w:r>
        <w:rPr>
          <w:rFonts w:hint="eastAsia" w:ascii="仿宋_GB2312" w:hAnsi="仿宋_GB2312" w:eastAsia="仿宋_GB2312" w:cs="仿宋_GB2312"/>
          <w:b/>
          <w:bCs w:val="0"/>
          <w:color w:val="auto"/>
          <w:sz w:val="32"/>
          <w:szCs w:val="32"/>
          <w:highlight w:val="none"/>
          <w:lang w:eastAsia="zh-Hans"/>
        </w:rPr>
        <w:t>二是</w:t>
      </w:r>
      <w:r>
        <w:rPr>
          <w:rFonts w:hint="eastAsia" w:ascii="仿宋_GB2312" w:hAnsi="仿宋_GB2312" w:eastAsia="仿宋_GB2312" w:cs="仿宋_GB2312"/>
          <w:color w:val="auto"/>
          <w:sz w:val="32"/>
          <w:szCs w:val="32"/>
          <w:highlight w:val="none"/>
          <w:lang w:eastAsia="zh-Hans"/>
        </w:rPr>
        <w:t>积极联合街道大力开展国高培育工作，重点针对培育库内企业开展宣传辅导工作；</w:t>
      </w:r>
      <w:r>
        <w:rPr>
          <w:rFonts w:hint="eastAsia" w:ascii="仿宋_GB2312" w:hAnsi="仿宋_GB2312" w:eastAsia="仿宋_GB2312" w:cs="仿宋_GB2312"/>
          <w:b/>
          <w:bCs w:val="0"/>
          <w:color w:val="auto"/>
          <w:sz w:val="32"/>
          <w:szCs w:val="32"/>
          <w:highlight w:val="none"/>
          <w:lang w:eastAsia="zh-Hans"/>
        </w:rPr>
        <w:t>三是</w:t>
      </w:r>
      <w:r>
        <w:rPr>
          <w:rFonts w:hint="eastAsia" w:ascii="仿宋_GB2312" w:hAnsi="仿宋_GB2312" w:eastAsia="仿宋_GB2312" w:cs="仿宋_GB2312"/>
          <w:color w:val="auto"/>
          <w:sz w:val="32"/>
          <w:szCs w:val="32"/>
          <w:highlight w:val="none"/>
          <w:lang w:eastAsia="zh-Hans"/>
        </w:rPr>
        <w:t>充分利用第三方机构力量辅导企业。开展政策宣讲、定向发动及辅导等相关工作，精准帮扶企业认定国高，帮助企业找准整改方向。</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根据科创专项资金满意度调查结果，科创专项资金综合满意度为</w:t>
      </w:r>
      <w:r>
        <w:rPr>
          <w:rFonts w:hint="eastAsia" w:ascii="仿宋_GB2312" w:hAnsi="仿宋_GB2312" w:eastAsia="仿宋_GB2312" w:cs="仿宋_GB2312"/>
          <w:color w:val="auto"/>
          <w:sz w:val="32"/>
          <w:szCs w:val="32"/>
          <w:highlight w:val="none"/>
          <w:lang w:val="en-US" w:eastAsia="zh-CN"/>
        </w:rPr>
        <w:t>96.58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，受益企业满意度较高，区科创局</w:t>
      </w:r>
      <w:r>
        <w:rPr>
          <w:rFonts w:hint="eastAsia" w:ascii="仿宋_GB2312" w:hAnsi="仿宋_GB2312" w:eastAsia="仿宋_GB2312" w:cs="仿宋_GB2312"/>
          <w:color w:val="auto"/>
          <w:sz w:val="32"/>
          <w:szCs w:val="32"/>
          <w:highlight w:val="none"/>
        </w:rPr>
        <w:t>作为</w:t>
      </w:r>
      <w:r>
        <w:rPr>
          <w:rFonts w:hint="eastAsia" w:ascii="仿宋_GB2312" w:hAnsi="仿宋_GB2312" w:eastAsia="仿宋_GB2312" w:cs="仿宋_GB2312"/>
          <w:color w:val="auto"/>
          <w:sz w:val="32"/>
          <w:szCs w:val="32"/>
          <w:highlight w:val="none"/>
          <w:lang w:eastAsia="zh-Hans"/>
        </w:rPr>
        <w:t>本政策的“服务”部门服务水平和质量较高，详见</w:t>
      </w:r>
      <w:r>
        <w:rPr>
          <w:rFonts w:hint="eastAsia" w:ascii="仿宋_GB2312" w:hAnsi="仿宋_GB2312" w:eastAsia="仿宋_GB2312" w:cs="仿宋_GB2312"/>
          <w:color w:val="auto"/>
          <w:sz w:val="32"/>
          <w:szCs w:val="32"/>
          <w:highlight w:val="none"/>
        </w:rPr>
        <w:t>表</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Hans"/>
        </w:rPr>
        <w:t>。</w:t>
      </w:r>
    </w:p>
    <w:p>
      <w:pPr>
        <w:keepNext/>
        <w:spacing w:after="156" w:afterLines="50" w:line="400" w:lineRule="exact"/>
        <w:jc w:val="center"/>
        <w:rPr>
          <w:rFonts w:eastAsia="仿宋_GB2312"/>
          <w:color w:val="auto"/>
          <w:highlight w:val="none"/>
        </w:rPr>
      </w:pPr>
      <w:r>
        <w:rPr>
          <w:rFonts w:hint="eastAsia" w:ascii="仿宋_GB2312" w:eastAsia="仿宋_GB2312"/>
          <w:color w:val="auto"/>
          <w:sz w:val="28"/>
          <w:szCs w:val="28"/>
          <w:highlight w:val="none"/>
          <w:lang w:eastAsia="zh-Hans"/>
        </w:rPr>
        <w:t>表</w:t>
      </w:r>
      <w:r>
        <w:rPr>
          <w:rFonts w:ascii="仿宋_GB2312" w:eastAsia="仿宋_GB2312"/>
          <w:color w:val="auto"/>
          <w:sz w:val="28"/>
          <w:szCs w:val="28"/>
          <w:highlight w:val="none"/>
        </w:rPr>
        <w:t>5</w:t>
      </w:r>
      <w:r>
        <w:rPr>
          <w:rFonts w:hint="eastAsia" w:ascii="仿宋_GB2312" w:eastAsia="仿宋_GB2312"/>
          <w:color w:val="auto"/>
          <w:sz w:val="28"/>
          <w:szCs w:val="28"/>
          <w:highlight w:val="none"/>
          <w:lang w:eastAsia="zh-Hans"/>
        </w:rPr>
        <w:t xml:space="preserve"> </w:t>
      </w:r>
      <w:r>
        <w:rPr>
          <w:rFonts w:hint="eastAsia" w:ascii="仿宋_GB2312" w:eastAsia="仿宋_GB2312"/>
          <w:color w:val="auto"/>
          <w:sz w:val="28"/>
          <w:szCs w:val="28"/>
          <w:highlight w:val="none"/>
        </w:rPr>
        <w:t>受益企业满意度调查结果</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trPr>
        <w:tc>
          <w:tcPr>
            <w:tcW w:w="4261" w:type="dxa"/>
            <w:tcBorders>
              <w:top w:val="single" w:color="auto" w:sz="18" w:space="0"/>
              <w:left w:val="nil"/>
              <w:bottom w:val="dotted" w:color="auto" w:sz="4" w:space="0"/>
              <w:right w:val="dotted" w:color="auto" w:sz="4" w:space="0"/>
            </w:tcBorders>
          </w:tcPr>
          <w:p>
            <w:pPr>
              <w:spacing w:line="400" w:lineRule="exact"/>
              <w:jc w:val="center"/>
              <w:rPr>
                <w:rFonts w:ascii="仿宋_GB2312" w:hAnsi="仿宋_GB2312" w:eastAsia="仿宋_GB2312" w:cs="仿宋_GB2312"/>
                <w:b/>
                <w:bCs w:val="0"/>
                <w:color w:val="auto"/>
                <w:sz w:val="21"/>
                <w:szCs w:val="21"/>
                <w:highlight w:val="none"/>
                <w:lang w:eastAsia="zh-Hans"/>
              </w:rPr>
            </w:pPr>
            <w:r>
              <w:rPr>
                <w:rFonts w:hint="eastAsia" w:ascii="仿宋_GB2312" w:hAnsi="仿宋_GB2312" w:eastAsia="仿宋_GB2312" w:cs="仿宋_GB2312"/>
                <w:b/>
                <w:bCs w:val="0"/>
                <w:color w:val="auto"/>
                <w:sz w:val="21"/>
                <w:szCs w:val="21"/>
                <w:highlight w:val="none"/>
                <w:lang w:eastAsia="zh-Hans"/>
              </w:rPr>
              <w:t>年份</w:t>
            </w:r>
          </w:p>
        </w:tc>
        <w:tc>
          <w:tcPr>
            <w:tcW w:w="4261" w:type="dxa"/>
            <w:tcBorders>
              <w:top w:val="single" w:color="auto" w:sz="18" w:space="0"/>
              <w:left w:val="dotted" w:color="auto" w:sz="4" w:space="0"/>
              <w:bottom w:val="dotted" w:color="auto" w:sz="4" w:space="0"/>
              <w:right w:val="nil"/>
            </w:tcBorders>
          </w:tcPr>
          <w:p>
            <w:pPr>
              <w:spacing w:line="400" w:lineRule="exact"/>
              <w:jc w:val="center"/>
              <w:rPr>
                <w:rFonts w:ascii="仿宋_GB2312" w:hAnsi="仿宋_GB2312" w:eastAsia="仿宋_GB2312" w:cs="仿宋_GB2312"/>
                <w:b/>
                <w:bCs w:val="0"/>
                <w:color w:val="auto"/>
                <w:sz w:val="21"/>
                <w:szCs w:val="21"/>
                <w:highlight w:val="none"/>
                <w:lang w:eastAsia="zh-Hans"/>
              </w:rPr>
            </w:pPr>
            <w:r>
              <w:rPr>
                <w:rFonts w:hint="eastAsia" w:ascii="仿宋_GB2312" w:hAnsi="仿宋_GB2312" w:eastAsia="仿宋_GB2312" w:cs="仿宋_GB2312"/>
                <w:b/>
                <w:bCs w:val="0"/>
                <w:color w:val="auto"/>
                <w:sz w:val="21"/>
                <w:szCs w:val="21"/>
                <w:highlight w:val="none"/>
                <w:lang w:eastAsia="zh-Hans"/>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dotted" w:color="auto" w:sz="4" w:space="0"/>
              <w:left w:val="nil"/>
              <w:bottom w:val="dotted" w:color="auto" w:sz="4" w:space="0"/>
              <w:right w:val="dotted" w:color="auto" w:sz="4" w:space="0"/>
            </w:tcBorders>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2020年</w:t>
            </w:r>
          </w:p>
        </w:tc>
        <w:tc>
          <w:tcPr>
            <w:tcW w:w="4261" w:type="dxa"/>
            <w:tcBorders>
              <w:top w:val="dotted" w:color="auto" w:sz="4" w:space="0"/>
              <w:left w:val="dotted" w:color="auto" w:sz="4" w:space="0"/>
              <w:bottom w:val="dotted" w:color="auto" w:sz="4" w:space="0"/>
              <w:right w:val="nil"/>
            </w:tcBorders>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dotted" w:color="auto" w:sz="4" w:space="0"/>
              <w:left w:val="nil"/>
              <w:bottom w:val="dotted" w:color="auto" w:sz="4" w:space="0"/>
              <w:right w:val="dotted" w:color="auto" w:sz="4" w:space="0"/>
            </w:tcBorders>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2021年</w:t>
            </w:r>
          </w:p>
        </w:tc>
        <w:tc>
          <w:tcPr>
            <w:tcW w:w="4261" w:type="dxa"/>
            <w:tcBorders>
              <w:top w:val="dotted" w:color="auto" w:sz="4" w:space="0"/>
              <w:left w:val="dotted" w:color="auto" w:sz="4" w:space="0"/>
              <w:bottom w:val="dotted" w:color="auto" w:sz="4" w:space="0"/>
              <w:right w:val="nil"/>
            </w:tcBorders>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dotted" w:color="auto" w:sz="4" w:space="0"/>
              <w:left w:val="nil"/>
              <w:bottom w:val="single" w:color="auto" w:sz="18" w:space="0"/>
              <w:right w:val="dotted" w:color="auto" w:sz="4" w:space="0"/>
            </w:tcBorders>
          </w:tcPr>
          <w:p>
            <w:pPr>
              <w:spacing w:line="400" w:lineRule="exact"/>
              <w:jc w:val="center"/>
              <w:rPr>
                <w:rFonts w:ascii="仿宋_GB2312" w:hAnsi="仿宋_GB2312" w:eastAsia="仿宋_GB2312" w:cs="仿宋_GB2312"/>
                <w:b/>
                <w:bCs w:val="0"/>
                <w:color w:val="auto"/>
                <w:sz w:val="21"/>
                <w:szCs w:val="21"/>
                <w:highlight w:val="none"/>
                <w:lang w:eastAsia="zh-Hans"/>
              </w:rPr>
            </w:pPr>
            <w:r>
              <w:rPr>
                <w:rFonts w:hint="eastAsia" w:ascii="仿宋_GB2312" w:hAnsi="仿宋_GB2312" w:eastAsia="仿宋_GB2312" w:cs="仿宋_GB2312"/>
                <w:b/>
                <w:bCs w:val="0"/>
                <w:color w:val="auto"/>
                <w:sz w:val="21"/>
                <w:szCs w:val="21"/>
                <w:highlight w:val="none"/>
                <w:lang w:eastAsia="zh-Hans"/>
              </w:rPr>
              <w:t>综合满意度</w:t>
            </w:r>
          </w:p>
        </w:tc>
        <w:tc>
          <w:tcPr>
            <w:tcW w:w="4261" w:type="dxa"/>
            <w:tcBorders>
              <w:top w:val="dotted" w:color="auto" w:sz="4" w:space="0"/>
              <w:left w:val="dotted" w:color="auto" w:sz="4" w:space="0"/>
              <w:bottom w:val="single" w:color="auto" w:sz="18" w:space="0"/>
              <w:right w:val="nil"/>
            </w:tcBorders>
          </w:tcPr>
          <w:p>
            <w:pPr>
              <w:spacing w:line="400" w:lineRule="exact"/>
              <w:jc w:val="center"/>
              <w:rPr>
                <w:rFonts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96.58%</w:t>
            </w:r>
          </w:p>
        </w:tc>
      </w:tr>
    </w:tbl>
    <w:p>
      <w:pPr>
        <w:spacing w:line="240" w:lineRule="atLeast"/>
        <w:ind w:firstLine="4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bCs w:val="0"/>
          <w:color w:val="auto"/>
          <w:sz w:val="22"/>
          <w:szCs w:val="22"/>
          <w:highlight w:val="none"/>
          <w:lang w:eastAsia="zh-Hans"/>
        </w:rPr>
        <w:t>（数据来源：</w:t>
      </w:r>
      <w:r>
        <w:rPr>
          <w:rFonts w:hint="eastAsia" w:ascii="仿宋_GB2312" w:hAnsi="仿宋_GB2312" w:eastAsia="仿宋_GB2312" w:cs="仿宋_GB2312"/>
          <w:bCs w:val="0"/>
          <w:color w:val="auto"/>
          <w:sz w:val="22"/>
          <w:szCs w:val="22"/>
          <w:highlight w:val="none"/>
        </w:rPr>
        <w:t>区科创局各年度专项资金绩效自评报告(2019年和2022年无具体数据）</w:t>
      </w:r>
      <w:r>
        <w:rPr>
          <w:rFonts w:hint="eastAsia" w:ascii="仿宋_GB2312" w:hAnsi="仿宋_GB2312" w:eastAsia="仿宋_GB2312" w:cs="仿宋_GB2312"/>
          <w:bCs w:val="0"/>
          <w:color w:val="auto"/>
          <w:sz w:val="22"/>
          <w:szCs w:val="22"/>
          <w:highlight w:val="none"/>
          <w:lang w:eastAsia="zh-Hans"/>
        </w:rPr>
        <w:t>）</w:t>
      </w:r>
    </w:p>
    <w:p>
      <w:pPr>
        <w:spacing w:line="560" w:lineRule="exact"/>
        <w:ind w:firstLine="640" w:firstLineChars="200"/>
        <w:outlineLvl w:val="1"/>
        <w:rPr>
          <w:rFonts w:ascii="楷体_GB2312" w:hAnsi="楷体_GB2312" w:eastAsia="楷体_GB2312" w:cs="楷体_GB2312"/>
          <w:b w:val="0"/>
          <w:bCs/>
          <w:color w:val="auto"/>
          <w:sz w:val="32"/>
          <w:szCs w:val="44"/>
          <w:highlight w:val="none"/>
          <w:lang w:eastAsia="zh-Hans"/>
        </w:rPr>
      </w:pPr>
      <w:bookmarkStart w:id="20" w:name="_Toc2071867888"/>
      <w:bookmarkStart w:id="21" w:name="_Toc405639224"/>
      <w:r>
        <w:rPr>
          <w:rFonts w:hint="eastAsia" w:ascii="楷体_GB2312" w:hAnsi="楷体_GB2312" w:eastAsia="楷体_GB2312" w:cs="楷体_GB2312"/>
          <w:b w:val="0"/>
          <w:bCs/>
          <w:color w:val="auto"/>
          <w:sz w:val="32"/>
          <w:szCs w:val="44"/>
          <w:highlight w:val="none"/>
          <w:lang w:eastAsia="zh-Hans"/>
        </w:rPr>
        <w:t>（</w:t>
      </w:r>
      <w:r>
        <w:rPr>
          <w:rFonts w:hint="eastAsia" w:ascii="楷体_GB2312" w:hAnsi="楷体_GB2312" w:eastAsia="楷体_GB2312" w:cs="楷体_GB2312"/>
          <w:b w:val="0"/>
          <w:bCs/>
          <w:color w:val="auto"/>
          <w:sz w:val="32"/>
          <w:szCs w:val="44"/>
          <w:highlight w:val="none"/>
          <w:lang w:eastAsia="zh-CN"/>
        </w:rPr>
        <w:t>二</w:t>
      </w:r>
      <w:r>
        <w:rPr>
          <w:rFonts w:hint="eastAsia" w:ascii="楷体_GB2312" w:hAnsi="楷体_GB2312" w:eastAsia="楷体_GB2312" w:cs="楷体_GB2312"/>
          <w:b w:val="0"/>
          <w:bCs/>
          <w:color w:val="auto"/>
          <w:sz w:val="32"/>
          <w:szCs w:val="44"/>
          <w:highlight w:val="none"/>
          <w:lang w:eastAsia="zh-Hans"/>
        </w:rPr>
        <w:t>）</w:t>
      </w:r>
      <w:r>
        <w:rPr>
          <w:rFonts w:hint="eastAsia" w:ascii="楷体_GB2312" w:hAnsi="楷体_GB2312" w:eastAsia="楷体_GB2312" w:cs="楷体_GB2312"/>
          <w:b w:val="0"/>
          <w:bCs/>
          <w:color w:val="auto"/>
          <w:sz w:val="32"/>
          <w:szCs w:val="44"/>
          <w:highlight w:val="none"/>
          <w:lang w:eastAsia="zh-CN"/>
        </w:rPr>
        <w:t>顺利完成考核</w:t>
      </w:r>
      <w:r>
        <w:rPr>
          <w:rFonts w:hint="eastAsia" w:ascii="楷体_GB2312" w:hAnsi="楷体_GB2312" w:eastAsia="楷体_GB2312" w:cs="楷体_GB2312"/>
          <w:b w:val="0"/>
          <w:bCs/>
          <w:color w:val="auto"/>
          <w:sz w:val="32"/>
          <w:szCs w:val="44"/>
          <w:highlight w:val="none"/>
          <w:lang w:eastAsia="zh-Hans"/>
        </w:rPr>
        <w:t>任务，</w:t>
      </w:r>
      <w:r>
        <w:rPr>
          <w:rFonts w:hint="eastAsia" w:ascii="楷体_GB2312" w:hAnsi="楷体_GB2312" w:eastAsia="楷体_GB2312" w:cs="楷体_GB2312"/>
          <w:b w:val="0"/>
          <w:bCs/>
          <w:color w:val="auto"/>
          <w:sz w:val="32"/>
          <w:szCs w:val="44"/>
          <w:highlight w:val="none"/>
          <w:lang w:eastAsia="zh-CN"/>
        </w:rPr>
        <w:t>国高企业数</w:t>
      </w:r>
      <w:r>
        <w:rPr>
          <w:rFonts w:hint="eastAsia" w:ascii="楷体_GB2312" w:hAnsi="楷体_GB2312" w:eastAsia="楷体_GB2312" w:cs="楷体_GB2312"/>
          <w:b w:val="0"/>
          <w:bCs/>
          <w:color w:val="auto"/>
          <w:sz w:val="32"/>
          <w:szCs w:val="44"/>
          <w:highlight w:val="none"/>
          <w:lang w:eastAsia="zh-Hans"/>
        </w:rPr>
        <w:t>稳居全市第三</w:t>
      </w:r>
      <w:bookmarkEnd w:id="20"/>
      <w:bookmarkEnd w:id="21"/>
    </w:p>
    <w:p>
      <w:pPr>
        <w:spacing w:line="560" w:lineRule="exact"/>
        <w:ind w:firstLine="640" w:firstLineChars="200"/>
        <w:jc w:val="left"/>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2019年以来，</w:t>
      </w:r>
      <w:r>
        <w:rPr>
          <w:rFonts w:hint="eastAsia" w:ascii="仿宋_GB2312" w:hAnsi="仿宋_GB2312" w:eastAsia="仿宋_GB2312" w:cs="仿宋_GB2312"/>
          <w:color w:val="auto"/>
          <w:sz w:val="32"/>
          <w:szCs w:val="32"/>
          <w:highlight w:val="none"/>
          <w:lang w:eastAsia="zh-CN"/>
        </w:rPr>
        <w:t>深圳市</w:t>
      </w:r>
      <w:r>
        <w:rPr>
          <w:rFonts w:hint="eastAsia" w:ascii="仿宋_GB2312" w:hAnsi="仿宋_GB2312" w:eastAsia="仿宋_GB2312" w:cs="仿宋_GB2312"/>
          <w:color w:val="auto"/>
          <w:sz w:val="32"/>
          <w:szCs w:val="32"/>
          <w:highlight w:val="none"/>
          <w:lang w:eastAsia="zh-Hans"/>
        </w:rPr>
        <w:t>下达</w:t>
      </w:r>
      <w:r>
        <w:rPr>
          <w:rFonts w:hint="default" w:ascii="仿宋_GB2312" w:hAnsi="仿宋_GB2312" w:eastAsia="仿宋_GB2312" w:cs="仿宋_GB2312"/>
          <w:color w:val="auto"/>
          <w:sz w:val="32"/>
          <w:szCs w:val="32"/>
          <w:highlight w:val="none"/>
          <w:lang w:val="en" w:eastAsia="zh-Hans"/>
        </w:rPr>
        <w:t>龙华区</w:t>
      </w:r>
      <w:r>
        <w:rPr>
          <w:rFonts w:hint="eastAsia" w:ascii="仿宋_GB2312" w:hAnsi="仿宋_GB2312" w:eastAsia="仿宋_GB2312" w:cs="仿宋_GB2312"/>
          <w:color w:val="auto"/>
          <w:sz w:val="32"/>
          <w:szCs w:val="32"/>
          <w:highlight w:val="none"/>
          <w:lang w:eastAsia="zh-Hans"/>
        </w:rPr>
        <w:t>的国高企业认定任务均位于全市各区第三</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 w:eastAsia="zh-Hans"/>
        </w:rPr>
        <w:t>龙华区</w:t>
      </w:r>
      <w:r>
        <w:rPr>
          <w:rFonts w:hint="eastAsia" w:ascii="仿宋_GB2312" w:hAnsi="仿宋_GB2312" w:eastAsia="仿宋_GB2312" w:cs="仿宋_GB2312"/>
          <w:color w:val="auto"/>
          <w:sz w:val="32"/>
          <w:szCs w:val="32"/>
          <w:highlight w:val="none"/>
          <w:lang w:eastAsia="zh-Hans"/>
        </w:rPr>
        <w:t>每年均</w:t>
      </w:r>
      <w:r>
        <w:rPr>
          <w:rFonts w:hint="eastAsia" w:ascii="仿宋_GB2312" w:hAnsi="仿宋_GB2312" w:eastAsia="仿宋_GB2312" w:cs="仿宋_GB2312"/>
          <w:color w:val="auto"/>
          <w:sz w:val="32"/>
          <w:szCs w:val="32"/>
          <w:highlight w:val="none"/>
          <w:lang w:eastAsia="zh-CN"/>
        </w:rPr>
        <w:t>顺利完成</w:t>
      </w:r>
      <w:r>
        <w:rPr>
          <w:rFonts w:hint="eastAsia" w:ascii="仿宋_GB2312" w:hAnsi="仿宋_GB2312" w:eastAsia="仿宋_GB2312" w:cs="仿宋_GB2312"/>
          <w:color w:val="auto"/>
          <w:sz w:val="32"/>
          <w:szCs w:val="32"/>
          <w:highlight w:val="none"/>
          <w:lang w:eastAsia="zh-Hans"/>
        </w:rPr>
        <w:t>任务</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 w:eastAsia="zh-Hans"/>
        </w:rPr>
        <w:t>龙华区</w:t>
      </w:r>
      <w:r>
        <w:rPr>
          <w:rFonts w:hint="eastAsia" w:ascii="仿宋_GB2312" w:hAnsi="仿宋_GB2312" w:eastAsia="仿宋_GB2312" w:cs="仿宋_GB2312"/>
          <w:color w:val="auto"/>
          <w:sz w:val="32"/>
          <w:szCs w:val="32"/>
          <w:highlight w:val="none"/>
          <w:lang w:eastAsia="zh-Hans"/>
        </w:rPr>
        <w:t>2021年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lang w:eastAsia="zh-Hans"/>
        </w:rPr>
        <w:t>国家高新技术企业通过认定1</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150家，</w:t>
      </w:r>
      <w:r>
        <w:rPr>
          <w:rFonts w:hint="eastAsia" w:ascii="仿宋_GB2312" w:hAnsi="仿宋_GB2312" w:eastAsia="仿宋_GB2312" w:cs="仿宋_GB2312"/>
          <w:color w:val="auto"/>
          <w:sz w:val="32"/>
          <w:szCs w:val="32"/>
          <w:highlight w:val="none"/>
          <w:lang w:eastAsia="zh-CN"/>
        </w:rPr>
        <w:t>截至</w:t>
      </w:r>
      <w:r>
        <w:rPr>
          <w:rFonts w:hint="eastAsia" w:ascii="仿宋_GB2312" w:hAnsi="仿宋_GB2312" w:eastAsia="仿宋_GB2312" w:cs="仿宋_GB2312"/>
          <w:color w:val="auto"/>
          <w:sz w:val="32"/>
          <w:szCs w:val="32"/>
          <w:highlight w:val="none"/>
          <w:lang w:val="en-US" w:eastAsia="zh-CN"/>
        </w:rPr>
        <w:t>2021年12月31日，</w:t>
      </w:r>
      <w:r>
        <w:rPr>
          <w:rFonts w:hint="eastAsia" w:ascii="仿宋_GB2312" w:hAnsi="仿宋_GB2312" w:eastAsia="仿宋_GB2312" w:cs="仿宋_GB2312"/>
          <w:color w:val="auto"/>
          <w:sz w:val="32"/>
          <w:szCs w:val="32"/>
          <w:highlight w:val="none"/>
          <w:lang w:eastAsia="zh-Hans"/>
        </w:rPr>
        <w:t>国高企业总数突破3</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000家，达到3</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084家，较上一年度新增350家，国高企业总数继续位列全市第三。</w:t>
      </w:r>
    </w:p>
    <w:p>
      <w:pPr>
        <w:tabs>
          <w:tab w:val="left" w:pos="499"/>
        </w:tabs>
        <w:spacing w:line="560" w:lineRule="exact"/>
        <w:ind w:firstLine="640" w:firstLineChars="200"/>
        <w:outlineLvl w:val="0"/>
        <w:rPr>
          <w:rFonts w:ascii="黑体" w:hAnsi="黑体" w:eastAsia="黑体" w:cs="黑体"/>
          <w:color w:val="auto"/>
          <w:sz w:val="32"/>
          <w:highlight w:val="none"/>
          <w:lang w:eastAsia="zh-Hans"/>
        </w:rPr>
      </w:pPr>
      <w:bookmarkStart w:id="22" w:name="_Toc1465342190"/>
      <w:bookmarkStart w:id="23" w:name="_Toc901543487"/>
      <w:r>
        <w:rPr>
          <w:rFonts w:hint="eastAsia" w:ascii="黑体" w:hAnsi="黑体" w:eastAsia="黑体" w:cs="黑体"/>
          <w:color w:val="auto"/>
          <w:sz w:val="32"/>
          <w:highlight w:val="none"/>
          <w:lang w:eastAsia="zh-Hans"/>
        </w:rPr>
        <w:t>四、</w:t>
      </w:r>
      <w:r>
        <w:rPr>
          <w:rFonts w:hint="eastAsia" w:ascii="黑体" w:hAnsi="黑体" w:eastAsia="黑体" w:cs="黑体"/>
          <w:color w:val="auto"/>
          <w:sz w:val="32"/>
          <w:highlight w:val="none"/>
        </w:rPr>
        <w:t>存在的</w:t>
      </w:r>
      <w:r>
        <w:rPr>
          <w:rFonts w:hint="eastAsia" w:ascii="黑体" w:hAnsi="黑体" w:eastAsia="黑体" w:cs="黑体"/>
          <w:color w:val="auto"/>
          <w:sz w:val="32"/>
          <w:highlight w:val="none"/>
          <w:lang w:eastAsia="zh-Hans"/>
        </w:rPr>
        <w:t>问题</w:t>
      </w:r>
      <w:bookmarkEnd w:id="22"/>
      <w:bookmarkEnd w:id="23"/>
      <w:bookmarkStart w:id="24" w:name="_Toc1085926957"/>
    </w:p>
    <w:bookmarkEnd w:id="24"/>
    <w:p>
      <w:pPr>
        <w:adjustRightInd w:val="0"/>
        <w:snapToGrid w:val="0"/>
        <w:spacing w:line="600" w:lineRule="exact"/>
        <w:ind w:firstLine="642" w:firstLineChars="200"/>
        <w:outlineLvl w:val="1"/>
        <w:rPr>
          <w:rFonts w:ascii="仿宋_GB2312" w:hAnsi="仿宋_GB2312" w:eastAsia="仿宋_GB2312" w:cs="仿宋_GB2312"/>
          <w:b/>
          <w:bCs w:val="0"/>
          <w:color w:val="auto"/>
          <w:sz w:val="32"/>
          <w:szCs w:val="32"/>
          <w:highlight w:val="none"/>
          <w:lang w:eastAsia="zh-Hans"/>
        </w:rPr>
      </w:pPr>
      <w:bookmarkStart w:id="25" w:name="_Toc1926108692"/>
      <w:bookmarkStart w:id="26" w:name="_Toc663723534"/>
      <w:r>
        <w:rPr>
          <w:rFonts w:hint="eastAsia" w:ascii="仿宋_GB2312" w:hAnsi="仿宋_GB2312" w:eastAsia="仿宋_GB2312" w:cs="仿宋_GB2312"/>
          <w:b/>
          <w:bCs w:val="0"/>
          <w:color w:val="auto"/>
          <w:sz w:val="32"/>
          <w:szCs w:val="32"/>
          <w:highlight w:val="none"/>
          <w:lang w:eastAsia="zh-Hans"/>
        </w:rPr>
        <w:t>（一）政策激励效果弱，驱动效应不显著</w:t>
      </w:r>
      <w:bookmarkEnd w:id="25"/>
      <w:bookmarkEnd w:id="26"/>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CN"/>
        </w:rPr>
        <w:t>由于国家出台了针对国高企业的系列税收优惠，企业本身存在强烈的动力申请认定为国高企业，地方政府额外发放的国高认定奖励补贴边际驱动力较弱。</w:t>
      </w:r>
    </w:p>
    <w:p>
      <w:pPr>
        <w:spacing w:line="560" w:lineRule="exact"/>
        <w:ind w:firstLine="642" w:firstLineChars="200"/>
        <w:outlineLvl w:val="1"/>
        <w:rPr>
          <w:rFonts w:ascii="仿宋_GB2312" w:hAnsi="仿宋_GB2312" w:eastAsia="仿宋_GB2312" w:cs="仿宋_GB2312"/>
          <w:b/>
          <w:bCs w:val="0"/>
          <w:color w:val="auto"/>
          <w:sz w:val="32"/>
          <w:highlight w:val="none"/>
          <w:lang w:eastAsia="zh-Hans"/>
        </w:rPr>
      </w:pPr>
      <w:bookmarkStart w:id="27" w:name="_Toc1171373420"/>
      <w:bookmarkStart w:id="28" w:name="_Toc923472360"/>
      <w:r>
        <w:rPr>
          <w:rFonts w:hint="eastAsia" w:ascii="仿宋_GB2312" w:hAnsi="仿宋_GB2312" w:eastAsia="仿宋_GB2312" w:cs="仿宋_GB2312"/>
          <w:b/>
          <w:bCs w:val="0"/>
          <w:color w:val="auto"/>
          <w:sz w:val="32"/>
          <w:szCs w:val="32"/>
          <w:highlight w:val="none"/>
          <w:lang w:eastAsia="zh-Hans"/>
        </w:rPr>
        <w:t>（二）政策投入产出比低，资金效益待提高</w:t>
      </w:r>
      <w:bookmarkEnd w:id="27"/>
      <w:bookmarkEnd w:id="28"/>
    </w:p>
    <w:p>
      <w:pPr>
        <w:spacing w:line="560" w:lineRule="exact"/>
        <w:ind w:firstLine="640" w:firstLineChars="200"/>
        <w:outlineLvl w:val="2"/>
        <w:rPr>
          <w:rFonts w:ascii="仿宋_GB2312" w:hAnsi="仿宋_GB2312" w:eastAsia="仿宋_GB2312" w:cs="仿宋_GB2312"/>
          <w:b/>
          <w:bCs w:val="0"/>
          <w:color w:val="auto"/>
          <w:sz w:val="32"/>
          <w:highlight w:val="none"/>
          <w:lang w:eastAsia="zh-Hans"/>
        </w:rPr>
      </w:pPr>
      <w:r>
        <w:rPr>
          <w:rFonts w:hint="eastAsia" w:ascii="仿宋_GB2312" w:hAnsi="仿宋_GB2312" w:eastAsia="仿宋_GB2312" w:cs="仿宋_GB2312"/>
          <w:color w:val="auto"/>
          <w:sz w:val="32"/>
          <w:szCs w:val="32"/>
          <w:highlight w:val="none"/>
          <w:u w:val="none"/>
        </w:rPr>
        <w:t>经梳理，</w:t>
      </w:r>
      <w:r>
        <w:rPr>
          <w:rFonts w:hint="eastAsia" w:ascii="仿宋_GB2312" w:hAnsi="仿宋_GB2312" w:eastAsia="仿宋_GB2312" w:cs="仿宋_GB2312"/>
          <w:color w:val="auto"/>
          <w:sz w:val="32"/>
          <w:szCs w:val="32"/>
          <w:highlight w:val="none"/>
          <w:u w:val="none"/>
          <w:lang w:eastAsia="zh-CN"/>
        </w:rPr>
        <w:t>本政策虽然能在一定程度上鼓励企业申报国高，</w:t>
      </w:r>
      <w:r>
        <w:rPr>
          <w:rFonts w:hint="eastAsia" w:ascii="仿宋_GB2312" w:hAnsi="仿宋_GB2312" w:eastAsia="仿宋_GB2312" w:cs="仿宋_GB2312"/>
          <w:color w:val="auto"/>
          <w:sz w:val="32"/>
          <w:szCs w:val="32"/>
          <w:highlight w:val="none"/>
          <w:u w:val="none"/>
        </w:rPr>
        <w:t>但投入高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除完成</w:t>
      </w:r>
      <w:r>
        <w:rPr>
          <w:rFonts w:hint="eastAsia" w:ascii="仿宋_GB2312" w:hAnsi="仿宋_GB2312" w:eastAsia="仿宋_GB2312" w:cs="仿宋_GB2312"/>
          <w:color w:val="auto"/>
          <w:sz w:val="32"/>
          <w:szCs w:val="32"/>
          <w:highlight w:val="none"/>
          <w:u w:val="none"/>
          <w:lang w:eastAsia="zh-CN"/>
        </w:rPr>
        <w:t>市对区</w:t>
      </w:r>
      <w:r>
        <w:rPr>
          <w:rFonts w:hint="eastAsia" w:ascii="仿宋_GB2312" w:hAnsi="仿宋_GB2312" w:eastAsia="仿宋_GB2312" w:cs="仿宋_GB2312"/>
          <w:color w:val="auto"/>
          <w:sz w:val="32"/>
          <w:szCs w:val="32"/>
          <w:highlight w:val="none"/>
          <w:u w:val="none"/>
        </w:rPr>
        <w:t>考核外</w:t>
      </w:r>
      <w:r>
        <w:rPr>
          <w:rFonts w:hint="eastAsia" w:ascii="仿宋_GB2312" w:hAnsi="仿宋_GB2312" w:eastAsia="仿宋_GB2312" w:cs="仿宋_GB2312"/>
          <w:color w:val="auto"/>
          <w:sz w:val="32"/>
          <w:szCs w:val="32"/>
          <w:highlight w:val="none"/>
          <w:u w:val="none"/>
          <w:lang w:eastAsia="zh-CN"/>
        </w:rPr>
        <w:t>，本政策在</w:t>
      </w:r>
      <w:r>
        <w:rPr>
          <w:rFonts w:hint="eastAsia" w:ascii="仿宋_GB2312" w:hAnsi="仿宋_GB2312" w:eastAsia="仿宋_GB2312" w:cs="仿宋_GB2312"/>
          <w:color w:val="auto"/>
          <w:sz w:val="32"/>
          <w:szCs w:val="32"/>
          <w:highlight w:val="none"/>
          <w:u w:val="none"/>
        </w:rPr>
        <w:t>其他</w:t>
      </w:r>
      <w:r>
        <w:rPr>
          <w:rFonts w:hint="eastAsia" w:ascii="仿宋_GB2312" w:hAnsi="仿宋_GB2312" w:eastAsia="仿宋_GB2312" w:cs="仿宋_GB2312"/>
          <w:color w:val="auto"/>
          <w:sz w:val="32"/>
          <w:szCs w:val="32"/>
          <w:highlight w:val="none"/>
          <w:u w:val="none"/>
          <w:lang w:eastAsia="zh-CN"/>
        </w:rPr>
        <w:t>方面的</w:t>
      </w:r>
      <w:r>
        <w:rPr>
          <w:rFonts w:hint="eastAsia" w:ascii="仿宋_GB2312" w:hAnsi="仿宋_GB2312" w:eastAsia="仿宋_GB2312" w:cs="仿宋_GB2312"/>
          <w:color w:val="auto"/>
          <w:sz w:val="32"/>
          <w:szCs w:val="32"/>
          <w:highlight w:val="none"/>
          <w:u w:val="none"/>
        </w:rPr>
        <w:t>效益</w:t>
      </w:r>
      <w:r>
        <w:rPr>
          <w:rFonts w:hint="eastAsia" w:ascii="仿宋_GB2312" w:hAnsi="仿宋_GB2312" w:eastAsia="仿宋_GB2312" w:cs="仿宋_GB2312"/>
          <w:color w:val="auto"/>
          <w:sz w:val="32"/>
          <w:szCs w:val="32"/>
          <w:highlight w:val="none"/>
          <w:u w:val="none"/>
          <w:lang w:eastAsia="zh-CN"/>
        </w:rPr>
        <w:t>不显著</w:t>
      </w:r>
      <w:r>
        <w:rPr>
          <w:rFonts w:hint="eastAsia" w:ascii="仿宋_GB2312" w:hAnsi="仿宋_GB2312" w:eastAsia="仿宋_GB2312" w:cs="仿宋_GB2312"/>
          <w:color w:val="auto"/>
          <w:sz w:val="32"/>
          <w:szCs w:val="32"/>
          <w:highlight w:val="none"/>
          <w:u w:val="none"/>
        </w:rPr>
        <w:t>。</w:t>
      </w:r>
    </w:p>
    <w:p>
      <w:pPr>
        <w:spacing w:line="560" w:lineRule="exact"/>
        <w:ind w:firstLine="642" w:firstLineChars="200"/>
        <w:outlineLvl w:val="1"/>
        <w:rPr>
          <w:rFonts w:ascii="仿宋_GB2312" w:hAnsi="仿宋_GB2312" w:eastAsia="仿宋_GB2312" w:cs="仿宋_GB2312"/>
          <w:b/>
          <w:bCs w:val="0"/>
          <w:color w:val="auto"/>
          <w:sz w:val="32"/>
          <w:szCs w:val="32"/>
          <w:highlight w:val="none"/>
          <w:lang w:eastAsia="zh-Hans"/>
        </w:rPr>
      </w:pPr>
      <w:bookmarkStart w:id="29" w:name="_Toc1290477891"/>
      <w:bookmarkStart w:id="30" w:name="_Toc971121260"/>
      <w:r>
        <w:rPr>
          <w:rFonts w:hint="eastAsia" w:ascii="仿宋_GB2312" w:hAnsi="仿宋_GB2312" w:eastAsia="仿宋_GB2312" w:cs="仿宋_GB2312"/>
          <w:b/>
          <w:bCs w:val="0"/>
          <w:color w:val="auto"/>
          <w:sz w:val="32"/>
          <w:szCs w:val="32"/>
          <w:highlight w:val="none"/>
          <w:lang w:eastAsia="zh-Hans"/>
        </w:rPr>
        <w:t>（三）政策</w:t>
      </w:r>
      <w:r>
        <w:rPr>
          <w:rFonts w:hint="eastAsia" w:ascii="仿宋_GB2312" w:hAnsi="仿宋_GB2312" w:eastAsia="仿宋_GB2312" w:cs="仿宋_GB2312"/>
          <w:b/>
          <w:bCs w:val="0"/>
          <w:color w:val="auto"/>
          <w:sz w:val="32"/>
          <w:szCs w:val="32"/>
          <w:highlight w:val="none"/>
          <w:lang w:eastAsia="zh-CN"/>
        </w:rPr>
        <w:t>条款制定欠佳</w:t>
      </w:r>
      <w:r>
        <w:rPr>
          <w:rFonts w:hint="eastAsia" w:ascii="仿宋_GB2312" w:hAnsi="仿宋_GB2312" w:eastAsia="仿宋_GB2312" w:cs="仿宋_GB2312"/>
          <w:b/>
          <w:bCs w:val="0"/>
          <w:color w:val="auto"/>
          <w:sz w:val="32"/>
          <w:szCs w:val="32"/>
          <w:highlight w:val="none"/>
          <w:lang w:eastAsia="zh-Hans"/>
        </w:rPr>
        <w:t>，</w:t>
      </w:r>
      <w:r>
        <w:rPr>
          <w:rFonts w:hint="eastAsia" w:ascii="仿宋_GB2312" w:hAnsi="仿宋_GB2312" w:eastAsia="仿宋_GB2312" w:cs="仿宋_GB2312"/>
          <w:b/>
          <w:bCs w:val="0"/>
          <w:color w:val="auto"/>
          <w:sz w:val="32"/>
          <w:szCs w:val="32"/>
          <w:highlight w:val="none"/>
        </w:rPr>
        <w:t>存在撒胡椒面现象</w:t>
      </w:r>
      <w:bookmarkEnd w:id="29"/>
      <w:bookmarkEnd w:id="30"/>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龙华</w:t>
      </w:r>
      <w:r>
        <w:rPr>
          <w:rFonts w:hint="eastAsia" w:ascii="仿宋_GB2312" w:hAnsi="仿宋_GB2312" w:eastAsia="仿宋_GB2312" w:cs="仿宋_GB2312"/>
          <w:color w:val="auto"/>
          <w:sz w:val="32"/>
          <w:szCs w:val="32"/>
          <w:highlight w:val="none"/>
          <w:lang w:eastAsia="zh-CN"/>
        </w:rPr>
        <w:t>区本政策资助门槛偏低，</w:t>
      </w:r>
      <w:r>
        <w:rPr>
          <w:rFonts w:hint="eastAsia" w:ascii="仿宋_GB2312" w:hAnsi="仿宋_GB2312" w:eastAsia="仿宋_GB2312" w:cs="仿宋_GB2312"/>
          <w:color w:val="auto"/>
          <w:sz w:val="32"/>
          <w:szCs w:val="32"/>
          <w:highlight w:val="none"/>
          <w:lang w:eastAsia="zh-Hans"/>
        </w:rPr>
        <w:t>仅限制是否为国家高新技术企业和其他基本条件（是否违规、注册地址等），政策条件中不涉及企业发展阶段、产业类型和规模等要求。</w:t>
      </w:r>
    </w:p>
    <w:p>
      <w:pPr>
        <w:spacing w:line="560" w:lineRule="exact"/>
        <w:ind w:firstLine="642" w:firstLineChars="200"/>
        <w:outlineLvl w:val="1"/>
        <w:rPr>
          <w:rFonts w:ascii="仿宋_GB2312" w:hAnsi="仿宋_GB2312" w:eastAsia="仿宋_GB2312" w:cs="仿宋_GB2312"/>
          <w:b/>
          <w:bCs w:val="0"/>
          <w:color w:val="auto"/>
          <w:sz w:val="32"/>
          <w:szCs w:val="32"/>
          <w:highlight w:val="none"/>
        </w:rPr>
      </w:pPr>
      <w:bookmarkStart w:id="31" w:name="_Toc1624562984"/>
      <w:bookmarkStart w:id="32" w:name="_Toc2119871808"/>
      <w:bookmarkStart w:id="33" w:name="_Toc2146112331"/>
      <w:bookmarkStart w:id="34" w:name="_Toc2008864182"/>
      <w:r>
        <w:rPr>
          <w:rFonts w:hint="eastAsia" w:ascii="仿宋_GB2312" w:hAnsi="仿宋_GB2312" w:eastAsia="仿宋_GB2312" w:cs="仿宋_GB2312"/>
          <w:b/>
          <w:bCs w:val="0"/>
          <w:color w:val="auto"/>
          <w:sz w:val="32"/>
          <w:szCs w:val="32"/>
          <w:highlight w:val="none"/>
          <w:lang w:eastAsia="zh-Hans"/>
        </w:rPr>
        <w:t>（四）监管约束机制不健全，全流程管理待加强</w:t>
      </w:r>
      <w:bookmarkEnd w:id="31"/>
      <w:bookmarkEnd w:id="32"/>
      <w:bookmarkEnd w:id="33"/>
      <w:bookmarkEnd w:id="34"/>
    </w:p>
    <w:p>
      <w:pPr>
        <w:spacing w:line="240" w:lineRule="atLeast"/>
        <w:ind w:firstLine="640" w:firstLineChars="200"/>
        <w:rPr>
          <w:rFonts w:ascii="仿宋_GB2312" w:hAnsi="仿宋_GB2312" w:eastAsia="仿宋_GB2312" w:cs="仿宋_GB2312"/>
          <w:bCs w:val="0"/>
          <w:color w:val="auto"/>
          <w:sz w:val="22"/>
          <w:szCs w:val="22"/>
          <w:highlight w:val="none"/>
          <w:lang w:eastAsia="zh-Hans"/>
        </w:rPr>
      </w:pPr>
      <w:r>
        <w:rPr>
          <w:rFonts w:hint="eastAsia" w:ascii="仿宋_GB2312" w:hAnsi="仿宋_GB2312" w:eastAsia="仿宋_GB2312" w:cs="仿宋_GB2312"/>
          <w:color w:val="auto"/>
          <w:sz w:val="32"/>
          <w:szCs w:val="32"/>
          <w:highlight w:val="none"/>
          <w:lang w:val="en-US" w:eastAsia="zh-Hans"/>
        </w:rPr>
        <w:t>龙华</w:t>
      </w:r>
      <w:r>
        <w:rPr>
          <w:rFonts w:hint="eastAsia" w:ascii="仿宋_GB2312" w:hAnsi="仿宋_GB2312" w:eastAsia="仿宋_GB2312" w:cs="仿宋_GB2312"/>
          <w:color w:val="auto"/>
          <w:sz w:val="32"/>
          <w:szCs w:val="32"/>
          <w:highlight w:val="none"/>
          <w:lang w:val="en-US" w:eastAsia="zh-CN"/>
        </w:rPr>
        <w:t>区本政策资助</w:t>
      </w:r>
      <w:r>
        <w:rPr>
          <w:rFonts w:hint="eastAsia" w:ascii="仿宋_GB2312" w:hAnsi="仿宋_GB2312" w:eastAsia="仿宋_GB2312" w:cs="仿宋_GB2312"/>
          <w:color w:val="auto"/>
          <w:sz w:val="32"/>
          <w:szCs w:val="32"/>
          <w:highlight w:val="none"/>
          <w:lang w:val="en-US" w:eastAsia="zh-Hans"/>
        </w:rPr>
        <w:t>台账管理和全面回访机制待健全，预算绩效管理规范</w:t>
      </w:r>
      <w:r>
        <w:rPr>
          <w:rFonts w:hint="eastAsia" w:ascii="仿宋_GB2312" w:hAnsi="仿宋_GB2312" w:eastAsia="仿宋_GB2312" w:cs="仿宋_GB2312"/>
          <w:color w:val="auto"/>
          <w:sz w:val="32"/>
          <w:szCs w:val="32"/>
          <w:highlight w:val="none"/>
          <w:lang w:val="en-US" w:eastAsia="zh-CN"/>
        </w:rPr>
        <w:t>性有待加强，部分</w:t>
      </w:r>
      <w:r>
        <w:rPr>
          <w:rFonts w:hint="eastAsia" w:ascii="仿宋_GB2312" w:hAnsi="仿宋_GB2312" w:eastAsia="仿宋_GB2312" w:cs="仿宋_GB2312"/>
          <w:color w:val="auto"/>
          <w:sz w:val="32"/>
          <w:szCs w:val="32"/>
          <w:highlight w:val="none"/>
          <w:lang w:val="en-US" w:eastAsia="zh-Hans"/>
        </w:rPr>
        <w:t>受资助企业经营异常，</w:t>
      </w:r>
      <w:r>
        <w:rPr>
          <w:rFonts w:hint="eastAsia" w:ascii="仿宋_GB2312" w:hAnsi="仿宋_GB2312" w:eastAsia="仿宋_GB2312" w:cs="仿宋_GB2312"/>
          <w:color w:val="auto"/>
          <w:sz w:val="32"/>
          <w:szCs w:val="32"/>
          <w:highlight w:val="none"/>
          <w:lang w:val="en-US" w:eastAsia="zh-CN"/>
        </w:rPr>
        <w:t>存在一定</w:t>
      </w:r>
      <w:r>
        <w:rPr>
          <w:rFonts w:hint="eastAsia" w:ascii="仿宋_GB2312" w:hAnsi="仿宋_GB2312" w:eastAsia="仿宋_GB2312" w:cs="仿宋_GB2312"/>
          <w:color w:val="auto"/>
          <w:sz w:val="32"/>
          <w:szCs w:val="32"/>
          <w:highlight w:val="none"/>
          <w:lang w:val="en-US" w:eastAsia="zh-Hans"/>
        </w:rPr>
        <w:t>骗补风险</w:t>
      </w:r>
      <w:r>
        <w:rPr>
          <w:rFonts w:hint="eastAsia" w:ascii="仿宋_GB2312" w:hAnsi="仿宋_GB2312" w:eastAsia="仿宋_GB2312" w:cs="仿宋_GB2312"/>
          <w:color w:val="auto"/>
          <w:sz w:val="32"/>
          <w:szCs w:val="32"/>
          <w:highlight w:val="none"/>
          <w:lang w:val="en-US" w:eastAsia="zh-CN"/>
        </w:rPr>
        <w:t>。</w:t>
      </w:r>
    </w:p>
    <w:p>
      <w:pPr>
        <w:tabs>
          <w:tab w:val="left" w:pos="499"/>
        </w:tabs>
        <w:spacing w:line="560" w:lineRule="exact"/>
        <w:ind w:firstLine="640" w:firstLineChars="200"/>
        <w:outlineLvl w:val="0"/>
        <w:rPr>
          <w:rFonts w:ascii="黑体" w:hAnsi="黑体" w:eastAsia="黑体" w:cs="黑体"/>
          <w:color w:val="auto"/>
          <w:sz w:val="32"/>
          <w:highlight w:val="none"/>
          <w:lang w:eastAsia="zh-Hans"/>
        </w:rPr>
      </w:pPr>
      <w:bookmarkStart w:id="35" w:name="_Toc242408740"/>
      <w:bookmarkStart w:id="36" w:name="_Toc922984130"/>
      <w:bookmarkStart w:id="37" w:name="_Toc1723080255"/>
      <w:bookmarkStart w:id="38" w:name="_Toc1759321171"/>
      <w:r>
        <w:rPr>
          <w:rFonts w:hint="eastAsia" w:ascii="黑体" w:hAnsi="黑体" w:eastAsia="黑体" w:cs="黑体"/>
          <w:color w:val="auto"/>
          <w:sz w:val="32"/>
          <w:highlight w:val="none"/>
        </w:rPr>
        <w:t>五</w:t>
      </w:r>
      <w:r>
        <w:rPr>
          <w:rFonts w:hint="eastAsia" w:ascii="黑体" w:hAnsi="黑体" w:eastAsia="黑体" w:cs="黑体"/>
          <w:color w:val="auto"/>
          <w:sz w:val="32"/>
          <w:highlight w:val="none"/>
          <w:lang w:eastAsia="zh-Hans"/>
        </w:rPr>
        <w:t>、相关建议</w:t>
      </w:r>
      <w:bookmarkEnd w:id="35"/>
      <w:bookmarkEnd w:id="36"/>
      <w:bookmarkEnd w:id="37"/>
      <w:bookmarkEnd w:id="38"/>
    </w:p>
    <w:p>
      <w:pPr>
        <w:spacing w:line="560" w:lineRule="exact"/>
        <w:ind w:firstLine="642" w:firstLineChars="200"/>
        <w:outlineLvl w:val="1"/>
        <w:rPr>
          <w:rFonts w:ascii="仿宋_GB2312" w:hAnsi="仿宋_GB2312" w:eastAsia="仿宋_GB2312" w:cs="仿宋_GB2312"/>
          <w:b/>
          <w:bCs w:val="0"/>
          <w:color w:val="auto"/>
          <w:sz w:val="32"/>
          <w:szCs w:val="32"/>
          <w:highlight w:val="none"/>
          <w:lang w:eastAsia="zh-Hans"/>
        </w:rPr>
      </w:pPr>
      <w:bookmarkStart w:id="39" w:name="_Toc387214821"/>
      <w:bookmarkStart w:id="40" w:name="_Toc403372796"/>
      <w:bookmarkStart w:id="41" w:name="_Toc1319890629"/>
      <w:bookmarkStart w:id="42" w:name="_Toc1318867506"/>
      <w:r>
        <w:rPr>
          <w:rFonts w:hint="eastAsia" w:ascii="仿宋_GB2312" w:hAnsi="仿宋_GB2312" w:eastAsia="仿宋_GB2312" w:cs="仿宋_GB2312"/>
          <w:b/>
          <w:bCs w:val="0"/>
          <w:color w:val="auto"/>
          <w:sz w:val="32"/>
          <w:szCs w:val="32"/>
          <w:highlight w:val="none"/>
          <w:lang w:eastAsia="zh-Hans"/>
        </w:rPr>
        <w:t>（一）优化条款设置，增强政策扶持的精准性</w:t>
      </w:r>
      <w:bookmarkEnd w:id="39"/>
      <w:bookmarkEnd w:id="40"/>
      <w:bookmarkEnd w:id="41"/>
      <w:bookmarkEnd w:id="42"/>
    </w:p>
    <w:p>
      <w:pPr>
        <w:spacing w:line="560" w:lineRule="exact"/>
        <w:ind w:firstLine="640" w:firstLineChars="200"/>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Hans"/>
        </w:rPr>
        <w:t>取消普惠资助，强化对重点行业的扶持</w:t>
      </w:r>
      <w:r>
        <w:rPr>
          <w:rFonts w:hint="eastAsia" w:ascii="仿宋_GB2312" w:hAnsi="仿宋_GB2312" w:eastAsia="仿宋_GB2312" w:cs="仿宋_GB2312"/>
          <w:color w:val="auto"/>
          <w:sz w:val="32"/>
          <w:szCs w:val="32"/>
          <w:highlight w:val="none"/>
          <w:lang w:eastAsia="zh-CN"/>
        </w:rPr>
        <w:t>，考虑当前财政预算紧、约束紧、平衡特征更加凸显，</w:t>
      </w:r>
      <w:r>
        <w:rPr>
          <w:rFonts w:hint="eastAsia" w:ascii="仿宋_GB2312" w:hAnsi="仿宋_GB2312" w:eastAsia="仿宋_GB2312" w:cs="仿宋_GB2312"/>
          <w:color w:val="auto"/>
          <w:sz w:val="32"/>
          <w:szCs w:val="32"/>
          <w:highlight w:val="none"/>
          <w:lang w:eastAsia="zh-Hans"/>
        </w:rPr>
        <w:t>建议</w:t>
      </w:r>
      <w:r>
        <w:rPr>
          <w:rFonts w:hint="eastAsia" w:ascii="仿宋_GB2312" w:hAnsi="仿宋_GB2312" w:eastAsia="仿宋_GB2312" w:cs="仿宋_GB2312"/>
          <w:color w:val="auto"/>
          <w:sz w:val="32"/>
          <w:szCs w:val="32"/>
          <w:highlight w:val="none"/>
          <w:lang w:eastAsia="zh-CN"/>
        </w:rPr>
        <w:t>区科创局按照量入为出、厉行节约的原则，</w:t>
      </w:r>
      <w:r>
        <w:rPr>
          <w:rFonts w:hint="eastAsia" w:ascii="仿宋_GB2312" w:hAnsi="仿宋_GB2312" w:eastAsia="仿宋_GB2312" w:cs="仿宋_GB2312"/>
          <w:color w:val="auto"/>
          <w:sz w:val="32"/>
          <w:szCs w:val="32"/>
          <w:highlight w:val="none"/>
          <w:lang w:eastAsia="zh-Hans"/>
        </w:rPr>
        <w:t>取消现行普惠型资助，将国高</w:t>
      </w:r>
      <w:r>
        <w:rPr>
          <w:rFonts w:hint="eastAsia" w:ascii="仿宋_GB2312" w:hAnsi="仿宋_GB2312" w:eastAsia="仿宋_GB2312" w:cs="仿宋_GB2312"/>
          <w:color w:val="auto"/>
          <w:sz w:val="32"/>
          <w:szCs w:val="32"/>
          <w:highlight w:val="none"/>
          <w:lang w:eastAsia="zh-CN"/>
        </w:rPr>
        <w:t>认定</w:t>
      </w:r>
      <w:r>
        <w:rPr>
          <w:rFonts w:hint="eastAsia" w:ascii="仿宋_GB2312" w:hAnsi="仿宋_GB2312" w:eastAsia="仿宋_GB2312" w:cs="仿宋_GB2312"/>
          <w:color w:val="auto"/>
          <w:sz w:val="32"/>
          <w:szCs w:val="32"/>
          <w:highlight w:val="none"/>
          <w:lang w:eastAsia="zh-Hans"/>
        </w:rPr>
        <w:t>奖励与产业发展规划相结合，立足</w:t>
      </w:r>
      <w:r>
        <w:rPr>
          <w:rFonts w:hint="default" w:ascii="仿宋_GB2312" w:hAnsi="仿宋_GB2312" w:eastAsia="仿宋_GB2312" w:cs="仿宋_GB2312"/>
          <w:color w:val="auto"/>
          <w:sz w:val="32"/>
          <w:szCs w:val="32"/>
          <w:highlight w:val="none"/>
          <w:lang w:val="en" w:eastAsia="zh-Hans"/>
        </w:rPr>
        <w:t>龙华区</w:t>
      </w:r>
      <w:r>
        <w:rPr>
          <w:rFonts w:hint="eastAsia" w:ascii="仿宋_GB2312" w:hAnsi="仿宋_GB2312" w:eastAsia="仿宋_GB2312" w:cs="仿宋_GB2312"/>
          <w:color w:val="auto"/>
          <w:sz w:val="32"/>
          <w:szCs w:val="32"/>
          <w:highlight w:val="none"/>
          <w:lang w:eastAsia="zh-Hans"/>
        </w:rPr>
        <w:t>构建“12+4”产业集群</w:t>
      </w:r>
      <w:r>
        <w:rPr>
          <w:rFonts w:hint="eastAsia" w:ascii="仿宋_GB2312" w:hAnsi="仿宋_GB2312" w:eastAsia="仿宋_GB2312" w:cs="仿宋_GB2312"/>
          <w:color w:val="auto"/>
          <w:sz w:val="32"/>
          <w:szCs w:val="32"/>
          <w:highlight w:val="none"/>
          <w:lang w:eastAsia="zh-CN"/>
        </w:rPr>
        <w:t>及“1+2+3”现代产业体系</w:t>
      </w:r>
      <w:r>
        <w:rPr>
          <w:rFonts w:hint="eastAsia" w:ascii="仿宋_GB2312" w:hAnsi="仿宋_GB2312" w:eastAsia="仿宋_GB2312" w:cs="仿宋_GB2312"/>
          <w:color w:val="auto"/>
          <w:sz w:val="32"/>
          <w:szCs w:val="32"/>
          <w:highlight w:val="none"/>
          <w:lang w:eastAsia="zh-Hans"/>
        </w:rPr>
        <w:t>的工作部署，以清单方式明确重点扶持行业，仅对清单内的企业进行资助，充分发挥财政资金优化</w:t>
      </w:r>
      <w:r>
        <w:rPr>
          <w:rFonts w:hint="default" w:ascii="仿宋_GB2312" w:hAnsi="仿宋_GB2312" w:eastAsia="仿宋_GB2312" w:cs="仿宋_GB2312"/>
          <w:color w:val="auto"/>
          <w:sz w:val="32"/>
          <w:szCs w:val="32"/>
          <w:highlight w:val="none"/>
          <w:lang w:val="en" w:eastAsia="zh-Hans"/>
        </w:rPr>
        <w:t>龙华区</w:t>
      </w:r>
      <w:r>
        <w:rPr>
          <w:rFonts w:hint="eastAsia" w:ascii="仿宋_GB2312" w:hAnsi="仿宋_GB2312" w:eastAsia="仿宋_GB2312" w:cs="仿宋_GB2312"/>
          <w:color w:val="auto"/>
          <w:sz w:val="32"/>
          <w:szCs w:val="32"/>
          <w:highlight w:val="none"/>
          <w:lang w:eastAsia="zh-Hans"/>
        </w:rPr>
        <w:t>产业布局的积极作用。设置奖励梯度，通过梯度培育鼓励竞争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Hans"/>
        </w:rPr>
        <w:t>增设约束条款，增强政策的留企、激励效果</w:t>
      </w:r>
      <w:r>
        <w:rPr>
          <w:rFonts w:hint="eastAsia" w:ascii="仿宋_GB2312" w:hAnsi="仿宋_GB2312" w:eastAsia="仿宋_GB2312" w:cs="仿宋_GB2312"/>
          <w:color w:val="auto"/>
          <w:sz w:val="32"/>
          <w:szCs w:val="32"/>
          <w:highlight w:val="none"/>
          <w:lang w:eastAsia="zh-CN"/>
        </w:rPr>
        <w:t>。</w:t>
      </w:r>
    </w:p>
    <w:p>
      <w:pPr>
        <w:spacing w:line="560" w:lineRule="exact"/>
        <w:ind w:firstLine="642" w:firstLineChars="200"/>
        <w:outlineLvl w:val="1"/>
        <w:rPr>
          <w:rFonts w:ascii="仿宋_GB2312" w:hAnsi="仿宋_GB2312" w:eastAsia="仿宋_GB2312" w:cs="仿宋_GB2312"/>
          <w:b/>
          <w:bCs w:val="0"/>
          <w:color w:val="auto"/>
          <w:sz w:val="32"/>
          <w:szCs w:val="32"/>
          <w:highlight w:val="none"/>
          <w:lang w:eastAsia="zh-Hans"/>
        </w:rPr>
      </w:pPr>
      <w:bookmarkStart w:id="43" w:name="_Toc1044046137"/>
      <w:bookmarkStart w:id="44" w:name="_Toc2043211740"/>
      <w:bookmarkStart w:id="45" w:name="_Toc1817626874"/>
      <w:bookmarkStart w:id="46" w:name="_Toc1793965334"/>
      <w:r>
        <w:rPr>
          <w:rFonts w:hint="eastAsia" w:ascii="仿宋_GB2312" w:hAnsi="仿宋_GB2312" w:eastAsia="仿宋_GB2312" w:cs="仿宋_GB2312"/>
          <w:b/>
          <w:bCs w:val="0"/>
          <w:color w:val="auto"/>
          <w:sz w:val="32"/>
          <w:szCs w:val="32"/>
          <w:highlight w:val="none"/>
          <w:lang w:eastAsia="zh-Hans"/>
        </w:rPr>
        <w:t>（二）完善监管机制，提高政策</w:t>
      </w:r>
      <w:r>
        <w:rPr>
          <w:rFonts w:hint="eastAsia" w:ascii="仿宋_GB2312" w:hAnsi="仿宋_GB2312" w:eastAsia="仿宋_GB2312" w:cs="仿宋_GB2312"/>
          <w:b/>
          <w:bCs w:val="0"/>
          <w:color w:val="auto"/>
          <w:sz w:val="32"/>
          <w:szCs w:val="32"/>
          <w:highlight w:val="none"/>
          <w:lang w:eastAsia="zh-CN"/>
        </w:rPr>
        <w:t>执行的</w:t>
      </w:r>
      <w:r>
        <w:rPr>
          <w:rFonts w:hint="eastAsia" w:ascii="仿宋_GB2312" w:hAnsi="仿宋_GB2312" w:eastAsia="仿宋_GB2312" w:cs="仿宋_GB2312"/>
          <w:b/>
          <w:bCs w:val="0"/>
          <w:color w:val="auto"/>
          <w:sz w:val="32"/>
          <w:szCs w:val="32"/>
          <w:highlight w:val="none"/>
          <w:lang w:eastAsia="zh-Hans"/>
        </w:rPr>
        <w:t>合规性</w:t>
      </w:r>
      <w:bookmarkEnd w:id="43"/>
      <w:bookmarkEnd w:id="44"/>
      <w:bookmarkEnd w:id="45"/>
      <w:bookmarkEnd w:id="46"/>
    </w:p>
    <w:p>
      <w:pPr>
        <w:ind w:firstLine="642" w:firstLineChars="20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Hans"/>
        </w:rPr>
        <w:t>一是</w:t>
      </w:r>
      <w:r>
        <w:rPr>
          <w:rFonts w:hint="eastAsia" w:ascii="仿宋_GB2312" w:hAnsi="仿宋_GB2312" w:eastAsia="仿宋_GB2312" w:cs="仿宋_GB2312"/>
          <w:color w:val="auto"/>
          <w:sz w:val="32"/>
          <w:szCs w:val="32"/>
          <w:highlight w:val="none"/>
          <w:lang w:eastAsia="zh-Hans"/>
        </w:rPr>
        <w:t>严格补贴</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CN"/>
        </w:rPr>
        <w:t>确保合规发补。</w:t>
      </w:r>
      <w:r>
        <w:rPr>
          <w:rFonts w:hint="eastAsia" w:ascii="仿宋_GB2312" w:hAnsi="仿宋_GB2312" w:eastAsia="仿宋_GB2312" w:cs="仿宋_GB2312"/>
          <w:b/>
          <w:bCs w:val="0"/>
          <w:color w:val="auto"/>
          <w:sz w:val="32"/>
          <w:szCs w:val="32"/>
          <w:highlight w:val="none"/>
          <w:lang w:eastAsia="zh-CN"/>
        </w:rPr>
        <w:t>二</w:t>
      </w:r>
      <w:r>
        <w:rPr>
          <w:rFonts w:hint="eastAsia" w:ascii="仿宋_GB2312" w:hAnsi="仿宋_GB2312" w:eastAsia="仿宋_GB2312" w:cs="仿宋_GB2312"/>
          <w:b/>
          <w:bCs w:val="0"/>
          <w:color w:val="auto"/>
          <w:sz w:val="32"/>
          <w:szCs w:val="32"/>
          <w:highlight w:val="none"/>
          <w:lang w:eastAsia="zh-Hans"/>
        </w:rPr>
        <w:t>是</w:t>
      </w:r>
      <w:r>
        <w:rPr>
          <w:rFonts w:hint="eastAsia" w:ascii="仿宋_GB2312" w:hAnsi="仿宋_GB2312" w:eastAsia="仿宋_GB2312" w:cs="仿宋_GB2312"/>
          <w:b w:val="0"/>
          <w:bCs/>
          <w:color w:val="auto"/>
          <w:sz w:val="32"/>
          <w:szCs w:val="32"/>
          <w:highlight w:val="none"/>
          <w:lang w:val="en-US" w:eastAsia="zh-CN"/>
        </w:rPr>
        <w:t>强化部门联动，形成监管合力。</w:t>
      </w:r>
      <w:r>
        <w:rPr>
          <w:rFonts w:hint="eastAsia" w:ascii="仿宋_GB2312" w:hAnsi="仿宋_GB2312" w:eastAsia="仿宋_GB2312" w:cs="仿宋_GB2312"/>
          <w:b/>
          <w:bCs w:val="0"/>
          <w:color w:val="auto"/>
          <w:sz w:val="32"/>
          <w:szCs w:val="32"/>
          <w:highlight w:val="none"/>
          <w:lang w:val="en-US" w:eastAsia="zh-CN"/>
        </w:rPr>
        <w:t>三是</w:t>
      </w:r>
      <w:r>
        <w:rPr>
          <w:rFonts w:hint="eastAsia" w:ascii="仿宋_GB2312" w:hAnsi="仿宋_GB2312" w:eastAsia="仿宋_GB2312" w:cs="仿宋_GB2312"/>
          <w:b w:val="0"/>
          <w:bCs/>
          <w:color w:val="auto"/>
          <w:sz w:val="32"/>
          <w:szCs w:val="32"/>
          <w:highlight w:val="none"/>
          <w:lang w:eastAsia="zh-Hans"/>
        </w:rPr>
        <w:t>实施台账管理，加强质效评估</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bCs w:val="0"/>
          <w:color w:val="auto"/>
          <w:sz w:val="32"/>
          <w:szCs w:val="32"/>
          <w:highlight w:val="none"/>
          <w:lang w:val="en-US" w:eastAsia="zh-CN"/>
        </w:rPr>
        <w:t>四是</w:t>
      </w:r>
      <w:r>
        <w:rPr>
          <w:rFonts w:hint="eastAsia" w:ascii="仿宋_GB2312" w:hAnsi="仿宋_GB2312" w:eastAsia="仿宋_GB2312" w:cs="仿宋_GB2312"/>
          <w:b w:val="0"/>
          <w:bCs/>
          <w:color w:val="auto"/>
          <w:sz w:val="32"/>
          <w:szCs w:val="32"/>
          <w:highlight w:val="none"/>
          <w:lang w:eastAsia="zh-Hans"/>
        </w:rPr>
        <w:t>建立回访机制，及时评估风险</w:t>
      </w:r>
      <w:r>
        <w:rPr>
          <w:rFonts w:hint="eastAsia" w:ascii="仿宋_GB2312" w:hAnsi="仿宋_GB2312" w:eastAsia="仿宋_GB2312" w:cs="仿宋_GB2312"/>
          <w:b w:val="0"/>
          <w:bCs/>
          <w:color w:val="auto"/>
          <w:sz w:val="32"/>
          <w:szCs w:val="32"/>
          <w:highlight w:val="none"/>
          <w:lang w:eastAsia="zh-CN"/>
        </w:rPr>
        <w:t>。</w:t>
      </w:r>
    </w:p>
    <w:p>
      <w:pPr>
        <w:spacing w:line="560" w:lineRule="exact"/>
        <w:ind w:firstLine="642" w:firstLineChars="200"/>
        <w:outlineLvl w:val="1"/>
        <w:rPr>
          <w:rFonts w:hint="eastAsia" w:ascii="仿宋_GB2312" w:hAnsi="仿宋_GB2312" w:eastAsia="仿宋_GB2312" w:cs="仿宋_GB2312"/>
          <w:b/>
          <w:bCs w:val="0"/>
          <w:color w:val="auto"/>
          <w:sz w:val="32"/>
          <w:szCs w:val="32"/>
          <w:highlight w:val="none"/>
          <w:lang w:eastAsia="zh-CN"/>
        </w:rPr>
      </w:pPr>
      <w:bookmarkStart w:id="47" w:name="_Toc194544922"/>
      <w:bookmarkStart w:id="48" w:name="_Toc1942047516"/>
      <w:bookmarkStart w:id="49" w:name="_Toc1996198650"/>
      <w:bookmarkStart w:id="50" w:name="_Toc1559407556"/>
      <w:r>
        <w:rPr>
          <w:rFonts w:hint="eastAsia" w:ascii="仿宋_GB2312" w:hAnsi="仿宋_GB2312" w:eastAsia="仿宋_GB2312" w:cs="仿宋_GB2312"/>
          <w:b/>
          <w:bCs w:val="0"/>
          <w:color w:val="auto"/>
          <w:sz w:val="32"/>
          <w:szCs w:val="32"/>
          <w:highlight w:val="none"/>
          <w:lang w:eastAsia="zh-Hans"/>
        </w:rPr>
        <w:t>（三）加强预算绩效管理</w:t>
      </w:r>
      <w:bookmarkEnd w:id="47"/>
      <w:bookmarkEnd w:id="48"/>
      <w:bookmarkEnd w:id="49"/>
      <w:r>
        <w:rPr>
          <w:rFonts w:hint="eastAsia" w:ascii="仿宋_GB2312" w:hAnsi="仿宋_GB2312" w:eastAsia="仿宋_GB2312" w:cs="仿宋_GB2312"/>
          <w:b/>
          <w:bCs w:val="0"/>
          <w:color w:val="auto"/>
          <w:sz w:val="32"/>
          <w:szCs w:val="32"/>
          <w:highlight w:val="none"/>
          <w:lang w:eastAsia="zh-CN"/>
        </w:rPr>
        <w:t>，提高资金使用效益</w:t>
      </w:r>
      <w:bookmarkEnd w:id="50"/>
    </w:p>
    <w:p>
      <w:pPr>
        <w:spacing w:line="560" w:lineRule="exact"/>
        <w:ind w:firstLine="640" w:firstLineChars="200"/>
        <w:outlineLvl w:val="2"/>
        <w:rPr>
          <w:rFonts w:ascii="仿宋_GB2312" w:hAnsi="仿宋_GB2312" w:eastAsia="仿宋_GB2312" w:cs="仿宋_GB2312"/>
          <w:b w:val="0"/>
          <w:bCs/>
          <w:color w:val="auto"/>
          <w:sz w:val="32"/>
          <w:szCs w:val="32"/>
          <w:highlight w:val="none"/>
          <w:lang w:eastAsia="zh-Hans"/>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_GB2312" w:hAnsi="仿宋_GB2312" w:eastAsia="仿宋_GB2312" w:cs="仿宋_GB2312"/>
          <w:b w:val="0"/>
          <w:bCs/>
          <w:color w:val="auto"/>
          <w:sz w:val="32"/>
          <w:szCs w:val="32"/>
          <w:highlight w:val="none"/>
          <w:lang w:eastAsia="zh-CN"/>
        </w:rPr>
        <w:t>不断</w:t>
      </w:r>
      <w:r>
        <w:rPr>
          <w:rFonts w:hint="eastAsia" w:ascii="仿宋_GB2312" w:hAnsi="仿宋_GB2312" w:eastAsia="仿宋_GB2312" w:cs="仿宋_GB2312"/>
          <w:b w:val="0"/>
          <w:bCs/>
          <w:color w:val="auto"/>
          <w:sz w:val="32"/>
          <w:szCs w:val="32"/>
          <w:highlight w:val="none"/>
          <w:lang w:eastAsia="zh-Hans"/>
        </w:rPr>
        <w:t>规范设置绩效目标</w:t>
      </w:r>
      <w:r>
        <w:rPr>
          <w:rFonts w:hint="eastAsia" w:ascii="仿宋_GB2312" w:hAnsi="仿宋_GB2312" w:eastAsia="仿宋_GB2312" w:cs="仿宋_GB2312"/>
          <w:b w:val="0"/>
          <w:bCs/>
          <w:color w:val="auto"/>
          <w:sz w:val="32"/>
          <w:szCs w:val="32"/>
          <w:highlight w:val="none"/>
          <w:lang w:eastAsia="zh-CN"/>
        </w:rPr>
        <w:t>，明确政策整体目标，科学设置年度绩效目标，做好</w:t>
      </w:r>
      <w:r>
        <w:rPr>
          <w:rFonts w:hint="eastAsia" w:ascii="仿宋_GB2312" w:hAnsi="仿宋_GB2312" w:eastAsia="仿宋_GB2312" w:cs="仿宋_GB2312"/>
          <w:b w:val="0"/>
          <w:bCs/>
          <w:color w:val="auto"/>
          <w:sz w:val="32"/>
          <w:szCs w:val="32"/>
          <w:highlight w:val="none"/>
          <w:lang w:eastAsia="zh-Hans"/>
        </w:rPr>
        <w:t>事前绩效评估</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强化监控自评结果应用。</w:t>
      </w:r>
    </w:p>
    <w:p>
      <w:pPr>
        <w:keepNext/>
        <w:keepLines/>
        <w:spacing w:before="156" w:beforeLines="50" w:after="156" w:afterLines="50" w:line="400" w:lineRule="exact"/>
        <w:outlineLvl w:val="0"/>
        <w:rPr>
          <w:rFonts w:ascii="仿宋_GB2312" w:hAnsi="仿宋_GB2312" w:eastAsia="仿宋_GB2312" w:cs="仿宋_GB2312"/>
          <w:color w:val="auto"/>
          <w:sz w:val="32"/>
          <w:szCs w:val="32"/>
          <w:highlight w:val="none"/>
          <w:lang w:eastAsia="zh-Hans"/>
        </w:rPr>
      </w:pPr>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宋体-简">
    <w:altName w:val="方正书宋_GBK"/>
    <w:panose1 w:val="02010600040101010101"/>
    <w:charset w:val="86"/>
    <w:family w:val="auto"/>
    <w:pitch w:val="default"/>
    <w:sig w:usb0="00000000" w:usb1="00000000" w:usb2="00000000" w:usb3="00000000" w:csb0="00160000"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3"/>
        <w:rPr>
          <w:rFonts w:hint="eastAsia" w:asciiTheme="minorEastAsia" w:hAnsiTheme="minorEastAsia" w:eastAsiaTheme="minorEastAsia" w:cstheme="minorEastAsia"/>
          <w:sz w:val="18"/>
          <w:szCs w:val="18"/>
        </w:rPr>
      </w:pPr>
      <w:r>
        <w:rPr>
          <w:rStyle w:val="23"/>
        </w:rPr>
        <w:footnoteRef/>
      </w:r>
      <w:r>
        <w:rPr>
          <w:rFonts w:hint="eastAsia" w:asciiTheme="minorEastAsia" w:hAnsiTheme="minorEastAsia" w:eastAsiaTheme="minorEastAsia" w:cstheme="minorEastAsia"/>
          <w:sz w:val="18"/>
          <w:szCs w:val="18"/>
        </w:rPr>
        <w:t>“一城四区”即在5年中（2017年—2021年），将位于深圳中轴的这片产业热土、创业热土，全力打造成创新引领的活力强区、高端制造的产业大区、绿色生态的宜居城区和民生幸福的和谐新区，努力建成现代化国际化创新型中轴新城。</w:t>
      </w:r>
    </w:p>
  </w:footnote>
  <w:footnote w:id="1">
    <w:p>
      <w:pPr>
        <w:pStyle w:val="13"/>
        <w:rPr>
          <w:rFonts w:hint="eastAsia" w:asciiTheme="minorEastAsia" w:hAnsiTheme="minorEastAsia" w:eastAsiaTheme="minorEastAsia" w:cstheme="minorEastAsia"/>
          <w:sz w:val="18"/>
          <w:szCs w:val="18"/>
        </w:rPr>
      </w:pPr>
      <w:r>
        <w:rPr>
          <w:rStyle w:val="23"/>
          <w:rFonts w:hint="eastAsia" w:asciiTheme="minorEastAsia" w:hAnsiTheme="minorEastAsia" w:eastAsiaTheme="minorEastAsia" w:cstheme="minorEastAsia"/>
          <w:sz w:val="18"/>
          <w:szCs w:val="18"/>
        </w:rPr>
        <w:footnoteRef/>
      </w:r>
      <w:r>
        <w:rPr>
          <w:rStyle w:val="23"/>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0"/>
          <w:sz w:val="18"/>
          <w:szCs w:val="18"/>
          <w:lang w:eastAsia="zh-Hans"/>
        </w:rPr>
        <w:t>2012年出台的科创专项政策，由原经济服务局负责的评估、调查、研究和编制等工作，</w:t>
      </w:r>
      <w:r>
        <w:rPr>
          <w:rFonts w:hint="eastAsia" w:asciiTheme="minorEastAsia" w:hAnsiTheme="minorEastAsia" w:eastAsiaTheme="minorEastAsia" w:cstheme="minorEastAsia"/>
          <w:sz w:val="18"/>
          <w:szCs w:val="18"/>
          <w:lang w:eastAsia="zh-Hans"/>
        </w:rPr>
        <w:t>至2017年已经实施满5年，正逢政策修订年，原经济服务局2016年12月着手开展了政策评估、调查、研究和修编等工作。</w:t>
      </w:r>
      <w:r>
        <w:rPr>
          <w:rFonts w:hint="eastAsia" w:asciiTheme="minorEastAsia" w:hAnsiTheme="minorEastAsia" w:eastAsiaTheme="minorEastAsia" w:cstheme="minorEastAsia"/>
          <w:sz w:val="18"/>
          <w:szCs w:val="18"/>
        </w:rPr>
        <w:t>2017年区科创局成立后，</w:t>
      </w:r>
      <w:r>
        <w:rPr>
          <w:rFonts w:hint="eastAsia" w:asciiTheme="minorEastAsia" w:hAnsiTheme="minorEastAsia" w:eastAsiaTheme="minorEastAsia" w:cstheme="minorEastAsia"/>
          <w:sz w:val="18"/>
          <w:szCs w:val="18"/>
          <w:lang w:eastAsia="zh-Hans"/>
        </w:rPr>
        <w:t>科创专项政策相关工作</w:t>
      </w:r>
      <w:r>
        <w:rPr>
          <w:rFonts w:hint="eastAsia" w:asciiTheme="minorEastAsia" w:hAnsiTheme="minorEastAsia" w:eastAsiaTheme="minorEastAsia" w:cstheme="minorEastAsia"/>
          <w:kern w:val="0"/>
          <w:sz w:val="18"/>
          <w:szCs w:val="18"/>
          <w:lang w:eastAsia="zh-Hans"/>
        </w:rPr>
        <w:t>转由</w:t>
      </w:r>
      <w:r>
        <w:rPr>
          <w:rFonts w:hint="eastAsia" w:asciiTheme="minorEastAsia" w:hAnsiTheme="minorEastAsia" w:eastAsiaTheme="minorEastAsia" w:cstheme="minorEastAsia"/>
          <w:sz w:val="18"/>
          <w:szCs w:val="18"/>
        </w:rPr>
        <w:t>区科创局</w:t>
      </w:r>
      <w:r>
        <w:rPr>
          <w:rFonts w:hint="eastAsia" w:asciiTheme="minorEastAsia" w:hAnsiTheme="minorEastAsia" w:eastAsiaTheme="minorEastAsia" w:cstheme="minorEastAsia"/>
          <w:kern w:val="0"/>
          <w:sz w:val="18"/>
          <w:szCs w:val="18"/>
          <w:lang w:eastAsia="zh-Hans"/>
        </w:rPr>
        <w:t>主导负责。</w:t>
      </w:r>
    </w:p>
  </w:footnote>
  <w:footnote w:id="2">
    <w:p>
      <w:pPr>
        <w:pStyle w:val="13"/>
      </w:pPr>
      <w:r>
        <w:rPr>
          <w:rStyle w:val="23"/>
          <w:rFonts w:hint="eastAsia" w:asciiTheme="minorEastAsia" w:hAnsiTheme="minorEastAsia" w:eastAsiaTheme="minorEastAsia" w:cstheme="minorEastAsia"/>
          <w:sz w:val="18"/>
          <w:szCs w:val="18"/>
        </w:rPr>
        <w:footnoteRef/>
      </w:r>
      <w:r>
        <w:rPr>
          <w:rFonts w:hint="eastAsia" w:asciiTheme="minorEastAsia" w:hAnsiTheme="minorEastAsia" w:eastAsiaTheme="minorEastAsia" w:cstheme="minorEastAsia"/>
          <w:sz w:val="18"/>
          <w:szCs w:val="18"/>
        </w:rPr>
        <w:t xml:space="preserve"> 3539宗资助，其中存在475家再次资助的企业（国高认定一次为期3年，再次认定后可继续申请龙华区国高认定奖励），实际资助306</w:t>
      </w:r>
      <w:r>
        <w:rPr>
          <w:rFonts w:hint="eastAsia" w:asciiTheme="minorEastAsia" w:hAnsiTheme="minorEastAsia" w:eastAsiaTheme="minorEastAsia" w:cstheme="minorEastAsia"/>
        </w:rPr>
        <w:t>4家企业</w:t>
      </w:r>
      <w:r>
        <w:rPr>
          <w:rFonts w:hint="eastAsia"/>
        </w:rPr>
        <w:t>。</w:t>
      </w:r>
    </w:p>
  </w:footnote>
  <w:footnote w:id="3">
    <w:p>
      <w:pPr>
        <w:pStyle w:val="13"/>
        <w:rPr>
          <w:rFonts w:ascii="宋体" w:hAnsi="宋体"/>
          <w:sz w:val="18"/>
          <w:szCs w:val="18"/>
        </w:rPr>
      </w:pPr>
      <w:r>
        <w:rPr>
          <w:rStyle w:val="23"/>
          <w:rFonts w:ascii="宋体" w:hAnsi="宋体"/>
          <w:sz w:val="21"/>
          <w:szCs w:val="21"/>
        </w:rPr>
        <w:footnoteRef/>
      </w:r>
      <w:r>
        <w:rPr>
          <w:rFonts w:ascii="宋体" w:hAnsi="宋体"/>
          <w:sz w:val="21"/>
          <w:szCs w:val="21"/>
        </w:rPr>
        <w:t xml:space="preserve"> </w:t>
      </w:r>
      <w:r>
        <w:rPr>
          <w:rFonts w:hint="eastAsia" w:ascii="宋体" w:hAnsi="宋体" w:cs="宋体"/>
          <w:sz w:val="18"/>
          <w:szCs w:val="18"/>
        </w:rPr>
        <w:t>参考财政部发布的《项目支出绩效评价管理办法》（财预〔2020〕10号），绩效评价结果采取评分和评级相结合的方式，具体分值和等级可根据不同评价内容设定。总分一般设置为100分，等级一般划分为四档：90（含）-100分为优、80（含）-90分为良、60（含）-80分为中、60分以下为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20"/>
  <w:drawingGridVerticalSpacing w:val="299"/>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ZGM0N2NhMjhiMjc0ZTY3YzczOWFkMmQyNGVhNDEifQ=="/>
  </w:docVars>
  <w:rsids>
    <w:rsidRoot w:val="00172A27"/>
    <w:rsid w:val="000078E5"/>
    <w:rsid w:val="000224F2"/>
    <w:rsid w:val="000C139C"/>
    <w:rsid w:val="00101F87"/>
    <w:rsid w:val="001630BF"/>
    <w:rsid w:val="001723B6"/>
    <w:rsid w:val="001724BF"/>
    <w:rsid w:val="00172A27"/>
    <w:rsid w:val="00180F00"/>
    <w:rsid w:val="001A5C3D"/>
    <w:rsid w:val="001B135A"/>
    <w:rsid w:val="001B5DE3"/>
    <w:rsid w:val="001C2F4D"/>
    <w:rsid w:val="001D3CD7"/>
    <w:rsid w:val="00215960"/>
    <w:rsid w:val="00220735"/>
    <w:rsid w:val="00253EEC"/>
    <w:rsid w:val="00274D14"/>
    <w:rsid w:val="0029519D"/>
    <w:rsid w:val="002B39E8"/>
    <w:rsid w:val="002E372C"/>
    <w:rsid w:val="002E4BDA"/>
    <w:rsid w:val="002F0071"/>
    <w:rsid w:val="002F13D0"/>
    <w:rsid w:val="002F6A59"/>
    <w:rsid w:val="002F72B1"/>
    <w:rsid w:val="0031384D"/>
    <w:rsid w:val="0032517E"/>
    <w:rsid w:val="00332C27"/>
    <w:rsid w:val="00365058"/>
    <w:rsid w:val="00370FEC"/>
    <w:rsid w:val="00371B75"/>
    <w:rsid w:val="00392938"/>
    <w:rsid w:val="003A4DFE"/>
    <w:rsid w:val="003C45C5"/>
    <w:rsid w:val="003E2A1C"/>
    <w:rsid w:val="003F337E"/>
    <w:rsid w:val="00411B86"/>
    <w:rsid w:val="00415A10"/>
    <w:rsid w:val="00450E4F"/>
    <w:rsid w:val="004537D7"/>
    <w:rsid w:val="00456792"/>
    <w:rsid w:val="00461FEC"/>
    <w:rsid w:val="00470808"/>
    <w:rsid w:val="004762B8"/>
    <w:rsid w:val="004910AF"/>
    <w:rsid w:val="004A7A16"/>
    <w:rsid w:val="004D481D"/>
    <w:rsid w:val="004E2E48"/>
    <w:rsid w:val="004F431A"/>
    <w:rsid w:val="005220E1"/>
    <w:rsid w:val="005416EE"/>
    <w:rsid w:val="00574B48"/>
    <w:rsid w:val="005768EF"/>
    <w:rsid w:val="005A2258"/>
    <w:rsid w:val="005B78E7"/>
    <w:rsid w:val="005E00E0"/>
    <w:rsid w:val="006119AF"/>
    <w:rsid w:val="006329F0"/>
    <w:rsid w:val="0064300D"/>
    <w:rsid w:val="006478D1"/>
    <w:rsid w:val="006658A7"/>
    <w:rsid w:val="006660F2"/>
    <w:rsid w:val="0067722F"/>
    <w:rsid w:val="00682DA5"/>
    <w:rsid w:val="00693669"/>
    <w:rsid w:val="00693772"/>
    <w:rsid w:val="00696DFB"/>
    <w:rsid w:val="006A5C93"/>
    <w:rsid w:val="006B713D"/>
    <w:rsid w:val="006D66F1"/>
    <w:rsid w:val="006E33AC"/>
    <w:rsid w:val="00707DE9"/>
    <w:rsid w:val="00731CC1"/>
    <w:rsid w:val="00775FD4"/>
    <w:rsid w:val="00780B49"/>
    <w:rsid w:val="00782264"/>
    <w:rsid w:val="007910E5"/>
    <w:rsid w:val="007D3175"/>
    <w:rsid w:val="007D5454"/>
    <w:rsid w:val="00822206"/>
    <w:rsid w:val="008342EB"/>
    <w:rsid w:val="00840D5C"/>
    <w:rsid w:val="00847B01"/>
    <w:rsid w:val="0085253F"/>
    <w:rsid w:val="008560CB"/>
    <w:rsid w:val="00866533"/>
    <w:rsid w:val="008A3C07"/>
    <w:rsid w:val="008B404B"/>
    <w:rsid w:val="008B7803"/>
    <w:rsid w:val="008D1D9C"/>
    <w:rsid w:val="008D3A0B"/>
    <w:rsid w:val="008E7378"/>
    <w:rsid w:val="009258CD"/>
    <w:rsid w:val="00955E45"/>
    <w:rsid w:val="00970676"/>
    <w:rsid w:val="00975401"/>
    <w:rsid w:val="0098310E"/>
    <w:rsid w:val="00A03311"/>
    <w:rsid w:val="00A33F3C"/>
    <w:rsid w:val="00A81D22"/>
    <w:rsid w:val="00A84696"/>
    <w:rsid w:val="00A86C18"/>
    <w:rsid w:val="00AA0D7E"/>
    <w:rsid w:val="00AC09B2"/>
    <w:rsid w:val="00AE3F3F"/>
    <w:rsid w:val="00B125D4"/>
    <w:rsid w:val="00B431DA"/>
    <w:rsid w:val="00B5694E"/>
    <w:rsid w:val="00B8209C"/>
    <w:rsid w:val="00B92EE1"/>
    <w:rsid w:val="00BA5433"/>
    <w:rsid w:val="00BA65AC"/>
    <w:rsid w:val="00BC74FC"/>
    <w:rsid w:val="00C06696"/>
    <w:rsid w:val="00C80661"/>
    <w:rsid w:val="00C863C3"/>
    <w:rsid w:val="00C96A2B"/>
    <w:rsid w:val="00CA5BE9"/>
    <w:rsid w:val="00CD08C4"/>
    <w:rsid w:val="00CD1840"/>
    <w:rsid w:val="00CD1909"/>
    <w:rsid w:val="00CE1AC9"/>
    <w:rsid w:val="00D4146D"/>
    <w:rsid w:val="00D62F63"/>
    <w:rsid w:val="00D83210"/>
    <w:rsid w:val="00D96F24"/>
    <w:rsid w:val="00DC78CA"/>
    <w:rsid w:val="00E411ED"/>
    <w:rsid w:val="00E73DD7"/>
    <w:rsid w:val="00E907DD"/>
    <w:rsid w:val="00E927FC"/>
    <w:rsid w:val="00EA7361"/>
    <w:rsid w:val="00EC1A1B"/>
    <w:rsid w:val="00F66E55"/>
    <w:rsid w:val="00FC7343"/>
    <w:rsid w:val="00FD4C9B"/>
    <w:rsid w:val="00FF7606"/>
    <w:rsid w:val="01E7687A"/>
    <w:rsid w:val="03E477EA"/>
    <w:rsid w:val="044004C3"/>
    <w:rsid w:val="04B96B98"/>
    <w:rsid w:val="04DA3DD8"/>
    <w:rsid w:val="064F6CA3"/>
    <w:rsid w:val="07B0770E"/>
    <w:rsid w:val="07C964ED"/>
    <w:rsid w:val="07FD4DB6"/>
    <w:rsid w:val="09536B67"/>
    <w:rsid w:val="096936AB"/>
    <w:rsid w:val="0A0B7388"/>
    <w:rsid w:val="0CFD14AE"/>
    <w:rsid w:val="0E794CFD"/>
    <w:rsid w:val="0E9D44FA"/>
    <w:rsid w:val="0EFDF8C0"/>
    <w:rsid w:val="0F3AFAE2"/>
    <w:rsid w:val="0F3F3762"/>
    <w:rsid w:val="0FCB1018"/>
    <w:rsid w:val="118E28F3"/>
    <w:rsid w:val="12B45B19"/>
    <w:rsid w:val="12DD728E"/>
    <w:rsid w:val="13EF8DCC"/>
    <w:rsid w:val="14EF1875"/>
    <w:rsid w:val="15E92769"/>
    <w:rsid w:val="17B40B34"/>
    <w:rsid w:val="199D0801"/>
    <w:rsid w:val="1BBA0AE0"/>
    <w:rsid w:val="1C8E5E18"/>
    <w:rsid w:val="1D67EB1E"/>
    <w:rsid w:val="1EBB0A1A"/>
    <w:rsid w:val="1EE3D5F6"/>
    <w:rsid w:val="1F1B2988"/>
    <w:rsid w:val="1FEE04F7"/>
    <w:rsid w:val="21937A2C"/>
    <w:rsid w:val="219B41D5"/>
    <w:rsid w:val="24AB3B95"/>
    <w:rsid w:val="24B6F530"/>
    <w:rsid w:val="24D63F01"/>
    <w:rsid w:val="2629095F"/>
    <w:rsid w:val="26EFE8FC"/>
    <w:rsid w:val="273D6422"/>
    <w:rsid w:val="27D9A922"/>
    <w:rsid w:val="29FF2103"/>
    <w:rsid w:val="2A6D63D4"/>
    <w:rsid w:val="2B5E5A88"/>
    <w:rsid w:val="2CB903E0"/>
    <w:rsid w:val="30536B0E"/>
    <w:rsid w:val="307C0A4F"/>
    <w:rsid w:val="30C220DC"/>
    <w:rsid w:val="31A64935"/>
    <w:rsid w:val="339B5ACE"/>
    <w:rsid w:val="33F3A538"/>
    <w:rsid w:val="3461797E"/>
    <w:rsid w:val="36394396"/>
    <w:rsid w:val="37EFD6F3"/>
    <w:rsid w:val="37F30A0A"/>
    <w:rsid w:val="37FFB8AF"/>
    <w:rsid w:val="397321C6"/>
    <w:rsid w:val="3AD44EE6"/>
    <w:rsid w:val="3B4A083D"/>
    <w:rsid w:val="3BF977F3"/>
    <w:rsid w:val="3BFE9CAB"/>
    <w:rsid w:val="3C8F7316"/>
    <w:rsid w:val="3D2332A4"/>
    <w:rsid w:val="3D8F1598"/>
    <w:rsid w:val="3DA82901"/>
    <w:rsid w:val="3DFFC541"/>
    <w:rsid w:val="3E914B04"/>
    <w:rsid w:val="3FAF5F28"/>
    <w:rsid w:val="3FEEED39"/>
    <w:rsid w:val="40ED0AD3"/>
    <w:rsid w:val="42537038"/>
    <w:rsid w:val="42D35CD5"/>
    <w:rsid w:val="43706E01"/>
    <w:rsid w:val="44466E54"/>
    <w:rsid w:val="454D7C70"/>
    <w:rsid w:val="46364B77"/>
    <w:rsid w:val="46C2573A"/>
    <w:rsid w:val="46E60041"/>
    <w:rsid w:val="48DF7859"/>
    <w:rsid w:val="4AB97C54"/>
    <w:rsid w:val="4B8D5F6C"/>
    <w:rsid w:val="4BA41F70"/>
    <w:rsid w:val="4D203FBB"/>
    <w:rsid w:val="4D7F0EED"/>
    <w:rsid w:val="4DCE3A17"/>
    <w:rsid w:val="4ECA3C30"/>
    <w:rsid w:val="4ED137BE"/>
    <w:rsid w:val="50342982"/>
    <w:rsid w:val="51441CC8"/>
    <w:rsid w:val="515A3F3F"/>
    <w:rsid w:val="51FEB1C7"/>
    <w:rsid w:val="535D1E2A"/>
    <w:rsid w:val="5409206E"/>
    <w:rsid w:val="55FD384D"/>
    <w:rsid w:val="57AF333D"/>
    <w:rsid w:val="58BA01A8"/>
    <w:rsid w:val="59EE4B0B"/>
    <w:rsid w:val="59FF9E4A"/>
    <w:rsid w:val="5AFE5CF1"/>
    <w:rsid w:val="5B7F20D0"/>
    <w:rsid w:val="5BB029AE"/>
    <w:rsid w:val="5CAA564F"/>
    <w:rsid w:val="5D08403C"/>
    <w:rsid w:val="5DD5C65A"/>
    <w:rsid w:val="5E3E0FD1"/>
    <w:rsid w:val="5FCFCFB8"/>
    <w:rsid w:val="5FF4730D"/>
    <w:rsid w:val="5FFE2B4E"/>
    <w:rsid w:val="60E530F9"/>
    <w:rsid w:val="61497B2C"/>
    <w:rsid w:val="6192502F"/>
    <w:rsid w:val="61F447CD"/>
    <w:rsid w:val="623D2568"/>
    <w:rsid w:val="626B47C1"/>
    <w:rsid w:val="660D203E"/>
    <w:rsid w:val="667729C5"/>
    <w:rsid w:val="66DB5AD8"/>
    <w:rsid w:val="6716400D"/>
    <w:rsid w:val="67B94A03"/>
    <w:rsid w:val="67FF3A8F"/>
    <w:rsid w:val="687E3529"/>
    <w:rsid w:val="6A672D49"/>
    <w:rsid w:val="6ACD8F23"/>
    <w:rsid w:val="6B3F20E8"/>
    <w:rsid w:val="6B7F6395"/>
    <w:rsid w:val="6BFC3CDB"/>
    <w:rsid w:val="6C6F1735"/>
    <w:rsid w:val="6DFF1B46"/>
    <w:rsid w:val="6EBFF788"/>
    <w:rsid w:val="6EFFFC1F"/>
    <w:rsid w:val="6FDFA935"/>
    <w:rsid w:val="6FE33841"/>
    <w:rsid w:val="6FF21432"/>
    <w:rsid w:val="6FF7B906"/>
    <w:rsid w:val="6FFF5207"/>
    <w:rsid w:val="703B6CD7"/>
    <w:rsid w:val="703FCDC4"/>
    <w:rsid w:val="73E738A9"/>
    <w:rsid w:val="73FDD8F3"/>
    <w:rsid w:val="753D25F5"/>
    <w:rsid w:val="756B619A"/>
    <w:rsid w:val="757BAD8D"/>
    <w:rsid w:val="766FC255"/>
    <w:rsid w:val="76F9B532"/>
    <w:rsid w:val="772EA142"/>
    <w:rsid w:val="775B167E"/>
    <w:rsid w:val="777F30D2"/>
    <w:rsid w:val="777FB4AF"/>
    <w:rsid w:val="7798281C"/>
    <w:rsid w:val="77EFF085"/>
    <w:rsid w:val="77F7BB57"/>
    <w:rsid w:val="78073FF1"/>
    <w:rsid w:val="782B182B"/>
    <w:rsid w:val="79651B6A"/>
    <w:rsid w:val="797D1619"/>
    <w:rsid w:val="7ABF24B1"/>
    <w:rsid w:val="7AFF2CFF"/>
    <w:rsid w:val="7B6AED15"/>
    <w:rsid w:val="7BEE4694"/>
    <w:rsid w:val="7BF3C696"/>
    <w:rsid w:val="7BF3FDD4"/>
    <w:rsid w:val="7C26489A"/>
    <w:rsid w:val="7C7334C9"/>
    <w:rsid w:val="7C8F68E3"/>
    <w:rsid w:val="7CDA6256"/>
    <w:rsid w:val="7CED49F7"/>
    <w:rsid w:val="7CFF709D"/>
    <w:rsid w:val="7DBB67BB"/>
    <w:rsid w:val="7DBE579A"/>
    <w:rsid w:val="7DBF940B"/>
    <w:rsid w:val="7DBFA9CB"/>
    <w:rsid w:val="7DFF73F8"/>
    <w:rsid w:val="7E5DE565"/>
    <w:rsid w:val="7E73056A"/>
    <w:rsid w:val="7EAD1F06"/>
    <w:rsid w:val="7EC710BB"/>
    <w:rsid w:val="7ED13999"/>
    <w:rsid w:val="7EEF1632"/>
    <w:rsid w:val="7EEFBC35"/>
    <w:rsid w:val="7EFE5B3B"/>
    <w:rsid w:val="7EFF28A6"/>
    <w:rsid w:val="7EFF7966"/>
    <w:rsid w:val="7FB85EE5"/>
    <w:rsid w:val="7FE91525"/>
    <w:rsid w:val="7FEF171D"/>
    <w:rsid w:val="7FFD1AD3"/>
    <w:rsid w:val="7FFD83B8"/>
    <w:rsid w:val="7FFE7EE3"/>
    <w:rsid w:val="7FFEA9AC"/>
    <w:rsid w:val="875DE126"/>
    <w:rsid w:val="87AF3C15"/>
    <w:rsid w:val="8FEF974C"/>
    <w:rsid w:val="9FBEB22D"/>
    <w:rsid w:val="A96F37BA"/>
    <w:rsid w:val="A9F39E4A"/>
    <w:rsid w:val="AEFF3E47"/>
    <w:rsid w:val="B7CEA735"/>
    <w:rsid w:val="BB3F09C6"/>
    <w:rsid w:val="BDBF7375"/>
    <w:rsid w:val="BEBBCEC8"/>
    <w:rsid w:val="BEBF0834"/>
    <w:rsid w:val="BF7F5A9B"/>
    <w:rsid w:val="BFCE957F"/>
    <w:rsid w:val="BFFD074A"/>
    <w:rsid w:val="BFFED883"/>
    <w:rsid w:val="BFFF374D"/>
    <w:rsid w:val="C99B1BB6"/>
    <w:rsid w:val="C9AF160D"/>
    <w:rsid w:val="CDF8ACD7"/>
    <w:rsid w:val="CFEF7ACA"/>
    <w:rsid w:val="CFFB29C7"/>
    <w:rsid w:val="D6C7952A"/>
    <w:rsid w:val="DBFF9980"/>
    <w:rsid w:val="DDF3B834"/>
    <w:rsid w:val="DE73C2E0"/>
    <w:rsid w:val="DFBE99F2"/>
    <w:rsid w:val="DFFB817D"/>
    <w:rsid w:val="DFFD9ADA"/>
    <w:rsid w:val="E3DD4808"/>
    <w:rsid w:val="E6F5EF84"/>
    <w:rsid w:val="E7D74B8E"/>
    <w:rsid w:val="E7FD3FD5"/>
    <w:rsid w:val="E97F7E29"/>
    <w:rsid w:val="EF6D1EAF"/>
    <w:rsid w:val="EFF7FE65"/>
    <w:rsid w:val="EFFCDAE2"/>
    <w:rsid w:val="F6FBFF24"/>
    <w:rsid w:val="F7476A81"/>
    <w:rsid w:val="F77316B0"/>
    <w:rsid w:val="F795FA8E"/>
    <w:rsid w:val="F7BB7BC1"/>
    <w:rsid w:val="F7FF7FF6"/>
    <w:rsid w:val="F956DC85"/>
    <w:rsid w:val="FAFFEC5F"/>
    <w:rsid w:val="FB7F4A0A"/>
    <w:rsid w:val="FB7F7DC4"/>
    <w:rsid w:val="FBD7F741"/>
    <w:rsid w:val="FBF4A416"/>
    <w:rsid w:val="FBFDC1BF"/>
    <w:rsid w:val="FBFDEF0D"/>
    <w:rsid w:val="FCFF292D"/>
    <w:rsid w:val="FDBEAFEC"/>
    <w:rsid w:val="FDD60A9C"/>
    <w:rsid w:val="FDD9B4BB"/>
    <w:rsid w:val="FEDD7DD0"/>
    <w:rsid w:val="FEFF416A"/>
    <w:rsid w:val="FF5BD2CC"/>
    <w:rsid w:val="FF8D642F"/>
    <w:rsid w:val="FFADAFFE"/>
    <w:rsid w:val="FFBFE9C5"/>
    <w:rsid w:val="FFFE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Cs/>
      <w:kern w:val="44"/>
      <w:sz w:val="44"/>
      <w:szCs w:val="44"/>
      <w:lang w:val="en-US" w:eastAsia="zh-CN" w:bidi="ar-SA"/>
    </w:rPr>
  </w:style>
  <w:style w:type="paragraph" w:styleId="2">
    <w:name w:val="heading 1"/>
    <w:basedOn w:val="1"/>
    <w:next w:val="1"/>
    <w:qFormat/>
    <w:uiPriority w:val="0"/>
    <w:pPr>
      <w:keepNext/>
      <w:keepLines/>
      <w:spacing w:before="340" w:after="330" w:line="576" w:lineRule="auto"/>
      <w:outlineLvl w:val="0"/>
    </w:pPr>
  </w:style>
  <w:style w:type="paragraph" w:styleId="3">
    <w:name w:val="heading 2"/>
    <w:basedOn w:val="4"/>
    <w:next w:val="1"/>
    <w:unhideWhenUsed/>
    <w:qFormat/>
    <w:uiPriority w:val="9"/>
    <w:pPr>
      <w:ind w:firstLine="643"/>
      <w:outlineLvl w:val="1"/>
    </w:pPr>
    <w:rPr>
      <w:rFonts w:ascii="仿宋_GB2312" w:hAnsi="仿宋_GB2312" w:eastAsia="仿宋_GB2312" w:cs="仿宋_GB2312"/>
    </w:rPr>
  </w:style>
  <w:style w:type="paragraph" w:styleId="5">
    <w:name w:val="heading 3"/>
    <w:basedOn w:val="4"/>
    <w:next w:val="1"/>
    <w:unhideWhenUsed/>
    <w:qFormat/>
    <w:uiPriority w:val="9"/>
    <w:pPr>
      <w:ind w:firstLine="643"/>
      <w:outlineLvl w:val="2"/>
    </w:pPr>
    <w:rPr>
      <w:rFonts w:ascii="仿宋_GB2312" w:hAnsi="仿宋_GB2312" w:eastAsia="仿宋_GB2312" w:cs="仿宋_GB231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left"/>
      <w:outlineLvl w:val="0"/>
    </w:pPr>
    <w:rPr>
      <w:rFonts w:asciiTheme="majorHAnsi" w:hAnsiTheme="majorHAnsi" w:eastAsiaTheme="majorEastAsia" w:cstheme="majorBidi"/>
      <w:b/>
      <w:szCs w:val="32"/>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link w:val="26"/>
    <w:unhideWhenUsed/>
    <w:qFormat/>
    <w:uiPriority w:val="99"/>
    <w:pPr>
      <w:jc w:val="left"/>
    </w:pPr>
  </w:style>
  <w:style w:type="paragraph" w:styleId="8">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9">
    <w:name w:val="Balloon Text"/>
    <w:basedOn w:val="1"/>
    <w:link w:val="36"/>
    <w:qFormat/>
    <w:uiPriority w:val="0"/>
    <w:rPr>
      <w:sz w:val="18"/>
      <w:szCs w:val="18"/>
    </w:rPr>
  </w:style>
  <w:style w:type="paragraph" w:styleId="10">
    <w:name w:val="footer"/>
    <w:basedOn w:val="1"/>
    <w:link w:val="39"/>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footnote text"/>
    <w:basedOn w:val="1"/>
    <w:link w:val="37"/>
    <w:unhideWhenUsed/>
    <w:qFormat/>
    <w:uiPriority w:val="99"/>
    <w:pPr>
      <w:snapToGrid w:val="0"/>
      <w:jc w:val="left"/>
    </w:pPr>
    <w:rPr>
      <w:sz w:val="18"/>
      <w:szCs w:val="18"/>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7"/>
    <w:next w:val="7"/>
    <w:link w:val="27"/>
    <w:qFormat/>
    <w:uiPriority w:val="0"/>
    <w:rPr>
      <w:b/>
    </w:rPr>
  </w:style>
  <w:style w:type="paragraph" w:styleId="17">
    <w:name w:val="Body Text First Indent"/>
    <w:basedOn w:val="8"/>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color w:val="0000FF"/>
      <w:u w:val="single"/>
    </w:rPr>
  </w:style>
  <w:style w:type="character" w:styleId="22">
    <w:name w:val="annotation reference"/>
    <w:basedOn w:val="20"/>
    <w:qFormat/>
    <w:uiPriority w:val="0"/>
    <w:rPr>
      <w:sz w:val="21"/>
      <w:szCs w:val="21"/>
    </w:rPr>
  </w:style>
  <w:style w:type="character" w:styleId="23">
    <w:name w:val="footnote reference"/>
    <w:basedOn w:val="20"/>
    <w:semiHidden/>
    <w:unhideWhenUsed/>
    <w:qFormat/>
    <w:uiPriority w:val="99"/>
    <w:rPr>
      <w:vertAlign w:val="superscript"/>
    </w:rPr>
  </w:style>
  <w:style w:type="paragraph" w:customStyle="1" w:styleId="24">
    <w:name w:val="日期1"/>
    <w:basedOn w:val="1"/>
    <w:next w:val="1"/>
    <w:qFormat/>
    <w:uiPriority w:val="99"/>
    <w:pPr>
      <w:ind w:firstLine="200" w:firstLineChars="200"/>
    </w:pPr>
    <w:rPr>
      <w:szCs w:val="20"/>
    </w:rPr>
  </w:style>
  <w:style w:type="paragraph" w:customStyle="1" w:styleId="25">
    <w:name w:val="修订1"/>
    <w:hidden/>
    <w:unhideWhenUsed/>
    <w:qFormat/>
    <w:uiPriority w:val="99"/>
    <w:rPr>
      <w:rFonts w:ascii="Times New Roman" w:hAnsi="Times New Roman" w:eastAsia="宋体" w:cs="Times New Roman"/>
      <w:bCs/>
      <w:kern w:val="44"/>
      <w:sz w:val="44"/>
      <w:szCs w:val="44"/>
      <w:lang w:val="en-US" w:eastAsia="zh-CN" w:bidi="ar-SA"/>
    </w:rPr>
  </w:style>
  <w:style w:type="character" w:customStyle="1" w:styleId="26">
    <w:name w:val="批注文字 字符"/>
    <w:basedOn w:val="20"/>
    <w:link w:val="7"/>
    <w:qFormat/>
    <w:uiPriority w:val="99"/>
    <w:rPr>
      <w:bCs/>
      <w:kern w:val="44"/>
      <w:sz w:val="44"/>
      <w:szCs w:val="44"/>
    </w:rPr>
  </w:style>
  <w:style w:type="character" w:customStyle="1" w:styleId="27">
    <w:name w:val="批注主题 字符"/>
    <w:basedOn w:val="26"/>
    <w:link w:val="16"/>
    <w:qFormat/>
    <w:uiPriority w:val="0"/>
    <w:rPr>
      <w:b/>
      <w:kern w:val="44"/>
      <w:sz w:val="44"/>
      <w:szCs w:val="44"/>
    </w:rPr>
  </w:style>
  <w:style w:type="paragraph" w:customStyle="1" w:styleId="28">
    <w:name w:val="修订2"/>
    <w:hidden/>
    <w:unhideWhenUsed/>
    <w:qFormat/>
    <w:uiPriority w:val="99"/>
    <w:rPr>
      <w:rFonts w:ascii="Times New Roman" w:hAnsi="Times New Roman" w:eastAsia="宋体" w:cs="Times New Roman"/>
      <w:bCs/>
      <w:kern w:val="44"/>
      <w:sz w:val="44"/>
      <w:szCs w:val="44"/>
      <w:lang w:val="en-US" w:eastAsia="zh-CN" w:bidi="ar-SA"/>
    </w:rPr>
  </w:style>
  <w:style w:type="character" w:customStyle="1" w:styleId="29">
    <w:name w:val="font31"/>
    <w:basedOn w:val="20"/>
    <w:qFormat/>
    <w:uiPriority w:val="0"/>
    <w:rPr>
      <w:rFonts w:hint="eastAsia" w:ascii="仿宋_GB2312" w:eastAsia="仿宋_GB2312" w:cs="仿宋_GB2312"/>
      <w:color w:val="000000"/>
      <w:sz w:val="28"/>
      <w:szCs w:val="28"/>
      <w:u w:val="none"/>
    </w:rPr>
  </w:style>
  <w:style w:type="character" w:customStyle="1" w:styleId="30">
    <w:name w:val="font01"/>
    <w:basedOn w:val="20"/>
    <w:qFormat/>
    <w:uiPriority w:val="0"/>
    <w:rPr>
      <w:rFonts w:ascii="Calibri" w:hAnsi="Calibri" w:cs="Calibri"/>
      <w:color w:val="000000"/>
      <w:sz w:val="28"/>
      <w:szCs w:val="28"/>
      <w:u w:val="none"/>
    </w:rPr>
  </w:style>
  <w:style w:type="character" w:customStyle="1" w:styleId="31">
    <w:name w:val="font41"/>
    <w:basedOn w:val="20"/>
    <w:qFormat/>
    <w:uiPriority w:val="0"/>
    <w:rPr>
      <w:rFonts w:hint="eastAsia" w:ascii="仿宋_GB2312" w:eastAsia="仿宋_GB2312" w:cs="仿宋_GB2312"/>
      <w:color w:val="000000"/>
      <w:sz w:val="28"/>
      <w:szCs w:val="28"/>
      <w:u w:val="none"/>
    </w:rPr>
  </w:style>
  <w:style w:type="character" w:customStyle="1" w:styleId="32">
    <w:name w:val="font51"/>
    <w:basedOn w:val="20"/>
    <w:qFormat/>
    <w:uiPriority w:val="0"/>
    <w:rPr>
      <w:rFonts w:hint="default" w:ascii="Calibri" w:hAnsi="Calibri" w:cs="Calibri"/>
      <w:color w:val="000000"/>
      <w:sz w:val="28"/>
      <w:szCs w:val="28"/>
      <w:u w:val="none"/>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font11"/>
    <w:basedOn w:val="20"/>
    <w:qFormat/>
    <w:uiPriority w:val="0"/>
    <w:rPr>
      <w:rFonts w:hint="eastAsia" w:ascii="宋体-简" w:hAnsi="宋体-简" w:eastAsia="宋体-简" w:cs="宋体-简"/>
      <w:color w:val="000000"/>
      <w:sz w:val="12"/>
      <w:szCs w:val="12"/>
      <w:u w:val="none"/>
    </w:rPr>
  </w:style>
  <w:style w:type="character" w:customStyle="1" w:styleId="36">
    <w:name w:val="批注框文本 字符"/>
    <w:basedOn w:val="20"/>
    <w:link w:val="9"/>
    <w:qFormat/>
    <w:uiPriority w:val="0"/>
    <w:rPr>
      <w:bCs/>
      <w:kern w:val="44"/>
      <w:sz w:val="18"/>
      <w:szCs w:val="18"/>
    </w:rPr>
  </w:style>
  <w:style w:type="character" w:customStyle="1" w:styleId="37">
    <w:name w:val="脚注文本 字符"/>
    <w:basedOn w:val="20"/>
    <w:link w:val="13"/>
    <w:qFormat/>
    <w:uiPriority w:val="99"/>
    <w:rPr>
      <w:bCs/>
      <w:kern w:val="44"/>
      <w:sz w:val="18"/>
      <w:szCs w:val="18"/>
    </w:rPr>
  </w:style>
  <w:style w:type="paragraph" w:styleId="38">
    <w:name w:val="List Paragraph"/>
    <w:basedOn w:val="1"/>
    <w:qFormat/>
    <w:uiPriority w:val="99"/>
    <w:pPr>
      <w:ind w:firstLine="420" w:firstLineChars="200"/>
    </w:pPr>
  </w:style>
  <w:style w:type="character" w:customStyle="1" w:styleId="39">
    <w:name w:val="页脚 字符"/>
    <w:basedOn w:val="20"/>
    <w:link w:val="10"/>
    <w:qFormat/>
    <w:uiPriority w:val="99"/>
    <w:rPr>
      <w:bCs/>
      <w:kern w:val="44"/>
      <w:sz w:val="1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4985</Words>
  <Characters>28421</Characters>
  <Lines>236</Lines>
  <Paragraphs>66</Paragraphs>
  <TotalTime>60</TotalTime>
  <ScaleCrop>false</ScaleCrop>
  <LinksUpToDate>false</LinksUpToDate>
  <CharactersWithSpaces>33340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2023-09-08T00:46:00Z</dcterms:created>
  <dc:creator>ym</dc:creator>
  <cp:lastModifiedBy>kcj-psy</cp:lastModifiedBy>
  <cp:lastPrinted>2023-09-26T11:10:00Z</cp:lastPrinted>
  <dcterms:modified xsi:type="dcterms:W3CDTF">2025-06-11T10:12:21Z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F46CF0F0AD1400C105E64868CC4AB1ED</vt:lpwstr>
  </property>
</Properties>
</file>