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51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32"/>
        <w:gridCol w:w="1135"/>
        <w:gridCol w:w="9"/>
        <w:gridCol w:w="1266"/>
        <w:gridCol w:w="965"/>
        <w:gridCol w:w="888"/>
        <w:gridCol w:w="699"/>
        <w:gridCol w:w="313"/>
        <w:gridCol w:w="396"/>
        <w:gridCol w:w="303"/>
        <w:gridCol w:w="547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5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项目支出绩效自评表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（201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年）</w:t>
            </w:r>
          </w:p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51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土地整备和征地拆迁协调管理事务</w:t>
            </w:r>
          </w:p>
        </w:tc>
        <w:tc>
          <w:tcPr>
            <w:tcW w:w="2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项目类别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常规 （）一次性（√） 追加（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项目主管单位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深圳市龙华区城市更新和土地整备局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项目实施单位</w:t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深圳市龙华区城市更新和土地整备局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项目周期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 xml:space="preserve">1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新增（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  延续（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资金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20.25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20.07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99.11%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其中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20.25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20.07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99.11%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通过培训，以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提高工作人员的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土地整备业务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知识。</w:t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土地整备等业务知识有了更高的理解并结合工作进行实操。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指标目标值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参与培训人数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50人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50人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培训课时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40学时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40学时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培训教师人数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教师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资质达标率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工作人员业务水平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情况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有效提高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有效提高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99.9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C041F"/>
    <w:rsid w:val="048202CD"/>
    <w:rsid w:val="12FE0670"/>
    <w:rsid w:val="1D200671"/>
    <w:rsid w:val="22A628BA"/>
    <w:rsid w:val="2DAC041F"/>
    <w:rsid w:val="2DCD47E0"/>
    <w:rsid w:val="2E5C137B"/>
    <w:rsid w:val="48404604"/>
    <w:rsid w:val="4EC36E08"/>
    <w:rsid w:val="527A47CC"/>
    <w:rsid w:val="57A82485"/>
    <w:rsid w:val="5C5D6E1B"/>
    <w:rsid w:val="5DA232A9"/>
    <w:rsid w:val="5F65280A"/>
    <w:rsid w:val="677E6910"/>
    <w:rsid w:val="6AB30B9E"/>
    <w:rsid w:val="6E816388"/>
    <w:rsid w:val="7EC9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2020-05-20T17:49:00Z</dcterms:created>
  <dc:creator>粤玲candy</dc:creator>
  <cp:lastModifiedBy>zsy</cp:lastModifiedBy>
  <dcterms:modified xsi:type="dcterms:W3CDTF">2022-08-30T15:20:32Z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