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9668F">
      <w:pPr>
        <w:rPr>
          <w:i/>
          <w:iCs/>
        </w:rPr>
      </w:pPr>
    </w:p>
    <w:p w14:paraId="35D08DB9">
      <w:pPr>
        <w:rPr>
          <w:i/>
          <w:iCs/>
        </w:rPr>
      </w:pPr>
    </w:p>
    <w:p w14:paraId="1AA7BF77">
      <w:pPr>
        <w:rPr>
          <w:i/>
          <w:iCs/>
        </w:rPr>
      </w:pPr>
    </w:p>
    <w:p w14:paraId="29C0A406">
      <w:pPr>
        <w:rPr>
          <w:i/>
          <w:iCs/>
        </w:rPr>
      </w:pPr>
    </w:p>
    <w:p w14:paraId="415D9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eastAsia="zh-CN"/>
        </w:rPr>
        <w:t>龙华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</w:rPr>
        <w:t>区卫生健康局2019年</w:t>
      </w:r>
    </w:p>
    <w:p w14:paraId="38CE6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政府信息公开工作年度报告</w:t>
      </w:r>
    </w:p>
    <w:p w14:paraId="7F26ED2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宋体" w:hAnsi="宋体" w:eastAsia="宋体" w:cs="宋体"/>
          <w:b/>
          <w:color w:val="333333"/>
          <w:sz w:val="32"/>
          <w:szCs w:val="32"/>
          <w:shd w:val="clear" w:color="auto" w:fill="FFFFFF"/>
        </w:rPr>
      </w:pPr>
    </w:p>
    <w:p w14:paraId="3935D4B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《中华人民共和国政府信息公开条例》（以下简称《条例》）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深圳市龙华区政府信息公开规定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（以下简称《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，特向社会公布深圳市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卫生健康局2019年政府信息公开工作年度报告。本报告由六个部分内容组成，包括总体情况、主动公开政府信息情况、收到和处理政府信息公开申请情况、政府信息公开行政复议、行政诉讼情况、存在的主要问题及改进情况以及其他需要报告的事项。</w:t>
      </w:r>
    </w:p>
    <w:p w14:paraId="132242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本报告中所列政府信息公开数据的统计期限自2019年1月1日起至2019年12月31日止。如对本年度报告有任何疑问，请与深圳市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区卫生健康局办公室联系（地址：深圳市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梅龙大道98号清湖行政服务中心2栋506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办公室。邮编：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518109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；电话：0755-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23336363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政务邮箱：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lhwjj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szlhq.gov.cn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 w14:paraId="4510BC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一、总体情况</w:t>
      </w:r>
    </w:p>
    <w:p w14:paraId="75DF014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卫生健康局认真贯彻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上级关于政府信息公开的文件精神和部署要求，结合工作实际，从规范公开内容，突出公开重点，提升公开水平入手，切实加强领导，深入宣传发动，强化沟通交流，主动接受监督，切实提升政府信息公开工作成效，树立服务型卫生健康部门形象，2019年我局主要做好以下几方面工作：</w:t>
      </w:r>
    </w:p>
    <w:p w14:paraId="075F0F9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（一）组织机构建设情况</w:t>
      </w:r>
    </w:p>
    <w:p w14:paraId="50A0BA0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我局把政府信息公开作为转变政府职能、提高服务效率、提高群众满意度的一项重要举措来抓，明确分工，落实责任，成立由局主要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任组长，分管领导任副组长，局机关各科室负责人为成员的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信息公开工作领导小组，按照《条例》和省、市、区的相关要求，推进、指导和监督信息公开工作，并指定专人负责政府信息的整理、更新和报送工作，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确保政务公开的一致性、及时性、准确性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 w14:paraId="1C5F17F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（二）《指南》和《目录》的编制工作情况</w:t>
      </w:r>
    </w:p>
    <w:p w14:paraId="0D2631D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为规范政府信息公开工作，依据《条例》和《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》，我局编制了《深圳市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区卫生健康局政府信息公开指南》和《深圳市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区卫生健康局政府信息公开目录》。进一步优化政府信息依申请公开工作流程，明确了政府信息公开的基本原则、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内容、程序和监督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保障等内容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，落实受理、登记、分办、转办、答复、反馈等各环节的责任。</w:t>
      </w:r>
    </w:p>
    <w:p w14:paraId="2699F69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(三）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落实和制定相关配套措施情况</w:t>
      </w:r>
    </w:p>
    <w:p w14:paraId="53A6C96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我局严格按照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《条例》和《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规定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对主动公开的政府信息、依申请公开的政府信息和免予公开的政府信息等进行整理，确保职责明确，责任到人。健全政府信息公开工作制度，加大督促检查力度，对各科室信息公开的责任落实和报送情况进行考核评价，针对问题提出改进措施。加大网站内容的保障力度，要求各科室指定专人负责便民服务、重点业务栏目的信息搜集、整理和维护，避免出现“不更新、不准确、不回应、不实用”的问题。</w:t>
      </w:r>
    </w:p>
    <w:p w14:paraId="6A14502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建立健全工作机制、制度规范情况。</w:t>
      </w:r>
    </w:p>
    <w:p w14:paraId="15E623E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准确把握政府信息公开的内容、范围、形式和时限，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妥善处理好公开和保密的关系，我局制定了《龙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卫生健康局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政务公开管理办法（试行）》《龙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卫生健康局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政务公开工作审核制度 》《龙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卫生健康局保密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制度》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龙华区卫生健康局政务新媒体管理办法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龙华区卫生健康局部门网站管理办法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制度文件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，对进入公开程序的各类政府信息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由具体责任人、科室负责人和局分管领导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进行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审查，进一步规范我局政府信息公开工作。</w:t>
      </w:r>
    </w:p>
    <w:p w14:paraId="237EC44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（五）学习、宣传、培训等方面的工作</w:t>
      </w:r>
    </w:p>
    <w:p w14:paraId="4326172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我局组织参加了市卫生健康委举办的政府信息公开工作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培训班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、区政务数据局举办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的龙华区政务公开标准化规范化履职能力培训班、龙华区政务公开与政府网站业务培训班、下半年全区政务公开培训班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，并在日常工作中对业务科室的政府信息公开工作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和培训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 w14:paraId="44B232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二、主动公开政府信息情况</w:t>
      </w:r>
    </w:p>
    <w:tbl>
      <w:tblPr>
        <w:tblStyle w:val="4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4FB51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 w14:paraId="6013587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6911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DE57C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BA25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9D64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659E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6BD7C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1987D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9691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EE952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C9BDF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6BB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409E4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6E8D59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F4D9B0"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58AEF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00E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 w14:paraId="4701E39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7120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5ED8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6076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371FA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5041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06667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20A316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97761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2841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E97E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增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6C6CE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3812</w:t>
            </w:r>
          </w:p>
        </w:tc>
      </w:tr>
      <w:tr w14:paraId="31C9D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EC98F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BFF97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81859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AB6C6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增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5E2D5">
            <w:pPr>
              <w:widowControl/>
              <w:spacing w:after="180"/>
              <w:ind w:firstLine="210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86201</w:t>
            </w:r>
          </w:p>
        </w:tc>
      </w:tr>
      <w:tr w14:paraId="32BBC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 w14:paraId="0F1FA82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7D48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CE96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08CA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500F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8C15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35D7E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9A929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B6CE4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31EA9"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79439">
            <w:pPr>
              <w:widowControl/>
              <w:spacing w:after="180"/>
              <w:ind w:firstLine="210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543</w:t>
            </w:r>
          </w:p>
        </w:tc>
      </w:tr>
      <w:tr w14:paraId="4836B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65ED3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0471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96A35">
            <w:pPr>
              <w:widowControl/>
              <w:spacing w:after="180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4C5D4">
            <w:pPr>
              <w:widowControl/>
              <w:spacing w:after="180"/>
              <w:ind w:firstLine="210" w:firstLineChars="1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90D4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 w14:paraId="431D5DA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921A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9198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29D1F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B0E91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3825C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C6C1F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02F5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5A0E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2870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 w14:paraId="7160CB9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14:paraId="26129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9F09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9B84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D0AE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14:paraId="3DD77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44871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55E78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3BF8B"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6CE777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Style w:val="4"/>
        <w:tblW w:w="819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865"/>
        <w:gridCol w:w="1817"/>
        <w:gridCol w:w="870"/>
        <w:gridCol w:w="645"/>
        <w:gridCol w:w="765"/>
        <w:gridCol w:w="780"/>
        <w:gridCol w:w="810"/>
        <w:gridCol w:w="645"/>
        <w:gridCol w:w="618"/>
      </w:tblGrid>
      <w:tr w14:paraId="426B88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FFDC0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3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3EF81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DF621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A6276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AF1E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882F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9BF0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0530BB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60471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EDE04">
            <w:pPr>
              <w:rPr>
                <w:rFonts w:ascii="宋体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F825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D3EE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D10A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D7C19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B125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5E8C8A">
            <w:pPr>
              <w:rPr>
                <w:rFonts w:ascii="宋体"/>
                <w:sz w:val="24"/>
              </w:rPr>
            </w:pPr>
          </w:p>
        </w:tc>
      </w:tr>
      <w:tr w14:paraId="2F04C5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B49D2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727D5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3886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26321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6A0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5E9BE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FA10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6AE2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57EDC4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ABBFC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4E00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6F84D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11019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6035E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2369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87467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A211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7D1E81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2AD3D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BCC3C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0705F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7B739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7C6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FB941F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F2096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420F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37D8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</w:tr>
      <w:tr w14:paraId="10D884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CC16A">
            <w:pPr>
              <w:rPr>
                <w:rFonts w:ascii="宋体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CB60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48C5D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2D9CE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C67E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5A70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71CD6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8C78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B59D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13A1A7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D8096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A807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1CA5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3390D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AA03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97F1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4AF6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5074E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1A3CD6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46AB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0C8AF3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A0B23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F38A1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81A2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BF8C7">
            <w:pPr>
              <w:widowControl/>
              <w:spacing w:after="180"/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789E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682C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93E89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C2FB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B08F1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EC46B7">
            <w:pPr>
              <w:widowControl/>
              <w:spacing w:after="180"/>
              <w:jc w:val="center"/>
            </w:pPr>
          </w:p>
        </w:tc>
      </w:tr>
      <w:tr w14:paraId="533734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F2BD6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A76C6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0ECD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4D739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5671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8AF66F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FE32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078A7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7E79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D128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26ECDD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3248BF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38F70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CBAE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37E36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EFC2D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6E92DD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3D13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164CB7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23B38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26E5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57A370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D7B7B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9BB00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7E75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CB495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0F699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ABDF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43E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E15D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C12D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D2E7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2BF6A2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3B2D8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0ADAA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560C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0294D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30D6E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501E7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E3BB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1E94B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FA2D9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127E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3521D7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DF9A3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4BE9F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7A3D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8D24D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4BE0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53771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18CF1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D2F5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5DB0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79EE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221D0C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7E3A2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4AAE8A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1E49D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03F3E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69453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040C9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0A03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F62D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553B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54699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2B50A4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F0BAD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58121A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A3B8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964C2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81BE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D9F6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264D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3D98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793D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BF0C1"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4C4986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2C95A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839AC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FAD9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0E827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9C4BC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1B75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95EF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28506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022CDF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2797F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3C74D7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138935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0546B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62B7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EE38E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5235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F363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8A50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3736D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9E7AE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F0AA8F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28C1E4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0412F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1B8B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6D1A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4E249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A380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0ED1F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8005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CAD7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EED1A6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B91B87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3D0451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731307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782B6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0CA7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183D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D421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EAC57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8DA4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7B7F9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A443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94C4ED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05E224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A771A6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62F1AD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95036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CF67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94EAAF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42AAB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AF4A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2B4669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F677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53BB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748468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28C73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07B0B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CD4E9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34D6F7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9187DF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C941B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1E3B0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8DCA96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B2039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AB0B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01D05F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5C4E8"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5E257"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5FD0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1719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C7C1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E9547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50BB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A7F8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33F8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B3ABC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7DBB2A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508200">
            <w:pPr>
              <w:rPr>
                <w:rFonts w:ascii="宋体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A554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ADD29F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5DC3D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CDDC7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D6EE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A70E8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FDDC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6C82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64B8BC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E07ED">
            <w:pPr>
              <w:rPr>
                <w:rFonts w:ascii="宋体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CDCF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F9911"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8173B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BD447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257BA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88D0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74C0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AAB33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75D234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977B02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40B1F">
            <w:pPr>
              <w:widowControl/>
              <w:spacing w:after="180"/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AE08E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60B6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9495E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5323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E57B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03D20">
            <w:pPr>
              <w:rPr>
                <w:rFonts w:ascii="宋体"/>
                <w:sz w:val="24"/>
              </w:rPr>
            </w:pPr>
          </w:p>
        </w:tc>
      </w:tr>
    </w:tbl>
    <w:p w14:paraId="11402C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Style w:val="4"/>
        <w:tblW w:w="82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417"/>
        <w:gridCol w:w="466"/>
        <w:gridCol w:w="528"/>
        <w:gridCol w:w="495"/>
        <w:gridCol w:w="550"/>
        <w:gridCol w:w="605"/>
        <w:gridCol w:w="605"/>
        <w:gridCol w:w="605"/>
        <w:gridCol w:w="493"/>
        <w:gridCol w:w="584"/>
        <w:gridCol w:w="533"/>
        <w:gridCol w:w="533"/>
        <w:gridCol w:w="517"/>
        <w:gridCol w:w="846"/>
      </w:tblGrid>
      <w:tr w14:paraId="675DB8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E9D6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7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42DA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DAC01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60A2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5832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4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A9EE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6B69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5FBE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8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792B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F148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1E579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41E59">
            <w:pPr>
              <w:rPr>
                <w:rFonts w:ascii="宋体"/>
                <w:sz w:val="24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4B807">
            <w:pPr>
              <w:rPr>
                <w:rFonts w:ascii="宋体"/>
                <w:sz w:val="24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AA0FEC">
            <w:pPr>
              <w:rPr>
                <w:rFonts w:ascii="宋体"/>
                <w:sz w:val="24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A20A24">
            <w:pPr>
              <w:rPr>
                <w:rFonts w:ascii="宋体"/>
                <w:sz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0C181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72BFB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4F5C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F287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035BB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C9C7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F4D7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4E39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4E00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3D1CA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9801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5FCFE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FA61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8CB7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CFCD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94576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98C21"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DABF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6DDC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4E6BE"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09AC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3892D"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0587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F8B5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948116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0 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C219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 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5043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40FCCA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五、存在的主要问题及改进情况</w:t>
      </w:r>
    </w:p>
    <w:p w14:paraId="5DE5AC5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在本年度，我局严格贯彻落实《条例》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》，及时完成了政府信息公开相关工作的任务。但在工作中也存在以下不足：部分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科室对政府信息公开工作主动性不够，政府信息公开及时性还需要进一步提升。</w:t>
      </w:r>
    </w:p>
    <w:p w14:paraId="5ED9389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下一步，我局将从以下方面进行改进：一是要求各科室按照要求加强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公开工作，主动作为，同时按照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保密审查有关规定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保密审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查职责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二是要求局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公开工作人员履行督查职责，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定期督促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各科室做好政务公开工作，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保证公开信息的及时性、完整性和准确性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 w14:paraId="40B26D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六、其他需要报告的事项</w:t>
      </w:r>
    </w:p>
    <w:p w14:paraId="1A2F525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无其他需要报告的事项。</w:t>
      </w:r>
    </w:p>
    <w:p w14:paraId="5E4EADE1"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4B76399"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704EB5D"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区卫生健康局</w:t>
      </w:r>
    </w:p>
    <w:p w14:paraId="5F66D8C2"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2020年1月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 w14:paraId="283CC798">
      <w:pPr>
        <w:rPr>
          <w:rFonts w:hint="default"/>
          <w:i/>
          <w:iCs/>
          <w:lang w:val="en-US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21D177-4D3B-4D77-8CBC-886B8212AC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5796F9-85D7-478B-AC01-104917C0AD6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29CA589-8113-45A9-B1F0-F7BBB7FBF6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430F0D-864E-40F5-89E0-3B3093DBB43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C5ECC25-C693-4D35-9369-FA69963A47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F975AF3-062B-4758-97A8-A688AEF006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02397CF-04D0-4DE3-A4F6-03BAA41D5EE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1671"/>
    <w:rsid w:val="0C0A1671"/>
    <w:rsid w:val="2B8F2DE7"/>
    <w:rsid w:val="2F992B2C"/>
    <w:rsid w:val="2FFBAC99"/>
    <w:rsid w:val="4EAA726D"/>
    <w:rsid w:val="7555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0"/>
    <w:rPr>
      <w:rFonts w:ascii="Tahoma" w:hAnsi="Tahoma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2374</Words>
  <Characters>2469</Characters>
  <Lines>0</Lines>
  <Paragraphs>0</Paragraphs>
  <TotalTime>12</TotalTime>
  <ScaleCrop>false</ScaleCrop>
  <LinksUpToDate>false</LinksUpToDate>
  <CharactersWithSpaces>2663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2020-05-21T14:51:00Z</dcterms:created>
  <dc:creator>黄远立</dc:creator>
  <cp:lastModifiedBy>Julia</cp:lastModifiedBy>
  <dcterms:modified xsi:type="dcterms:W3CDTF">2025-07-10T09:14:27Z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eyJoZGlkIjoiMDliOGYwNzgxOTBhMjdiNWQxOWI1ZGIxZDA3MmMzYWIiLCJ1c2VySWQiOiIyMzcyMjc4NzEifQ==</vt:lpwstr>
  </property>
  <property fmtid="{D5CDD505-2E9C-101B-9397-08002B2CF9AE}" pid="4" name="ICV">
    <vt:lpwstr>7C76B683333E4903A07A3208FFC45913_13</vt:lpwstr>
  </property>
</Properties>
</file>