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/>
          <w:sz w:val="24"/>
          <w:szCs w:val="28"/>
        </w:rPr>
      </w:pPr>
      <w:r>
        <w:rPr>
          <w:rFonts w:hint="eastAsia" w:ascii="仿宋_GB2312" w:hAnsi="宋体" w:eastAsia="仿宋_GB2312"/>
          <w:sz w:val="30"/>
          <w:szCs w:val="30"/>
        </w:rPr>
        <w:t>附件</w:t>
      </w:r>
      <w:r>
        <w:rPr>
          <w:rFonts w:ascii="仿宋_GB2312" w:hAnsi="宋体" w:eastAsia="仿宋_GB2312"/>
          <w:sz w:val="30"/>
          <w:szCs w:val="30"/>
        </w:rPr>
        <w:t>1</w:t>
      </w:r>
    </w:p>
    <w:tbl>
      <w:tblPr>
        <w:tblStyle w:val="6"/>
        <w:tblW w:w="10695" w:type="dxa"/>
        <w:tblInd w:w="-10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420"/>
        <w:gridCol w:w="712"/>
        <w:gridCol w:w="955"/>
        <w:gridCol w:w="180"/>
        <w:gridCol w:w="9"/>
        <w:gridCol w:w="710"/>
        <w:gridCol w:w="376"/>
        <w:gridCol w:w="180"/>
        <w:gridCol w:w="1095"/>
        <w:gridCol w:w="331"/>
        <w:gridCol w:w="629"/>
        <w:gridCol w:w="505"/>
        <w:gridCol w:w="305"/>
        <w:gridCol w:w="150"/>
        <w:gridCol w:w="549"/>
        <w:gridCol w:w="366"/>
        <w:gridCol w:w="13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69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项目支出绩效自评表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（201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年）</w:t>
            </w:r>
          </w:p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填表单位（公章）：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695" w:type="dxa"/>
            <w:gridSpan w:val="18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2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20"/>
                <w:szCs w:val="20"/>
                <w:lang w:eastAsia="zh-CN"/>
              </w:rPr>
              <w:t>金融风险管理工作</w:t>
            </w:r>
          </w:p>
        </w:tc>
        <w:tc>
          <w:tcPr>
            <w:tcW w:w="23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项目类别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41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常规 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）一次性（ ） 追加（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项目主管单位</w:t>
            </w:r>
          </w:p>
        </w:tc>
        <w:tc>
          <w:tcPr>
            <w:tcW w:w="22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龙华区工业和信息化局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项目实施单位</w:t>
            </w:r>
          </w:p>
        </w:tc>
        <w:tc>
          <w:tcPr>
            <w:tcW w:w="41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龙华区工业和信息化局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项目周期</w:t>
            </w:r>
          </w:p>
        </w:tc>
        <w:tc>
          <w:tcPr>
            <w:tcW w:w="22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u w:val="singl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41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新增（ ）  延续（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eastAsia="zh-CN"/>
              </w:rPr>
              <w:t>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资金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2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77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其中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77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   其他资金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6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1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总体上持续推进金融风险攻坚战，大幅度压降我区涉众金融风险。具体做到，P2P整治，机构数量、借贷余额、出借人数量下降30%；非法陈案化解，推动非法集资陈案销案30%；日常风险防控，持续开展扫楼排查，利用大数据进行风险监测；开展投资者教育，教育群众远离非法集资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</w:p>
        </w:tc>
        <w:tc>
          <w:tcPr>
            <w:tcW w:w="41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ind w:firstLine="400" w:firstLineChars="200"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>2019年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纳入整治P2P机构12家，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>至2019年年底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全部停业，6家平台存量清零，出借人人数大幅压降，相关指标达到考核目标。会同各街道开展扫楼排雷行动，2019年共开展行动20次，核查企业机构共计约2680家；将600余家类金融企业纳入风险监测，出具监测报告30多次，上门核查保理公司58家，融资租赁公司10家，虚拟货币企业19家，私募基金63家；专项开展风险企业排查培训9场。</w:t>
            </w:r>
          </w:p>
          <w:p>
            <w:pPr>
              <w:widowControl/>
              <w:ind w:firstLine="400" w:firstLineChars="200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2019年开展以“携手筑网·同防共治”为主题的2019年度防范非法集资宣传月活动。</w:t>
            </w:r>
          </w:p>
          <w:p>
            <w:pPr>
              <w:widowControl/>
              <w:ind w:firstLine="400" w:firstLineChars="200"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8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指标目标值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金融风险现场排查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次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金融风险排查培训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次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因客观原因没有开展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私募集资核查报告专家评审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P2P网贷平台处置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质量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防范非法集资宣传月活动验收合格率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时效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培训完成及时性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系统平台实施计划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eastAsia="zh-CN"/>
              </w:rPr>
              <w:t>完成率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不适用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22"/>
              </w:tabs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yellow"/>
                <w:lang w:eastAsia="zh-CN"/>
              </w:rPr>
              <w:t>社会效益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>涉众金融风险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eastAsia="zh-CN"/>
              </w:rPr>
              <w:t>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 xml:space="preserve"> 降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>大幅下降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>10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生态效益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不适用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不适用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cy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cyan"/>
              </w:rPr>
              <w:t>服务对象满意度指标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cya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cyan"/>
              </w:rPr>
              <w:t>群众满意度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highlight w:val="cya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cyan"/>
                <w:lang w:val="en-US" w:eastAsia="zh-CN"/>
              </w:rPr>
              <w:t>100%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cya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cyan"/>
                <w:lang w:val="en-US" w:eastAsia="zh-CN"/>
              </w:rPr>
              <w:t>100%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cya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cyan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cya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cyan"/>
                <w:lang w:val="en-US" w:eastAsia="zh-CN"/>
              </w:rPr>
              <w:t>8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470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17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</w:trPr>
        <w:tc>
          <w:tcPr>
            <w:tcW w:w="10695" w:type="dxa"/>
            <w:gridSpan w:val="1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审核意见：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2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填报人：</w:t>
            </w:r>
          </w:p>
        </w:tc>
        <w:tc>
          <w:tcPr>
            <w:tcW w:w="184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任宏芳</w:t>
            </w:r>
          </w:p>
        </w:tc>
        <w:tc>
          <w:tcPr>
            <w:tcW w:w="127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联系方式：</w:t>
            </w:r>
          </w:p>
        </w:tc>
        <w:tc>
          <w:tcPr>
            <w:tcW w:w="142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23332889</w:t>
            </w: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填报日期：</w:t>
            </w:r>
          </w:p>
        </w:tc>
        <w:tc>
          <w:tcPr>
            <w:tcW w:w="272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2020年10月14日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bookmarkStart w:id="0" w:name="_GoBack" w:colFirst="0" w:colLast="6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审核：科室（中心）负责人</w:t>
            </w:r>
          </w:p>
        </w:tc>
        <w:tc>
          <w:tcPr>
            <w:tcW w:w="45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审核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2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bookmarkEnd w:id="0"/>
    </w:tbl>
    <w:p>
      <w:pPr>
        <w:widowControl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rPr>
          <w:rFonts w:hint="eastAsia"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备注：1. 全年预算数指的是预算调剂后的预算数，不是年初申报的预算数。</w:t>
      </w:r>
    </w:p>
    <w:p>
      <w:pPr>
        <w:widowControl/>
        <w:rPr>
          <w:rFonts w:hint="eastAsia"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 xml:space="preserve">      2.绩效指标中的“三级指标”和“指标目标值”按照2019年绩效目标申报表的内容填写。</w:t>
      </w:r>
    </w:p>
    <w:p>
      <w:pPr>
        <w:widowControl/>
        <w:rPr>
          <w:rFonts w:hint="eastAsia"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 xml:space="preserve">      3.若个别指标的完成情况未达到指标目标值，必须填写“未完成原因及改进措施”。</w:t>
      </w:r>
    </w:p>
    <w:p>
      <w:pPr>
        <w:widowControl/>
        <w:rPr>
          <w:rFonts w:hint="eastAsia"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 xml:space="preserve">      4.绩效指标权重由各部门根据项目实际情况确定，总分设定为100分，原则上一级指标权重统一设置为：产出指标50分，效益指标30分，满意度指标10分，预算执行率10分。</w:t>
      </w:r>
    </w:p>
    <w:p>
      <w:pPr>
        <w:widowControl/>
        <w:rPr>
          <w:rFonts w:hint="eastAsia"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 xml:space="preserve">      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25F66"/>
    <w:rsid w:val="026C6F9F"/>
    <w:rsid w:val="10F07172"/>
    <w:rsid w:val="133A7FE4"/>
    <w:rsid w:val="25862A53"/>
    <w:rsid w:val="2A4E6A2E"/>
    <w:rsid w:val="2AA963C4"/>
    <w:rsid w:val="2CB050A7"/>
    <w:rsid w:val="32836227"/>
    <w:rsid w:val="3B536449"/>
    <w:rsid w:val="405E5147"/>
    <w:rsid w:val="4262405D"/>
    <w:rsid w:val="55653FE0"/>
    <w:rsid w:val="58182456"/>
    <w:rsid w:val="65A84C0F"/>
    <w:rsid w:val="66D07103"/>
    <w:rsid w:val="675F0142"/>
    <w:rsid w:val="67B25F66"/>
    <w:rsid w:val="68870957"/>
    <w:rsid w:val="71EA1537"/>
    <w:rsid w:val="73803D87"/>
    <w:rsid w:val="759261D0"/>
    <w:rsid w:val="7C4A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DengXian" w:hAnsi="DengXian" w:eastAsia="DengXian"/>
      <w:kern w:val="0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2020-10-13T09:31:00Z</dcterms:created>
  <dc:creator>任宏芳</dc:creator>
  <cp:lastModifiedBy>张清</cp:lastModifiedBy>
  <dcterms:modified xsi:type="dcterms:W3CDTF">2020-11-10T13:23:38Z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