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kinsoku/>
        <w:wordWrap/>
        <w:overflowPunct/>
        <w:topLinePunct w:val="0"/>
        <w:autoSpaceDE/>
        <w:autoSpaceDN/>
        <w:bidi w:val="0"/>
        <w:spacing w:before="0" w:after="0" w:line="560" w:lineRule="exact"/>
        <w:ind w:firstLine="1320" w:firstLineChars="300"/>
        <w:jc w:val="both"/>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龙华区第六届诗词大会项目需求书</w:t>
      </w:r>
    </w:p>
    <w:p>
      <w:pPr>
        <w:keepNext w:val="0"/>
        <w:keepLines w:val="0"/>
        <w:pageBreakBefore w:val="0"/>
        <w:numPr>
          <w:ilvl w:val="0"/>
          <w:numId w:val="0"/>
        </w:numPr>
        <w:tabs>
          <w:tab w:val="left" w:pos="1820"/>
        </w:tabs>
        <w:kinsoku/>
        <w:wordWrap/>
        <w:overflowPunct/>
        <w:topLinePunct w:val="0"/>
        <w:autoSpaceDE/>
        <w:autoSpaceDN/>
        <w:bidi w:val="0"/>
        <w:snapToGrid w:val="0"/>
        <w:spacing w:after="0" w:line="560" w:lineRule="atLeast"/>
        <w:jc w:val="both"/>
        <w:textAlignment w:val="auto"/>
        <w:rPr>
          <w:rFonts w:hint="eastAsia" w:ascii="黑体" w:hAnsi="黑体" w:eastAsia="黑体" w:cs="黑体"/>
          <w:bCs/>
          <w:sz w:val="32"/>
          <w:szCs w:val="32"/>
          <w:highlight w:val="none"/>
          <w:lang w:eastAsia="zh-CN"/>
        </w:rPr>
      </w:pPr>
    </w:p>
    <w:p>
      <w:pPr>
        <w:keepNext w:val="0"/>
        <w:keepLines w:val="0"/>
        <w:pageBreakBefore w:val="0"/>
        <w:numPr>
          <w:ilvl w:val="0"/>
          <w:numId w:val="1"/>
        </w:numPr>
        <w:tabs>
          <w:tab w:val="left" w:pos="1820"/>
        </w:tabs>
        <w:kinsoku/>
        <w:wordWrap/>
        <w:overflowPunct/>
        <w:topLinePunct w:val="0"/>
        <w:autoSpaceDE/>
        <w:autoSpaceDN/>
        <w:bidi w:val="0"/>
        <w:snapToGrid w:val="0"/>
        <w:spacing w:after="0" w:line="560" w:lineRule="exact"/>
        <w:ind w:left="0" w:leftChars="0" w:right="0" w:rightChars="0" w:firstLine="640" w:firstLineChars="200"/>
        <w:jc w:val="both"/>
        <w:textAlignment w:val="auto"/>
        <w:rPr>
          <w:rFonts w:hint="eastAsia" w:ascii="黑体" w:hAnsi="黑体" w:eastAsia="黑体" w:cs="黑体"/>
          <w:bCs/>
          <w:sz w:val="32"/>
          <w:szCs w:val="32"/>
          <w:highlight w:val="none"/>
          <w:lang w:eastAsia="zh-CN"/>
        </w:rPr>
      </w:pPr>
      <w:r>
        <w:rPr>
          <w:rFonts w:hint="eastAsia" w:ascii="黑体" w:hAnsi="黑体" w:eastAsia="黑体" w:cs="黑体"/>
          <w:bCs/>
          <w:sz w:val="32"/>
          <w:szCs w:val="32"/>
          <w:highlight w:val="none"/>
          <w:lang w:eastAsia="zh-CN"/>
        </w:rPr>
        <w:t>项目</w:t>
      </w:r>
      <w:r>
        <w:rPr>
          <w:rFonts w:hint="eastAsia" w:ascii="黑体" w:hAnsi="黑体" w:eastAsia="黑体" w:cs="黑体"/>
          <w:bCs/>
          <w:sz w:val="32"/>
          <w:szCs w:val="32"/>
          <w:highlight w:val="none"/>
        </w:rPr>
        <w:t>目</w:t>
      </w:r>
      <w:r>
        <w:rPr>
          <w:rFonts w:hint="eastAsia" w:ascii="黑体" w:hAnsi="黑体" w:eastAsia="黑体" w:cs="黑体"/>
          <w:bCs/>
          <w:sz w:val="32"/>
          <w:szCs w:val="32"/>
          <w:highlight w:val="none"/>
          <w:lang w:eastAsia="zh-CN"/>
        </w:rPr>
        <w:t>标</w:t>
      </w:r>
    </w:p>
    <w:p>
      <w:pPr>
        <w:spacing w:line="560" w:lineRule="exact"/>
        <w:ind w:firstLine="640" w:firstLineChars="200"/>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龙华区</w:t>
      </w:r>
      <w:r>
        <w:rPr>
          <w:rFonts w:hint="eastAsia" w:ascii="仿宋_GB2312" w:hAnsi="仿宋_GB2312" w:eastAsia="仿宋_GB2312" w:cs="仿宋_GB2312"/>
          <w:sz w:val="32"/>
          <w:szCs w:val="32"/>
        </w:rPr>
        <w:t>诗词大会以弘扬中华优秀传统文化为</w:t>
      </w:r>
      <w:bookmarkStart w:id="0" w:name="_GoBack"/>
      <w:bookmarkEnd w:id="0"/>
      <w:r>
        <w:rPr>
          <w:rFonts w:hint="eastAsia" w:ascii="仿宋_GB2312" w:hAnsi="仿宋_GB2312" w:eastAsia="仿宋_GB2312" w:cs="仿宋_GB2312"/>
          <w:sz w:val="32"/>
          <w:szCs w:val="32"/>
          <w:lang w:eastAsia="zh-CN"/>
        </w:rPr>
        <w:t>己</w:t>
      </w:r>
      <w:r>
        <w:rPr>
          <w:rFonts w:hint="eastAsia" w:ascii="仿宋_GB2312" w:hAnsi="仿宋_GB2312" w:eastAsia="仿宋_GB2312" w:cs="仿宋_GB2312"/>
          <w:sz w:val="32"/>
          <w:szCs w:val="32"/>
        </w:rPr>
        <w:t>任，</w:t>
      </w:r>
      <w:r>
        <w:rPr>
          <w:rFonts w:hint="eastAsia"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rPr>
        <w:t>打造具有龙华特色的诗词阅读文化盛会为目的，</w:t>
      </w:r>
      <w:r>
        <w:rPr>
          <w:rFonts w:hint="eastAsia" w:ascii="仿宋_GB2312" w:hAnsi="仿宋_GB2312" w:eastAsia="仿宋_GB2312" w:cs="仿宋_GB2312"/>
          <w:sz w:val="32"/>
          <w:szCs w:val="32"/>
          <w:lang w:val="en-US" w:eastAsia="zh-CN"/>
        </w:rPr>
        <w:t>自2019年以来，已成功举办了五届。为持续打造龙华区阅读品牌IP，</w:t>
      </w:r>
      <w:r>
        <w:rPr>
          <w:rFonts w:hint="eastAsia" w:ascii="仿宋_GB2312" w:hAnsi="仿宋_GB2312" w:eastAsia="仿宋_GB2312" w:cs="仿宋_GB2312"/>
          <w:sz w:val="32"/>
          <w:szCs w:val="32"/>
        </w:rPr>
        <w:t>扩大</w:t>
      </w:r>
      <w:r>
        <w:rPr>
          <w:rFonts w:hint="eastAsia" w:ascii="仿宋_GB2312" w:hAnsi="仿宋_GB2312" w:eastAsia="仿宋_GB2312" w:cs="仿宋_GB2312"/>
          <w:sz w:val="32"/>
          <w:szCs w:val="32"/>
          <w:lang w:val="en-US" w:eastAsia="zh-CN"/>
        </w:rPr>
        <w:t>龙华区</w:t>
      </w:r>
      <w:r>
        <w:rPr>
          <w:rFonts w:hint="eastAsia" w:ascii="仿宋_GB2312" w:hAnsi="仿宋_GB2312" w:eastAsia="仿宋_GB2312" w:cs="仿宋_GB2312"/>
          <w:sz w:val="32"/>
          <w:szCs w:val="32"/>
        </w:rPr>
        <w:t>诗词大会的影响力，</w:t>
      </w:r>
      <w:r>
        <w:rPr>
          <w:rFonts w:hint="eastAsia" w:ascii="仿宋_GB2312" w:hAnsi="仿宋_GB2312" w:eastAsia="仿宋_GB2312" w:cs="仿宋_GB2312"/>
          <w:sz w:val="32"/>
          <w:szCs w:val="32"/>
          <w:lang w:val="en-US" w:eastAsia="zh-CN"/>
        </w:rPr>
        <w:t>继续</w:t>
      </w:r>
      <w:r>
        <w:rPr>
          <w:rFonts w:hint="eastAsia" w:ascii="仿宋_GB2312" w:hAnsi="仿宋_GB2312" w:eastAsia="仿宋_GB2312" w:cs="仿宋_GB2312"/>
          <w:sz w:val="32"/>
          <w:szCs w:val="32"/>
        </w:rPr>
        <w:t>传播和弘扬中华</w:t>
      </w:r>
      <w:r>
        <w:rPr>
          <w:rFonts w:hint="eastAsia" w:ascii="仿宋_GB2312" w:hAnsi="仿宋_GB2312" w:eastAsia="仿宋_GB2312" w:cs="仿宋_GB2312"/>
          <w:sz w:val="32"/>
          <w:szCs w:val="32"/>
          <w:lang w:val="en-US" w:eastAsia="zh-CN"/>
        </w:rPr>
        <w:t>优秀传统文化，</w:t>
      </w:r>
      <w:r>
        <w:rPr>
          <w:rFonts w:hint="eastAsia" w:ascii="仿宋_GB2312" w:hAnsi="仿宋_GB2312" w:eastAsia="仿宋_GB2312" w:cs="仿宋_GB2312"/>
          <w:sz w:val="32"/>
          <w:szCs w:val="32"/>
        </w:rPr>
        <w:t>引导市民读者从悠久历史和灿烂文化中及取营养智慧，用书香和诗意装点生活，</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lang w:eastAsia="zh-CN"/>
        </w:rPr>
        <w:t>计划</w:t>
      </w:r>
      <w:r>
        <w:rPr>
          <w:rFonts w:hint="eastAsia" w:ascii="仿宋_GB2312" w:hAnsi="仿宋_GB2312" w:eastAsia="仿宋_GB2312" w:cs="仿宋_GB2312"/>
          <w:sz w:val="32"/>
          <w:szCs w:val="32"/>
          <w:lang w:val="en-US" w:eastAsia="zh-CN"/>
        </w:rPr>
        <w:t>于9-11月</w:t>
      </w:r>
      <w:r>
        <w:rPr>
          <w:rFonts w:hint="eastAsia" w:ascii="仿宋_GB2312" w:hAnsi="仿宋_GB2312" w:eastAsia="仿宋_GB2312" w:cs="仿宋_GB2312"/>
          <w:sz w:val="32"/>
          <w:szCs w:val="32"/>
        </w:rPr>
        <w:t>开展龙华区第</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届诗词大会。</w:t>
      </w:r>
    </w:p>
    <w:p>
      <w:pPr>
        <w:keepNext w:val="0"/>
        <w:keepLines w:val="0"/>
        <w:pageBreakBefore w:val="0"/>
        <w:widowControl/>
        <w:tabs>
          <w:tab w:val="left" w:pos="1820"/>
        </w:tabs>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eastAsia" w:ascii="黑体" w:hAnsi="黑体" w:eastAsia="黑体" w:cs="黑体"/>
          <w:bCs/>
          <w:sz w:val="32"/>
          <w:szCs w:val="32"/>
          <w:highlight w:val="none"/>
        </w:rPr>
      </w:pPr>
      <w:r>
        <w:rPr>
          <w:rFonts w:hint="eastAsia" w:ascii="黑体" w:hAnsi="黑体" w:eastAsia="黑体" w:cs="黑体"/>
          <w:bCs/>
          <w:sz w:val="32"/>
          <w:szCs w:val="32"/>
          <w:highlight w:val="none"/>
          <w:lang w:eastAsia="zh-CN"/>
        </w:rPr>
        <w:t>二</w:t>
      </w:r>
      <w:r>
        <w:rPr>
          <w:rFonts w:hint="eastAsia" w:ascii="黑体" w:hAnsi="黑体" w:eastAsia="黑体" w:cs="黑体"/>
          <w:bCs/>
          <w:sz w:val="32"/>
          <w:szCs w:val="32"/>
          <w:highlight w:val="none"/>
        </w:rPr>
        <w:t>、时间安排</w:t>
      </w:r>
    </w:p>
    <w:p>
      <w:pPr>
        <w:keepNext w:val="0"/>
        <w:keepLines w:val="0"/>
        <w:pageBreakBefore w:val="0"/>
        <w:numPr>
          <w:ilvl w:val="0"/>
          <w:numId w:val="0"/>
        </w:numPr>
        <w:kinsoku/>
        <w:wordWrap/>
        <w:overflowPunct/>
        <w:topLinePunct w:val="0"/>
        <w:autoSpaceDE/>
        <w:autoSpaceDN/>
        <w:bidi w:val="0"/>
        <w:spacing w:line="560" w:lineRule="exact"/>
        <w:ind w:right="0" w:rightChars="0" w:firstLine="640" w:firstLineChars="200"/>
        <w:textAlignment w:val="auto"/>
        <w:rPr>
          <w:rFonts w:hint="default"/>
          <w:highlight w:val="none"/>
          <w:lang w:val="en-US"/>
        </w:rPr>
      </w:pPr>
      <w:r>
        <w:rPr>
          <w:rFonts w:hint="eastAsia" w:ascii="仿宋_GB2312" w:hAnsi="宋体" w:eastAsia="仿宋_GB2312"/>
          <w:sz w:val="32"/>
          <w:szCs w:val="32"/>
          <w:highlight w:val="none"/>
          <w:lang w:val="en-US" w:eastAsia="zh-CN"/>
        </w:rPr>
        <w:t>2024年9</w:t>
      </w:r>
      <w:r>
        <w:rPr>
          <w:rFonts w:hint="eastAsia" w:ascii="仿宋_GB2312" w:hAnsi="宋体" w:eastAsia="仿宋_GB2312"/>
          <w:sz w:val="32"/>
          <w:szCs w:val="32"/>
          <w:highlight w:val="none"/>
          <w:lang w:val="en" w:eastAsia="zh-CN"/>
        </w:rPr>
        <w:t>月</w:t>
      </w:r>
      <w:r>
        <w:rPr>
          <w:rFonts w:hint="eastAsia" w:ascii="仿宋_GB2312" w:hAnsi="宋体" w:eastAsia="仿宋_GB2312"/>
          <w:sz w:val="32"/>
          <w:szCs w:val="32"/>
          <w:highlight w:val="none"/>
          <w:lang w:val="en-US" w:eastAsia="zh-CN"/>
        </w:rPr>
        <w:t>-11月</w:t>
      </w:r>
    </w:p>
    <w:p>
      <w:pPr>
        <w:keepNext w:val="0"/>
        <w:keepLines w:val="0"/>
        <w:pageBreakBefore w:val="0"/>
        <w:numPr>
          <w:ilvl w:val="0"/>
          <w:numId w:val="0"/>
        </w:numPr>
        <w:tabs>
          <w:tab w:val="left" w:pos="1820"/>
        </w:tabs>
        <w:kinsoku/>
        <w:wordWrap/>
        <w:overflowPunct/>
        <w:topLinePunct w:val="0"/>
        <w:autoSpaceDE/>
        <w:autoSpaceDN/>
        <w:bidi w:val="0"/>
        <w:snapToGrid w:val="0"/>
        <w:spacing w:line="560" w:lineRule="exact"/>
        <w:ind w:right="0" w:rightChars="0" w:firstLine="640" w:firstLineChars="200"/>
        <w:jc w:val="both"/>
        <w:textAlignment w:val="auto"/>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三、</w:t>
      </w:r>
      <w:r>
        <w:rPr>
          <w:rFonts w:hint="eastAsia" w:ascii="黑体" w:hAnsi="黑体" w:eastAsia="黑体" w:cs="黑体"/>
          <w:b w:val="0"/>
          <w:bCs/>
          <w:sz w:val="32"/>
          <w:szCs w:val="32"/>
          <w:highlight w:val="none"/>
          <w:lang w:eastAsia="zh-CN"/>
        </w:rPr>
        <w:t>项目</w:t>
      </w:r>
      <w:r>
        <w:rPr>
          <w:rFonts w:hint="eastAsia" w:ascii="黑体" w:hAnsi="黑体" w:eastAsia="黑体" w:cs="黑体"/>
          <w:b w:val="0"/>
          <w:bCs/>
          <w:sz w:val="32"/>
          <w:szCs w:val="32"/>
          <w:highlight w:val="none"/>
        </w:rPr>
        <w:t>内容</w:t>
      </w:r>
      <w:r>
        <w:rPr>
          <w:rFonts w:hint="eastAsia" w:ascii="黑体" w:hAnsi="黑体" w:eastAsia="黑体" w:cs="黑体"/>
          <w:b w:val="0"/>
          <w:bCs/>
          <w:sz w:val="32"/>
          <w:szCs w:val="32"/>
          <w:highlight w:val="none"/>
          <w:lang w:val="en-US" w:eastAsia="zh-CN"/>
        </w:rPr>
        <w:t>及要求</w:t>
      </w:r>
    </w:p>
    <w:p>
      <w:pPr>
        <w:pStyle w:val="18"/>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楷体_GB2312" w:hAnsi="仿宋" w:eastAsia="楷体_GB2312" w:cs="宋体"/>
          <w:color w:val="000000"/>
          <w:kern w:val="0"/>
          <w:sz w:val="32"/>
          <w:szCs w:val="32"/>
          <w:highlight w:val="none"/>
          <w:lang w:val="en-US" w:eastAsia="zh-CN" w:bidi="ar-SA"/>
        </w:rPr>
      </w:pPr>
      <w:r>
        <w:rPr>
          <w:rFonts w:hint="eastAsia" w:ascii="楷体_GB2312" w:hAnsi="仿宋" w:eastAsia="楷体_GB2312" w:cs="宋体"/>
          <w:color w:val="000000"/>
          <w:kern w:val="0"/>
          <w:sz w:val="32"/>
          <w:szCs w:val="32"/>
          <w:highlight w:val="none"/>
          <w:lang w:val="en-US" w:eastAsia="zh-CN" w:bidi="ar-SA"/>
        </w:rPr>
        <w:t>（一）项目内容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0"/>
          <w:sz w:val="32"/>
          <w:szCs w:val="32"/>
          <w:highlight w:val="none"/>
          <w:lang w:val="en-US" w:eastAsia="zh-CN"/>
        </w:rPr>
        <w:t>活动分为</w:t>
      </w:r>
      <w:r>
        <w:rPr>
          <w:rFonts w:hint="default" w:ascii="仿宋_GB2312" w:hAnsi="仿宋_GB2312" w:eastAsia="仿宋_GB2312" w:cs="仿宋_GB2312"/>
          <w:sz w:val="32"/>
          <w:szCs w:val="32"/>
          <w:highlight w:val="none"/>
          <w:lang w:val="en"/>
        </w:rPr>
        <w:t>报名、初赛</w:t>
      </w:r>
      <w:r>
        <w:rPr>
          <w:rFonts w:hint="eastAsia" w:ascii="仿宋_GB2312" w:hAnsi="仿宋_GB2312" w:eastAsia="仿宋_GB2312" w:cs="仿宋_GB2312"/>
          <w:sz w:val="32"/>
          <w:szCs w:val="32"/>
          <w:highlight w:val="none"/>
          <w:lang w:val="en-US" w:eastAsia="zh-CN"/>
        </w:rPr>
        <w:t>、线下分享培训</w:t>
      </w:r>
      <w:r>
        <w:rPr>
          <w:rFonts w:hint="default" w:ascii="仿宋_GB2312" w:hAnsi="仿宋_GB2312" w:eastAsia="仿宋_GB2312" w:cs="仿宋_GB2312"/>
          <w:sz w:val="32"/>
          <w:szCs w:val="32"/>
          <w:highlight w:val="none"/>
          <w:lang w:val="en"/>
        </w:rPr>
        <w:t>、</w:t>
      </w:r>
      <w:r>
        <w:rPr>
          <w:rFonts w:hint="eastAsia" w:ascii="仿宋_GB2312" w:hAnsi="仿宋_GB2312" w:eastAsia="仿宋_GB2312" w:cs="仿宋_GB2312"/>
          <w:sz w:val="32"/>
          <w:szCs w:val="32"/>
          <w:highlight w:val="none"/>
          <w:lang w:val="en-US" w:eastAsia="zh-CN"/>
        </w:rPr>
        <w:t>晋级赛、</w:t>
      </w:r>
      <w:r>
        <w:rPr>
          <w:rFonts w:hint="default" w:ascii="仿宋_GB2312" w:hAnsi="仿宋_GB2312" w:eastAsia="仿宋_GB2312" w:cs="仿宋_GB2312"/>
          <w:sz w:val="32"/>
          <w:szCs w:val="32"/>
          <w:highlight w:val="none"/>
          <w:lang w:val="en"/>
        </w:rPr>
        <w:t>总决赛</w:t>
      </w:r>
      <w:r>
        <w:rPr>
          <w:rFonts w:hint="eastAsia" w:ascii="仿宋_GB2312" w:hAnsi="仿宋_GB2312" w:eastAsia="仿宋_GB2312" w:cs="仿宋_GB2312"/>
          <w:sz w:val="32"/>
          <w:szCs w:val="32"/>
          <w:highlight w:val="none"/>
          <w:lang w:val="en" w:eastAsia="zh-CN"/>
        </w:rPr>
        <w:t>、</w:t>
      </w:r>
      <w:r>
        <w:rPr>
          <w:rFonts w:hint="eastAsia" w:ascii="仿宋_GB2312" w:hAnsi="仿宋_GB2312" w:eastAsia="仿宋_GB2312" w:cs="仿宋_GB2312"/>
          <w:sz w:val="32"/>
          <w:szCs w:val="32"/>
          <w:lang w:val="en-US" w:eastAsia="zh-CN"/>
        </w:rPr>
        <w:t>诗词文化展演六</w:t>
      </w:r>
      <w:r>
        <w:rPr>
          <w:rFonts w:hint="default" w:ascii="仿宋_GB2312" w:hAnsi="仿宋_GB2312" w:eastAsia="仿宋_GB2312" w:cs="仿宋_GB2312"/>
          <w:sz w:val="32"/>
          <w:szCs w:val="32"/>
          <w:lang w:val="en" w:eastAsia="zh-CN"/>
        </w:rPr>
        <w:t>个部分</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spacing w:line="560" w:lineRule="exact"/>
        <w:ind w:left="640" w:leftChars="0"/>
        <w:jc w:val="both"/>
        <w:textAlignment w:val="auto"/>
        <w:rPr>
          <w:rFonts w:hint="default"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1.报名</w:t>
      </w:r>
    </w:p>
    <w:p>
      <w:p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rPr>
        <w:t>面向所有诗词爱好者开放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rPr>
        <w:t>不限地域、年龄、性别、职业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不限形式，</w:t>
      </w:r>
      <w:r>
        <w:rPr>
          <w:rFonts w:hint="eastAsia" w:ascii="仿宋_GB2312" w:hAnsi="仿宋_GB2312" w:eastAsia="仿宋_GB2312" w:cs="仿宋_GB2312"/>
          <w:sz w:val="32"/>
          <w:szCs w:val="32"/>
          <w:highlight w:val="none"/>
        </w:rPr>
        <w:t>鼓励多元化的诗词爱好者</w:t>
      </w:r>
      <w:r>
        <w:rPr>
          <w:rFonts w:hint="eastAsia" w:ascii="仿宋_GB2312" w:hAnsi="仿宋_GB2312" w:eastAsia="仿宋_GB2312" w:cs="仿宋_GB2312"/>
          <w:sz w:val="32"/>
          <w:szCs w:val="32"/>
          <w:highlight w:val="none"/>
          <w:lang w:val="en-US" w:eastAsia="zh-CN"/>
        </w:rPr>
        <w:t>组合</w:t>
      </w:r>
      <w:r>
        <w:rPr>
          <w:rFonts w:hint="eastAsia" w:ascii="仿宋_GB2312" w:hAnsi="仿宋_GB2312" w:eastAsia="仿宋_GB2312" w:cs="仿宋_GB2312"/>
          <w:sz w:val="32"/>
          <w:szCs w:val="32"/>
          <w:highlight w:val="none"/>
        </w:rPr>
        <w:t>参与，</w:t>
      </w:r>
      <w:r>
        <w:rPr>
          <w:rFonts w:hint="eastAsia" w:ascii="仿宋_GB2312" w:hAnsi="仿宋_GB2312" w:eastAsia="仿宋_GB2312" w:cs="仿宋_GB2312"/>
          <w:sz w:val="32"/>
          <w:szCs w:val="32"/>
          <w:lang w:val="en-US" w:eastAsia="zh-CN"/>
        </w:rPr>
        <w:t>活动相关信息及报名公告通过</w:t>
      </w:r>
      <w:r>
        <w:rPr>
          <w:rFonts w:hint="default" w:ascii="仿宋_GB2312" w:hAnsi="仿宋_GB2312" w:eastAsia="仿宋_GB2312" w:cs="仿宋_GB2312"/>
          <w:sz w:val="32"/>
          <w:szCs w:val="32"/>
          <w:lang w:val="en-US" w:eastAsia="zh-CN"/>
        </w:rPr>
        <w:fldChar w:fldCharType="begin"/>
      </w:r>
      <w:r>
        <w:rPr>
          <w:rFonts w:hint="default" w:ascii="仿宋_GB2312" w:hAnsi="仿宋_GB2312" w:eastAsia="仿宋_GB2312" w:cs="仿宋_GB2312"/>
          <w:sz w:val="32"/>
          <w:szCs w:val="32"/>
          <w:lang w:val="en-US" w:eastAsia="zh-CN"/>
        </w:rPr>
        <w:instrText xml:space="preserve"> HYPERLINK "https://mp.weixin.qq.com/s?search_click_id=12586086201867279323-1694509870307-4685606464&amp;__biz=Mzg2NTU3MzU3NA==&amp;mid=2247531138&amp;idx=1&amp;sn=65e4762126fdd352b33c3e22febb585d&amp;chksm=ce5a352bf92dbc3dd8e27dbf0df3bdfae763b1b412092a7f14286bad1be16fd60c15c7b0d7d4&amp;key=3a4fa5a1383611c44e9cd77216a413de1eb5b8d0c099e8bd770943c1a31783c6c978509664e7919efb3580320494e241a4c018597f2ff54ea606e2f1c9c8aeb74b0e8af9539fda7de0af57cbf0ad32de52597343e017e8d2c80962163283a64bf007726a03136c7a31f6445b828e00e5bd4ca0fd01ba2cf7d77f892571a151b5&amp;ascene=0&amp;uin=MjA4NzEyNzAwMg==&amp;devicetype=Windows+11+x64&amp;version=6309021a&amp;lang=zh_CN&amp;countrycode=CN&amp;exportkey=n_ChQIAhIQiG96It+6P9I/qeKIGxKRGBLgAQIE97dBBAEAAAAAAGpFI4J4u3oAAAAOpnltbLcz9gKNyK89dVj0St1pk907er8bhlCBCde7pfeivHlK9hm4keBGEUUww6yLxOhH2Jvj5G05AltsmdQXV78pL0lXEZQx6e7hAHWwjBNjaBvrR4WfMPq2fDu673E8OA3tzSjELDwiBghVJ6LzM1gHIKAknY23Lpn4GSZ/sepi+wU8WIz1Ea7xkMKCKY3X5OYadbQ4wZHE59AKNDbVgIvFd1ubLz82nswwdLLA/kvlhbMBgHdofigWbJI2K7BuxfnYdEy0pN5X&amp;acctmode=0&amp;pass_ticket=m9uiA6/zF7h2+Uhoc7apNwKNUrlAJZQiCjompK/IzWzrZeBbVKTB6SLUOAgTKz9u&amp;wx_header=1&amp;fasttmpl_type=0&amp;fasttmpl_fullversion=6851911-zh_CN-zip&amp;fasttmpl_flag=1" </w:instrText>
      </w:r>
      <w:r>
        <w:rPr>
          <w:rFonts w:hint="default" w:ascii="仿宋_GB2312" w:hAnsi="仿宋_GB2312" w:eastAsia="仿宋_GB2312" w:cs="仿宋_GB2312"/>
          <w:sz w:val="32"/>
          <w:szCs w:val="32"/>
          <w:lang w:val="en-US" w:eastAsia="zh-CN"/>
        </w:rPr>
        <w:fldChar w:fldCharType="separate"/>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龙华文体云</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微信</w:t>
      </w:r>
      <w:r>
        <w:rPr>
          <w:rFonts w:hint="default" w:ascii="仿宋_GB2312" w:hAnsi="仿宋_GB2312" w:eastAsia="仿宋_GB2312" w:cs="仿宋_GB2312"/>
          <w:sz w:val="32"/>
          <w:szCs w:val="32"/>
          <w:lang w:val="en-US" w:eastAsia="zh-CN"/>
        </w:rPr>
        <w:t>公众号</w:t>
      </w:r>
      <w:r>
        <w:rPr>
          <w:rFonts w:hint="default" w:ascii="仿宋_GB2312" w:hAnsi="仿宋_GB2312" w:eastAsia="仿宋_GB2312" w:cs="仿宋_GB2312"/>
          <w:sz w:val="32"/>
          <w:szCs w:val="32"/>
          <w:highlight w:val="none"/>
          <w:lang w:val="en"/>
        </w:rPr>
        <w:t>、</w:t>
      </w:r>
      <w:r>
        <w:rPr>
          <w:rFonts w:hint="default"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“深圳市龙华区图书馆”微信公众号等渠道公布。也欢迎深圳市内外各中小学校及单位组织集中推举优秀种子选手报名参加。</w:t>
      </w:r>
    </w:p>
    <w:p>
      <w:pPr>
        <w:keepNext w:val="0"/>
        <w:keepLines w:val="0"/>
        <w:pageBreakBefore w:val="0"/>
        <w:widowControl w:val="0"/>
        <w:numPr>
          <w:ilvl w:val="0"/>
          <w:numId w:val="0"/>
        </w:numPr>
        <w:kinsoku/>
        <w:wordWrap/>
        <w:overflowPunct/>
        <w:topLinePunct w:val="0"/>
        <w:autoSpaceDE/>
        <w:autoSpaceDN/>
        <w:bidi w:val="0"/>
        <w:spacing w:line="560" w:lineRule="exact"/>
        <w:ind w:left="640" w:leftChars="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2.初赛</w:t>
      </w:r>
    </w:p>
    <w:p>
      <w:pPr>
        <w:spacing w:line="560" w:lineRule="exact"/>
        <w:ind w:firstLine="640" w:firstLineChars="200"/>
        <w:rPr>
          <w:rFonts w:hint="eastAsia" w:ascii="楷体_GB2312" w:hAnsi="楷体_GB2312" w:eastAsia="楷体_GB2312" w:cs="楷体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初赛海选,</w:t>
      </w:r>
      <w:r>
        <w:rPr>
          <w:rFonts w:hint="eastAsia" w:ascii="仿宋_GB2312" w:hAnsi="仿宋_GB2312" w:eastAsia="仿宋_GB2312" w:cs="仿宋_GB2312"/>
          <w:color w:val="auto"/>
          <w:sz w:val="32"/>
          <w:szCs w:val="32"/>
          <w:highlight w:val="none"/>
        </w:rPr>
        <w:t>根据报名人数遴选出若干名</w:t>
      </w:r>
      <w:r>
        <w:rPr>
          <w:rFonts w:hint="eastAsia" w:ascii="仿宋_GB2312" w:hAnsi="仿宋_GB2312" w:eastAsia="仿宋_GB2312" w:cs="仿宋_GB2312"/>
          <w:color w:val="auto"/>
          <w:sz w:val="32"/>
          <w:szCs w:val="32"/>
          <w:highlight w:val="none"/>
          <w:lang w:val="en-US" w:eastAsia="zh-CN"/>
        </w:rPr>
        <w:t>适合晋级的</w:t>
      </w:r>
      <w:r>
        <w:rPr>
          <w:rFonts w:hint="eastAsia" w:ascii="仿宋_GB2312" w:hAnsi="仿宋_GB2312" w:eastAsia="仿宋_GB2312" w:cs="仿宋_GB2312"/>
          <w:color w:val="auto"/>
          <w:sz w:val="32"/>
          <w:szCs w:val="32"/>
          <w:highlight w:val="none"/>
        </w:rPr>
        <w:t>选手</w:t>
      </w:r>
      <w:r>
        <w:rPr>
          <w:rFonts w:hint="eastAsia" w:ascii="仿宋_GB2312" w:hAnsi="仿宋_GB2312" w:eastAsia="仿宋_GB2312" w:cs="仿宋_GB2312"/>
          <w:bCs/>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spacing w:line="560" w:lineRule="exact"/>
        <w:ind w:left="640" w:leftChars="0"/>
        <w:jc w:val="both"/>
        <w:textAlignment w:val="auto"/>
        <w:rPr>
          <w:rFonts w:hint="default"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3.线下分享培训</w:t>
      </w:r>
    </w:p>
    <w:p>
      <w:pPr>
        <w:ind w:firstLine="640" w:firstLineChars="200"/>
        <w:rPr>
          <w:rFonts w:hint="default"/>
          <w:color w:val="auto"/>
          <w:highlight w:val="none"/>
          <w:lang w:val="en-US" w:eastAsia="zh-CN"/>
        </w:rPr>
      </w:pPr>
      <w:r>
        <w:rPr>
          <w:rFonts w:hint="eastAsia" w:ascii="仿宋_GB2312" w:hAnsi="仿宋_GB2312" w:eastAsia="仿宋_GB2312" w:cs="仿宋_GB2312"/>
          <w:color w:val="auto"/>
          <w:sz w:val="32"/>
          <w:szCs w:val="32"/>
          <w:highlight w:val="none"/>
          <w:lang w:val="en-US" w:eastAsia="zh-CN"/>
        </w:rPr>
        <w:t>在活动期间，面向入围选手级广大诗词爱好者开展不少于4场的线下分享培训。</w:t>
      </w:r>
    </w:p>
    <w:p>
      <w:pPr>
        <w:keepNext w:val="0"/>
        <w:keepLines w:val="0"/>
        <w:pageBreakBefore w:val="0"/>
        <w:widowControl w:val="0"/>
        <w:numPr>
          <w:ilvl w:val="0"/>
          <w:numId w:val="0"/>
        </w:numPr>
        <w:kinsoku/>
        <w:wordWrap/>
        <w:overflowPunct/>
        <w:topLinePunct w:val="0"/>
        <w:autoSpaceDE/>
        <w:autoSpaceDN/>
        <w:bidi w:val="0"/>
        <w:spacing w:line="560" w:lineRule="exact"/>
        <w:ind w:left="640" w:leftChars="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4.晋级赛</w:t>
      </w:r>
    </w:p>
    <w:p>
      <w:pPr>
        <w:spacing w:line="560" w:lineRule="exact"/>
        <w:ind w:firstLine="640" w:firstLineChars="200"/>
        <w:rPr>
          <w:rFonts w:hint="default" w:ascii="仿宋_GB2312" w:hAnsi="仿宋_GB2312" w:eastAsia="仿宋_GB2312" w:cs="仿宋_GB2312"/>
          <w:bCs/>
          <w:color w:val="auto"/>
          <w:sz w:val="32"/>
          <w:szCs w:val="32"/>
          <w:highlight w:val="none"/>
          <w:lang w:val="en-US"/>
        </w:rPr>
      </w:pPr>
      <w:r>
        <w:rPr>
          <w:rFonts w:hint="eastAsia" w:ascii="仿宋_GB2312" w:hAnsi="仿宋_GB2312" w:eastAsia="仿宋_GB2312" w:cs="仿宋_GB2312"/>
          <w:bCs/>
          <w:color w:val="auto"/>
          <w:sz w:val="32"/>
          <w:szCs w:val="32"/>
          <w:highlight w:val="none"/>
        </w:rPr>
        <w:t>选拔出</w:t>
      </w:r>
      <w:r>
        <w:rPr>
          <w:rFonts w:hint="eastAsia" w:ascii="仿宋_GB2312" w:hAnsi="仿宋_GB2312" w:eastAsia="仿宋_GB2312" w:cs="仿宋_GB2312"/>
          <w:bCs/>
          <w:color w:val="auto"/>
          <w:sz w:val="32"/>
          <w:szCs w:val="32"/>
          <w:highlight w:val="none"/>
          <w:lang w:val="en-US" w:eastAsia="zh-CN"/>
        </w:rPr>
        <w:t>若干名优秀选手进入</w:t>
      </w:r>
      <w:r>
        <w:rPr>
          <w:rFonts w:hint="eastAsia" w:ascii="仿宋_GB2312" w:hAnsi="仿宋_GB2312" w:eastAsia="仿宋_GB2312" w:cs="仿宋_GB2312"/>
          <w:bCs/>
          <w:color w:val="auto"/>
          <w:sz w:val="32"/>
          <w:szCs w:val="32"/>
          <w:highlight w:val="none"/>
        </w:rPr>
        <w:t>总决赛。</w:t>
      </w:r>
    </w:p>
    <w:p>
      <w:pPr>
        <w:keepNext w:val="0"/>
        <w:keepLines w:val="0"/>
        <w:pageBreakBefore w:val="0"/>
        <w:widowControl w:val="0"/>
        <w:numPr>
          <w:ilvl w:val="0"/>
          <w:numId w:val="0"/>
        </w:numPr>
        <w:kinsoku/>
        <w:wordWrap/>
        <w:overflowPunct/>
        <w:topLinePunct w:val="0"/>
        <w:autoSpaceDE/>
        <w:autoSpaceDN/>
        <w:bidi w:val="0"/>
        <w:spacing w:line="560" w:lineRule="exact"/>
        <w:ind w:left="640" w:leftChars="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5.总决赛</w:t>
      </w:r>
    </w:p>
    <w:p>
      <w:pPr>
        <w:numPr>
          <w:ilvl w:val="0"/>
          <w:numId w:val="0"/>
        </w:numPr>
        <w:spacing w:line="56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color w:val="auto"/>
          <w:sz w:val="32"/>
          <w:szCs w:val="32"/>
          <w:lang w:val="en-US" w:eastAsia="zh-CN"/>
        </w:rPr>
        <w:t>评选出本届诗词大会前三名，</w:t>
      </w:r>
      <w:r>
        <w:rPr>
          <w:rFonts w:hint="eastAsia" w:ascii="仿宋_GB2312" w:hAnsi="仿宋_GB2312" w:eastAsia="仿宋_GB2312" w:cs="仿宋_GB2312"/>
          <w:bCs/>
          <w:color w:val="auto"/>
          <w:sz w:val="32"/>
          <w:szCs w:val="32"/>
          <w:lang w:val="en-US" w:eastAsia="zh-CN"/>
        </w:rPr>
        <w:t>线上线下同步开展。</w:t>
      </w:r>
    </w:p>
    <w:p>
      <w:pPr>
        <w:keepNext w:val="0"/>
        <w:keepLines w:val="0"/>
        <w:pageBreakBefore w:val="0"/>
        <w:widowControl w:val="0"/>
        <w:numPr>
          <w:ilvl w:val="0"/>
          <w:numId w:val="0"/>
        </w:numPr>
        <w:kinsoku/>
        <w:wordWrap/>
        <w:overflowPunct/>
        <w:topLinePunct w:val="0"/>
        <w:autoSpaceDE/>
        <w:autoSpaceDN/>
        <w:bidi w:val="0"/>
        <w:spacing w:line="560" w:lineRule="exact"/>
        <w:ind w:left="640" w:leftChars="0"/>
        <w:jc w:val="both"/>
        <w:textAlignment w:val="auto"/>
        <w:rPr>
          <w:rFonts w:hint="default"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6.诗词文化展演</w:t>
      </w:r>
    </w:p>
    <w:p>
      <w:pPr>
        <w:numPr>
          <w:ilvl w:val="0"/>
          <w:numId w:val="0"/>
        </w:numPr>
        <w:spacing w:line="560" w:lineRule="exact"/>
        <w:ind w:firstLine="640" w:firstLineChars="200"/>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具体包括本届诗词大会颁奖仪式环节及诗词文化展演等环节，</w:t>
      </w:r>
      <w:r>
        <w:rPr>
          <w:rFonts w:hint="eastAsia" w:ascii="仿宋_GB2312" w:hAnsi="仿宋_GB2312" w:eastAsia="仿宋_GB2312" w:cs="仿宋_GB2312"/>
          <w:bCs/>
          <w:color w:val="auto"/>
          <w:sz w:val="32"/>
          <w:szCs w:val="32"/>
          <w:lang w:val="en-US" w:eastAsia="zh-CN"/>
        </w:rPr>
        <w:t>线上线下同步开展。</w:t>
      </w:r>
    </w:p>
    <w:p>
      <w:pPr>
        <w:pStyle w:val="18"/>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Chars="0" w:right="0" w:rightChars="0" w:firstLine="640" w:firstLineChars="200"/>
        <w:textAlignment w:val="auto"/>
        <w:rPr>
          <w:rFonts w:hint="eastAsia" w:ascii="楷体_GB2312" w:hAnsi="仿宋" w:eastAsia="楷体_GB2312" w:cs="宋体"/>
          <w:color w:val="000000"/>
          <w:kern w:val="0"/>
          <w:sz w:val="32"/>
          <w:szCs w:val="32"/>
          <w:lang w:val="en-US" w:eastAsia="zh-CN" w:bidi="ar-SA"/>
        </w:rPr>
      </w:pPr>
      <w:r>
        <w:rPr>
          <w:rFonts w:hint="eastAsia" w:ascii="楷体_GB2312" w:hAnsi="仿宋" w:eastAsia="楷体_GB2312" w:cs="宋体"/>
          <w:color w:val="000000"/>
          <w:kern w:val="0"/>
          <w:sz w:val="32"/>
          <w:szCs w:val="32"/>
          <w:lang w:val="en-US" w:eastAsia="zh-CN" w:bidi="ar-SA"/>
        </w:rPr>
        <w:t>（二）具体需求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 w:eastAsia="仿宋_GB2312" w:cs="仿宋"/>
          <w:sz w:val="32"/>
          <w:szCs w:val="32"/>
          <w:lang w:val="en-US" w:eastAsia="zh-CN"/>
        </w:rPr>
        <w:t>1.</w:t>
      </w:r>
      <w:r>
        <w:rPr>
          <w:rFonts w:hint="eastAsia" w:ascii="仿宋_GB2312" w:hAnsi="仿宋_GB2312" w:eastAsia="仿宋_GB2312" w:cs="仿宋_GB2312"/>
          <w:color w:val="auto"/>
          <w:kern w:val="0"/>
          <w:sz w:val="32"/>
          <w:szCs w:val="32"/>
        </w:rPr>
        <w:t>要高度重视此次活动的开展，深刻领会活动对向全社会弘扬优秀传统文化、促进素质教育全面实施的重要意义。</w:t>
      </w:r>
    </w:p>
    <w:p>
      <w:pPr>
        <w:numPr>
          <w:ilvl w:val="0"/>
          <w:numId w:val="0"/>
        </w:numPr>
        <w:spacing w:line="56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Cs/>
          <w:sz w:val="32"/>
          <w:szCs w:val="32"/>
          <w:lang w:val="en-US" w:eastAsia="zh-CN"/>
        </w:rPr>
        <w:t>2.负责组织策划该项目具体执行方案，活动开办形式新颖有亮点，包括但不限于制定科学合理的初赛、晋级赛、总决赛赛制、诗词文化展演的策划工作等；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3.负责赛事题库的开发及维护，剔重往届旧主题旧题型，拓展赛事题库的深度和广度；</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4.负责赛事招募宣传及推广工作，鼓励创新宣传推广手段，活跃活动氛围，提升话题度，拓宽推广面，并按照赛事进程撰写活动通稿；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 w:eastAsia="仿宋_GB2312" w:cs="仿宋"/>
          <w:sz w:val="32"/>
          <w:szCs w:val="32"/>
          <w:highlight w:val="none"/>
          <w:lang w:val="en-US" w:eastAsia="zh-CN"/>
        </w:rPr>
        <w:t>5.</w:t>
      </w:r>
      <w:r>
        <w:rPr>
          <w:rFonts w:hint="eastAsia" w:ascii="仿宋_GB2312" w:hAnsi="仿宋_GB2312" w:eastAsia="仿宋_GB2312" w:cs="仿宋_GB2312"/>
          <w:color w:val="auto"/>
          <w:kern w:val="0"/>
          <w:sz w:val="32"/>
          <w:szCs w:val="32"/>
          <w:highlight w:val="none"/>
          <w:lang w:val="en-US" w:eastAsia="zh-CN"/>
        </w:rPr>
        <w:t>负责赛事各阶段活动的组织、开展与落实工作。</w:t>
      </w:r>
      <w:r>
        <w:rPr>
          <w:rFonts w:hint="eastAsia" w:ascii="仿宋_GB2312" w:hAnsi="仿宋_GB2312" w:eastAsia="仿宋_GB2312" w:cs="仿宋_GB2312"/>
          <w:color w:val="auto"/>
          <w:kern w:val="0"/>
          <w:sz w:val="32"/>
          <w:szCs w:val="32"/>
          <w:lang w:val="en-US" w:eastAsia="zh-CN" w:bidi="ar-SA"/>
        </w:rPr>
        <w:t>其中，线下分享培训以讲座形式开展，不低于4场，平均每场2课时；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6.负责赛事的摄影摄像及影像资料整理工作，包括</w:t>
      </w:r>
      <w:r>
        <w:rPr>
          <w:rFonts w:hint="eastAsia" w:ascii="仿宋_GB2312" w:hAnsi="仿宋_GB2312" w:eastAsia="仿宋_GB2312" w:cs="仿宋_GB2312"/>
          <w:color w:val="auto"/>
          <w:kern w:val="0"/>
          <w:sz w:val="32"/>
          <w:szCs w:val="32"/>
          <w:highlight w:val="none"/>
          <w:lang w:val="en-US" w:eastAsia="zh-CN"/>
        </w:rPr>
        <w:t>赛事各阶段活动现场实时照片直播，初赛、晋级赛、总决赛3场的视频剪辑回顾工作，总决赛及诗词文化展演现场同步视频直播工作；</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lang w:val="en-US" w:eastAsia="zh-CN" w:bidi="ar-SA"/>
        </w:rPr>
        <w:t>7.</w:t>
      </w:r>
      <w:r>
        <w:rPr>
          <w:rFonts w:hint="eastAsia" w:ascii="仿宋_GB2312" w:hAnsi="仿宋_GB2312" w:eastAsia="仿宋_GB2312" w:cs="仿宋_GB2312"/>
          <w:color w:val="auto"/>
          <w:kern w:val="0"/>
          <w:sz w:val="32"/>
          <w:szCs w:val="32"/>
          <w:highlight w:val="none"/>
          <w:lang w:val="en-US" w:eastAsia="zh-CN"/>
        </w:rPr>
        <w:t>负责赛事各阶段活动宣传物料的设计及制作，包括但不限于各阶段宣传展板、打卡点、路线指引、节目单、座位贴等；</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8.负责配备赛事各阶段活动现场所需的各类设备，包括但不限于音响设备、舞台灯光设备、答题系统等；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9.负责赛事各阶段活动现场所需物料、设备、道具的运输、布置、包装、搭建及复原清洁工作</w:t>
      </w:r>
      <w:r>
        <w:rPr>
          <w:rFonts w:hint="eastAsia" w:ascii="仿宋_GB2312" w:hAnsi="仿宋" w:eastAsia="仿宋_GB2312" w:cs="仿宋"/>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lang w:val="en-US" w:eastAsia="zh-CN" w:bidi="ar-SA"/>
        </w:rPr>
        <w:t>10.负责赛事导师邀请等工作。导师主要协助组委会选拔优秀选手进入决赛，并对本届选手进行相关培训提升认知，同时在全区进行诗词文化的普及传播。</w:t>
      </w:r>
      <w:r>
        <w:rPr>
          <w:rFonts w:hint="eastAsia" w:ascii="仿宋_GB2312" w:hAnsi="仿宋" w:eastAsia="仿宋_GB2312" w:cs="仿宋"/>
          <w:sz w:val="32"/>
          <w:szCs w:val="32"/>
          <w:highlight w:val="none"/>
          <w:lang w:val="en-US" w:eastAsia="zh-CN"/>
        </w:rPr>
        <w:t>400元/课时，初赛、晋级赛、总决赛现场导师均不少于6位，具体视报名情况配合调整；</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0"/>
        <w:textAlignment w:val="auto"/>
        <w:rPr>
          <w:rFonts w:hint="default" w:ascii="仿宋_GB2312" w:hAnsi="仿宋" w:eastAsia="仿宋_GB2312" w:cs="仿宋"/>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11.</w:t>
      </w:r>
      <w:r>
        <w:rPr>
          <w:rFonts w:hint="eastAsia" w:ascii="仿宋_GB2312" w:hAnsi="仿宋" w:eastAsia="仿宋_GB2312" w:cs="仿宋"/>
          <w:sz w:val="32"/>
          <w:szCs w:val="32"/>
          <w:highlight w:val="none"/>
          <w:lang w:val="en-US" w:eastAsia="zh-CN"/>
        </w:rPr>
        <w:t>负责赛事所需主持人的邀请工作，及总决赛、诗词文化展演阶段主持人、导师及选手的妆发安排；</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12</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 w:eastAsia="仿宋_GB2312" w:cs="仿宋"/>
          <w:sz w:val="32"/>
          <w:szCs w:val="32"/>
          <w:highlight w:val="none"/>
          <w:lang w:val="en-US" w:eastAsia="zh-CN"/>
        </w:rPr>
        <w:t>负责制作总决赛现场所需的比赛规则介绍视频；</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13.负责设计、编排、制作总决赛所需的创新型考核题目，该考核题目题材不限于传统沙画、中国舞、艺术绘画、麦金画等种类，该类题目数量不得少于5个；</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14.负责诗词文化展演的舞美设计工作；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15.负责策划编排诗词文化展演现场观赏性强的表演节目；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 w:eastAsia="仿宋_GB2312" w:cs="仿宋"/>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16.负责诗词文化展演的舞台包装、舞台布景和道具制作；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17.负责赛事各阶段参赛证书的设计制作工作；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 w:eastAsia="仿宋_GB2312" w:cs="仿宋"/>
          <w:sz w:val="32"/>
          <w:szCs w:val="32"/>
          <w:highlight w:val="none"/>
          <w:lang w:val="en-US" w:eastAsia="zh-CN"/>
        </w:rPr>
        <w:t>18.负责赛事获奖证书的设计制作及奖品采购工作</w:t>
      </w:r>
      <w:r>
        <w:rPr>
          <w:rFonts w:hint="eastAsia" w:ascii="仿宋_GB2312" w:hAnsi="仿宋_GB2312" w:eastAsia="仿宋_GB2312" w:cs="仿宋_GB2312"/>
          <w:color w:val="auto"/>
          <w:kern w:val="0"/>
          <w:sz w:val="32"/>
          <w:szCs w:val="32"/>
          <w:highlight w:val="none"/>
          <w:lang w:val="en-US" w:eastAsia="zh-CN"/>
        </w:rPr>
        <w:t>；</w:t>
      </w:r>
    </w:p>
    <w:p>
      <w:pPr>
        <w:spacing w:line="560" w:lineRule="exact"/>
        <w:ind w:firstLine="640" w:firstLineChars="200"/>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19.负责制作总决赛阶段导师及参赛选手的战队宣传照，</w:t>
      </w:r>
      <w:r>
        <w:rPr>
          <w:rFonts w:hint="eastAsia" w:ascii="仿宋_GB2312" w:hAnsi="仿宋_GB2312" w:eastAsia="仿宋_GB2312" w:cs="仿宋_GB2312"/>
          <w:bCs/>
          <w:sz w:val="32"/>
          <w:szCs w:val="32"/>
          <w:highlight w:val="none"/>
        </w:rPr>
        <w:t>用于网络</w:t>
      </w:r>
      <w:r>
        <w:rPr>
          <w:rFonts w:hint="eastAsia" w:ascii="仿宋_GB2312" w:hAnsi="仿宋_GB2312" w:eastAsia="仿宋_GB2312" w:cs="仿宋_GB2312"/>
          <w:bCs/>
          <w:sz w:val="32"/>
          <w:szCs w:val="32"/>
          <w:highlight w:val="none"/>
          <w:lang w:val="en-US" w:eastAsia="zh-CN"/>
        </w:rPr>
        <w:t>宣传展示；</w:t>
      </w:r>
    </w:p>
    <w:p>
      <w:pPr>
        <w:spacing w:line="560" w:lineRule="exact"/>
        <w:ind w:firstLine="640" w:firstLineChars="200"/>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kern w:val="0"/>
          <w:sz w:val="32"/>
          <w:szCs w:val="32"/>
          <w:lang w:val="en-US" w:eastAsia="zh-CN"/>
        </w:rPr>
        <w:t>20.做好后勤保障工作，根据实际情况保障现场工作及相关人员的用餐、用水等；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val="en-US" w:eastAsia="zh-CN"/>
        </w:rPr>
        <w:t>21.负责所有参赛选手及相关参与人员的统筹和组织工作，安全保障工作，高度重视安全工作，</w:t>
      </w:r>
      <w:r>
        <w:rPr>
          <w:rFonts w:hint="eastAsia" w:ascii="仿宋_GB2312" w:hAnsi="仿宋_GB2312" w:eastAsia="仿宋_GB2312" w:cs="仿宋_GB2312"/>
          <w:color w:val="auto"/>
          <w:kern w:val="0"/>
          <w:sz w:val="32"/>
          <w:szCs w:val="32"/>
          <w:highlight w:val="none"/>
        </w:rPr>
        <w:t>确保活动有序开展</w:t>
      </w:r>
      <w:r>
        <w:rPr>
          <w:rFonts w:hint="eastAsia" w:ascii="仿宋_GB2312" w:hAnsi="仿宋_GB2312" w:eastAsia="仿宋_GB2312" w:cs="仿宋_GB2312"/>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kern w:val="0"/>
          <w:sz w:val="32"/>
          <w:szCs w:val="32"/>
          <w:highlight w:val="none"/>
          <w:lang w:val="en-US" w:eastAsia="zh-CN"/>
        </w:rPr>
        <w:t>22.整个活动必须坚持公平公正原则，严禁徇私舞弊，以学习、弘扬传统文化为主要目的，各参赛选手严格按照活动规则积</w:t>
      </w:r>
      <w:r>
        <w:rPr>
          <w:rFonts w:hint="eastAsia" w:ascii="仿宋_GB2312" w:hAnsi="仿宋_GB2312" w:eastAsia="仿宋_GB2312" w:cs="仿宋_GB2312"/>
          <w:sz w:val="32"/>
          <w:szCs w:val="32"/>
          <w:highlight w:val="none"/>
        </w:rPr>
        <w:t>极参赛。</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0"/>
        <w:textAlignment w:val="auto"/>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23.本活动所涉及文字、照片、视频影像等资料版权最终归主办方所有；</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0"/>
        <w:textAlignment w:val="auto"/>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24.由于供应商原因造成活动物料质量低劣，不能满足采购方要求时，应继续完善试验工作，其费用由供应商承担；</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0"/>
        <w:textAlignment w:val="auto"/>
        <w:rPr>
          <w:rFonts w:hint="default"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25.由于不可抗力因素、场地或人员安排冲突等原因导致活动改期，供应商应积极配合，并提供最优解决方案；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rPr>
      </w:pPr>
      <w:r>
        <w:rPr>
          <w:rFonts w:hint="eastAsia" w:ascii="仿宋_GB2312" w:hAnsi="仿宋" w:eastAsia="仿宋_GB2312" w:cs="仿宋"/>
          <w:sz w:val="32"/>
          <w:szCs w:val="32"/>
          <w:highlight w:val="none"/>
          <w:lang w:val="en-US" w:eastAsia="zh-CN"/>
        </w:rPr>
        <w:t>26.完成采购方要求的其他相关工作，保证活动高质量完成。</w:t>
      </w:r>
    </w:p>
    <w:p>
      <w:pPr>
        <w:pStyle w:val="3"/>
        <w:ind w:left="0" w:leftChars="0" w:firstLine="0" w:firstLineChars="0"/>
        <w:rPr>
          <w:rFonts w:hint="default" w:eastAsia="仿宋_GB2312"/>
          <w:lang w:val="en-US" w:eastAsia="zh-CN"/>
        </w:rPr>
      </w:pPr>
    </w:p>
    <w:p>
      <w:pPr>
        <w:numPr>
          <w:ilvl w:val="0"/>
          <w:numId w:val="2"/>
        </w:numPr>
        <w:tabs>
          <w:tab w:val="left" w:pos="1820"/>
        </w:tabs>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报价限额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 w:eastAsia="仿宋_GB2312" w:cs="仿宋"/>
          <w:sz w:val="32"/>
          <w:szCs w:val="32"/>
          <w:lang w:eastAsia="zh-CN"/>
        </w:rPr>
        <w:t>项目报价不得超过</w:t>
      </w:r>
      <w:r>
        <w:rPr>
          <w:rFonts w:hint="eastAsia" w:ascii="仿宋_GB2312" w:hAnsi="仿宋" w:eastAsia="仿宋_GB2312" w:cs="仿宋"/>
          <w:sz w:val="32"/>
          <w:szCs w:val="32"/>
          <w:lang w:val="en-US" w:eastAsia="zh-CN"/>
        </w:rPr>
        <w:t>40</w:t>
      </w:r>
      <w:r>
        <w:rPr>
          <w:rFonts w:hint="eastAsia" w:ascii="仿宋_GB2312" w:hAnsi="仿宋" w:eastAsia="仿宋_GB2312" w:cs="仿宋"/>
          <w:sz w:val="32"/>
          <w:szCs w:val="32"/>
        </w:rPr>
        <w:t>万元</w:t>
      </w:r>
      <w:r>
        <w:rPr>
          <w:rFonts w:hint="eastAsia" w:ascii="仿宋_GB2312" w:hAnsi="仿宋" w:eastAsia="仿宋_GB2312" w:cs="仿宋"/>
          <w:sz w:val="32"/>
          <w:szCs w:val="32"/>
          <w:lang w:val="en-US" w:eastAsia="zh-CN"/>
        </w:rPr>
        <w:t>,</w:t>
      </w:r>
      <w:r>
        <w:rPr>
          <w:rFonts w:hint="eastAsia" w:ascii="仿宋_GB2312" w:hAnsi="仿宋_GB2312" w:eastAsia="仿宋_GB2312" w:cs="仿宋_GB2312"/>
          <w:kern w:val="2"/>
          <w:sz w:val="32"/>
          <w:szCs w:val="32"/>
          <w:highlight w:val="none"/>
          <w:lang w:val="en-US" w:eastAsia="zh-CN" w:bidi="ar-SA"/>
        </w:rPr>
        <w:t>其中各项目报价不得超过对应的单项限额。</w:t>
      </w:r>
    </w:p>
    <w:tbl>
      <w:tblPr>
        <w:tblStyle w:val="8"/>
        <w:tblW w:w="88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7"/>
        <w:gridCol w:w="1755"/>
        <w:gridCol w:w="825"/>
        <w:gridCol w:w="810"/>
        <w:gridCol w:w="1650"/>
        <w:gridCol w:w="27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50" w:hRule="atLeast"/>
        </w:trPr>
        <w:tc>
          <w:tcPr>
            <w:tcW w:w="28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项目内容</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数量</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单位</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单项限额（元）</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710" w:hRule="atLeast"/>
        </w:trPr>
        <w:tc>
          <w:tcPr>
            <w:tcW w:w="1107"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总项目部分</w:t>
            </w:r>
          </w:p>
        </w:tc>
        <w:tc>
          <w:tcPr>
            <w:tcW w:w="175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题库开发</w:t>
            </w:r>
          </w:p>
        </w:tc>
        <w:tc>
          <w:tcPr>
            <w:tcW w:w="82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81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1650" w:type="dxa"/>
            <w:tcBorders>
              <w:top w:val="nil"/>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lang w:val="en-US"/>
              </w:rPr>
            </w:pPr>
            <w:r>
              <w:rPr>
                <w:rFonts w:hint="eastAsia" w:ascii="微软雅黑" w:hAnsi="微软雅黑" w:eastAsia="微软雅黑" w:cs="微软雅黑"/>
                <w:i w:val="0"/>
                <w:iCs w:val="0"/>
                <w:color w:val="000000"/>
                <w:kern w:val="0"/>
                <w:sz w:val="22"/>
                <w:szCs w:val="22"/>
                <w:highlight w:val="none"/>
                <w:u w:val="none"/>
                <w:lang w:val="en-US" w:eastAsia="zh-CN" w:bidi="ar"/>
              </w:rPr>
              <w:t>￥22,000.00</w:t>
            </w:r>
          </w:p>
        </w:tc>
        <w:tc>
          <w:tcPr>
            <w:tcW w:w="27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包括初赛晋级赛决赛所有赛次的题库，诗词理论知识编排、编写诗词知识试题、题型和题目内容的开发设计、考点分类、答案解析等</w:t>
            </w:r>
          </w:p>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题库创建很重要的工作是剔重，需把往届出现过的题目全部筛除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41" w:hRule="atLeast"/>
        </w:trPr>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活动宣传</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摄影摄像及影像资料整理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2"/>
                <w:szCs w:val="22"/>
                <w:highlight w:val="none"/>
                <w:u w:val="none"/>
                <w:lang w:val="en-US" w:eastAsia="zh-CN" w:bidi="ar"/>
              </w:rPr>
            </w:pPr>
            <w:r>
              <w:rPr>
                <w:rFonts w:hint="eastAsia" w:ascii="微软雅黑" w:hAnsi="微软雅黑" w:eastAsia="微软雅黑" w:cs="微软雅黑"/>
                <w:i w:val="0"/>
                <w:iCs w:val="0"/>
                <w:color w:val="000000"/>
                <w:kern w:val="0"/>
                <w:sz w:val="22"/>
                <w:szCs w:val="22"/>
                <w:highlight w:val="none"/>
                <w:u w:val="none"/>
                <w:lang w:val="en-US" w:eastAsia="zh-CN" w:bidi="ar"/>
              </w:rPr>
              <w:t>￥41,700.00</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lang w:val="en-US"/>
              </w:rPr>
            </w:pPr>
            <w:r>
              <w:rPr>
                <w:rFonts w:hint="eastAsia" w:ascii="微软雅黑" w:hAnsi="微软雅黑" w:eastAsia="微软雅黑" w:cs="微软雅黑"/>
                <w:i w:val="0"/>
                <w:iCs w:val="0"/>
                <w:color w:val="000000"/>
                <w:kern w:val="0"/>
                <w:sz w:val="18"/>
                <w:szCs w:val="18"/>
                <w:u w:val="none"/>
                <w:lang w:val="en-US" w:eastAsia="zh-CN" w:bidi="ar"/>
              </w:rPr>
              <w:t>包括全赛事照片直播、总决赛及诗词文化展演现场视频直播、初赛、晋级赛、总决赛 3场赛事回顾视频制作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4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活动宣传物料</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2"/>
                <w:szCs w:val="22"/>
                <w:highlight w:val="none"/>
                <w:u w:val="none"/>
                <w:lang w:val="en-US" w:eastAsia="zh-CN" w:bidi="ar"/>
              </w:rPr>
            </w:pP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包括赛程全阶段主题展板、路线指引展架、节目单、名字贴等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0" w:hRule="atLeast"/>
        </w:trPr>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初赛</w:t>
            </w:r>
          </w:p>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（为期2天）</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音响设备</w:t>
            </w:r>
          </w:p>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（租赁）</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2"/>
                <w:szCs w:val="22"/>
                <w:highlight w:val="none"/>
                <w:u w:val="none"/>
                <w:lang w:val="en-US" w:eastAsia="zh-CN" w:bidi="ar"/>
              </w:rPr>
            </w:pPr>
            <w:r>
              <w:rPr>
                <w:rFonts w:hint="eastAsia" w:ascii="微软雅黑" w:hAnsi="微软雅黑" w:eastAsia="微软雅黑" w:cs="微软雅黑"/>
                <w:i w:val="0"/>
                <w:iCs w:val="0"/>
                <w:color w:val="000000"/>
                <w:kern w:val="0"/>
                <w:sz w:val="22"/>
                <w:szCs w:val="22"/>
                <w:highlight w:val="none"/>
                <w:u w:val="none"/>
                <w:lang w:val="en-US" w:eastAsia="zh-CN" w:bidi="ar"/>
              </w:rPr>
              <w:t>￥26,600.00</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含手持麦、耳麦，2天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0"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人员劳务</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2"/>
                <w:szCs w:val="22"/>
                <w:highlight w:val="none"/>
                <w:u w:val="none"/>
                <w:lang w:val="en-US" w:eastAsia="zh-CN" w:bidi="ar"/>
              </w:rPr>
            </w:pP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含6名导师及1名主持人劳务费用，按400元/课时计算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41" w:hRule="atLeast"/>
        </w:trPr>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晋级赛</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音响设备</w:t>
            </w:r>
          </w:p>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（租赁）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2"/>
                <w:szCs w:val="22"/>
                <w:highlight w:val="none"/>
                <w:u w:val="none"/>
                <w:lang w:val="en-US" w:eastAsia="zh-CN" w:bidi="ar"/>
              </w:rPr>
            </w:pPr>
            <w:r>
              <w:rPr>
                <w:rFonts w:hint="eastAsia" w:ascii="微软雅黑" w:hAnsi="微软雅黑" w:eastAsia="微软雅黑" w:cs="微软雅黑"/>
                <w:i w:val="0"/>
                <w:iCs w:val="0"/>
                <w:color w:val="000000"/>
                <w:kern w:val="0"/>
                <w:sz w:val="22"/>
                <w:szCs w:val="22"/>
                <w:highlight w:val="none"/>
                <w:u w:val="none"/>
                <w:lang w:val="en-US" w:eastAsia="zh-CN" w:bidi="ar"/>
              </w:rPr>
              <w:t>￥13,300.00</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含手持麦、耳麦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74" w:hRule="atLeast"/>
        </w:trPr>
        <w:tc>
          <w:tcPr>
            <w:tcW w:w="110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人员劳务</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2"/>
                <w:szCs w:val="22"/>
                <w:highlight w:val="none"/>
                <w:u w:val="none"/>
                <w:lang w:val="en-US" w:eastAsia="zh-CN" w:bidi="ar"/>
              </w:rPr>
            </w:pP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含6名导师及1名主持人劳务费用，按400元/课时计算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71" w:hRule="atLeast"/>
        </w:trPr>
        <w:tc>
          <w:tcPr>
            <w:tcW w:w="1107"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总决赛</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设备及道具</w:t>
            </w:r>
          </w:p>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bidi="ar"/>
              </w:rPr>
              <w:t>（租赁）</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2"/>
                <w:szCs w:val="22"/>
                <w:highlight w:val="none"/>
                <w:u w:val="none"/>
                <w:lang w:val="en-US" w:eastAsia="zh-CN" w:bidi="ar"/>
              </w:rPr>
            </w:pPr>
            <w:r>
              <w:rPr>
                <w:rFonts w:hint="eastAsia" w:ascii="微软雅黑" w:hAnsi="微软雅黑" w:eastAsia="微软雅黑" w:cs="微软雅黑"/>
                <w:i w:val="0"/>
                <w:iCs w:val="0"/>
                <w:color w:val="000000"/>
                <w:kern w:val="0"/>
                <w:sz w:val="22"/>
                <w:szCs w:val="22"/>
                <w:highlight w:val="none"/>
                <w:u w:val="none"/>
                <w:lang w:val="en-US" w:eastAsia="zh-CN" w:bidi="ar"/>
              </w:rPr>
              <w:t>￥63,600.00</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中型舞台音响及答题系统，含屏幕、音响控制台及操控系统、计时系统、抢答系统租赁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71" w:hRule="atLeast"/>
        </w:trPr>
        <w:tc>
          <w:tcPr>
            <w:tcW w:w="110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舞台包装</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165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highlight w:val="none"/>
                <w:u w:val="none"/>
                <w:lang w:val="en-US" w:eastAsia="zh-CN" w:bidi="ar"/>
              </w:rPr>
            </w:pP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含舞台延伸+地毯包装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73" w:hRule="atLeast"/>
        </w:trPr>
        <w:tc>
          <w:tcPr>
            <w:tcW w:w="110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75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人员劳务</w:t>
            </w:r>
          </w:p>
        </w:tc>
        <w:tc>
          <w:tcPr>
            <w:tcW w:w="82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81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1650"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2"/>
                <w:szCs w:val="22"/>
                <w:highlight w:val="none"/>
                <w:u w:val="none"/>
                <w:lang w:val="en-US" w:eastAsia="zh-CN" w:bidi="ar"/>
              </w:rPr>
            </w:pPr>
          </w:p>
        </w:tc>
        <w:tc>
          <w:tcPr>
            <w:tcW w:w="27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含6名导师、1名主持人、2名化妆师劳务费用，按400元/课时计算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80"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75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比赛规则视频制作</w:t>
            </w:r>
          </w:p>
        </w:tc>
        <w:tc>
          <w:tcPr>
            <w:tcW w:w="82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81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1650"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2"/>
                <w:szCs w:val="22"/>
                <w:highlight w:val="none"/>
                <w:u w:val="none"/>
                <w:lang w:val="en-US" w:eastAsia="zh-CN" w:bidi="ar"/>
              </w:rPr>
            </w:pPr>
          </w:p>
        </w:tc>
        <w:tc>
          <w:tcPr>
            <w:tcW w:w="27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根据本届赛制用动画特效制作合适的比赛规则视频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80"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创新型考核题目制作</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2"/>
                <w:szCs w:val="22"/>
                <w:highlight w:val="none"/>
                <w:u w:val="none"/>
                <w:lang w:val="en-US" w:eastAsia="zh-CN" w:bidi="ar"/>
              </w:rPr>
            </w:pP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lang w:val="en-US"/>
              </w:rPr>
            </w:pPr>
            <w:r>
              <w:rPr>
                <w:rFonts w:hint="eastAsia" w:ascii="微软雅黑" w:hAnsi="微软雅黑" w:eastAsia="微软雅黑" w:cs="微软雅黑"/>
                <w:i w:val="0"/>
                <w:iCs w:val="0"/>
                <w:color w:val="000000"/>
                <w:kern w:val="0"/>
                <w:sz w:val="18"/>
                <w:szCs w:val="18"/>
                <w:u w:val="none"/>
                <w:lang w:val="en-US" w:eastAsia="zh-CN" w:bidi="ar"/>
              </w:rPr>
              <w:t>该类题目数量不得少于5个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80"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75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运输及装台</w:t>
            </w:r>
          </w:p>
        </w:tc>
        <w:tc>
          <w:tcPr>
            <w:tcW w:w="82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81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1650"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2"/>
                <w:szCs w:val="22"/>
                <w:highlight w:val="none"/>
                <w:u w:val="none"/>
                <w:lang w:val="en-US" w:eastAsia="zh-CN" w:bidi="ar"/>
              </w:rPr>
            </w:pPr>
          </w:p>
        </w:tc>
        <w:tc>
          <w:tcPr>
            <w:tcW w:w="27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来回两趟+拆装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0"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后勤保障</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2"/>
                <w:szCs w:val="22"/>
                <w:highlight w:val="none"/>
                <w:u w:val="none"/>
                <w:lang w:val="en-US" w:eastAsia="zh-CN" w:bidi="ar"/>
              </w:rPr>
            </w:pP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工作人员误餐、用水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0" w:hRule="atLeast"/>
        </w:trPr>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诗词文化展演</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设备搭建</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（租赁）</w:t>
            </w:r>
          </w:p>
        </w:tc>
        <w:tc>
          <w:tcPr>
            <w:tcW w:w="82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81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2"/>
                <w:szCs w:val="22"/>
                <w:highlight w:val="none"/>
                <w:u w:val="none"/>
                <w:lang w:val="en-US" w:eastAsia="zh-CN" w:bidi="ar"/>
              </w:rPr>
            </w:pPr>
            <w:r>
              <w:rPr>
                <w:rFonts w:hint="eastAsia" w:ascii="微软雅黑" w:hAnsi="微软雅黑" w:eastAsia="微软雅黑" w:cs="微软雅黑"/>
                <w:i w:val="0"/>
                <w:iCs w:val="0"/>
                <w:color w:val="000000"/>
                <w:kern w:val="0"/>
                <w:sz w:val="22"/>
                <w:szCs w:val="22"/>
                <w:highlight w:val="none"/>
                <w:u w:val="none"/>
                <w:lang w:val="en-US" w:eastAsia="zh-CN" w:bidi="ar"/>
              </w:rPr>
              <w:t>￥229, 600.00</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演出级专业舞台音响、专业舞台灯光搭建、LED大屏租赁等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舞美设计及舞台包装、布景</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微软雅黑" w:hAnsi="微软雅黑" w:eastAsia="微软雅黑" w:cs="微软雅黑"/>
                <w:i w:val="0"/>
                <w:iCs w:val="0"/>
                <w:color w:val="000000"/>
                <w:kern w:val="0"/>
                <w:sz w:val="22"/>
                <w:szCs w:val="22"/>
                <w:highlight w:val="none"/>
                <w:u w:val="none"/>
                <w:lang w:val="en-US" w:eastAsia="zh-CN" w:bidi="ar"/>
              </w:rPr>
            </w:pP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根据活动主题进行贴合的舞美设计工作，含舞台多款置景设计、灯光效果设计等；</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舞台包装，</w:t>
            </w:r>
            <w:r>
              <w:rPr>
                <w:rStyle w:val="20"/>
                <w:lang w:val="en-US" w:eastAsia="zh-CN" w:bidi="ar"/>
              </w:rPr>
              <w:t>舞台布景、道具制作</w:t>
            </w:r>
            <w:r>
              <w:rPr>
                <w:rStyle w:val="21"/>
                <w:lang w:val="en-US" w:eastAsia="zh-CN" w:bidi="ar"/>
              </w:rPr>
              <w:t>（按照节目形式需求制作）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35"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表演节目</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2"/>
                <w:szCs w:val="22"/>
                <w:highlight w:val="none"/>
                <w:u w:val="none"/>
                <w:lang w:val="en-US" w:eastAsia="zh-CN" w:bidi="ar"/>
              </w:rPr>
            </w:pP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包含节目创编、彩排、演出、演员邀请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60"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人员劳务</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81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2"/>
                <w:szCs w:val="22"/>
                <w:highlight w:val="none"/>
                <w:u w:val="none"/>
                <w:lang w:val="en-US" w:eastAsia="zh-CN" w:bidi="ar"/>
              </w:rPr>
            </w:pPr>
          </w:p>
        </w:tc>
        <w:tc>
          <w:tcPr>
            <w:tcW w:w="27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灯光师、音控师、主持人、化妆师</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（彩排+正式演出）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60"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证书奖杯</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2"/>
                <w:szCs w:val="22"/>
                <w:highlight w:val="none"/>
                <w:u w:val="none"/>
                <w:lang w:val="en-US" w:eastAsia="zh-CN" w:bidi="ar"/>
              </w:rPr>
            </w:pP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包括全赛段参赛纪念证书的设计、制作；以及获奖者奖杯采购。为每位参赛选手发放参赛证书。按照往届报名情况，证书最终发放不少于300份。最终实际发放数量以报名情况为准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60"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运输及装台</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81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2"/>
                <w:szCs w:val="22"/>
                <w:highlight w:val="none"/>
                <w:u w:val="none"/>
                <w:lang w:val="en-US" w:eastAsia="zh-CN" w:bidi="ar"/>
              </w:rPr>
            </w:pPr>
          </w:p>
        </w:tc>
        <w:tc>
          <w:tcPr>
            <w:tcW w:w="27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来回两趟+拆装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60"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75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后勤保障</w:t>
            </w:r>
          </w:p>
        </w:tc>
        <w:tc>
          <w:tcPr>
            <w:tcW w:w="82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2"/>
                <w:szCs w:val="22"/>
                <w:highlight w:val="none"/>
                <w:u w:val="none"/>
                <w:lang w:val="en-US" w:eastAsia="zh-CN" w:bidi="ar"/>
              </w:rPr>
            </w:pPr>
          </w:p>
        </w:tc>
        <w:tc>
          <w:tcPr>
            <w:tcW w:w="27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工作人员误餐、用水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60"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线下分享培训</w:t>
            </w:r>
          </w:p>
        </w:tc>
        <w:tc>
          <w:tcPr>
            <w:tcW w:w="175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人员劳务</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2"/>
                <w:szCs w:val="22"/>
                <w:highlight w:val="none"/>
                <w:u w:val="none"/>
                <w:lang w:val="en-US" w:eastAsia="zh-CN" w:bidi="ar"/>
              </w:rPr>
            </w:pPr>
            <w:r>
              <w:rPr>
                <w:rFonts w:hint="eastAsia" w:ascii="微软雅黑" w:hAnsi="微软雅黑" w:eastAsia="微软雅黑" w:cs="微软雅黑"/>
                <w:i w:val="0"/>
                <w:iCs w:val="0"/>
                <w:color w:val="000000"/>
                <w:kern w:val="0"/>
                <w:sz w:val="22"/>
                <w:szCs w:val="22"/>
                <w:highlight w:val="none"/>
                <w:u w:val="none"/>
                <w:lang w:val="en-US" w:eastAsia="zh-CN" w:bidi="ar"/>
              </w:rPr>
              <w:t>￥3,200.00</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该线下课堂面向诗词爱好者及入围选手而在图书馆开设的经典诗词分享活动，主要含4场讲座的导师劳务，按400元/课时计算。</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kern w:val="2"/>
          <w:sz w:val="32"/>
          <w:szCs w:val="32"/>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sz w:val="32"/>
          <w:szCs w:val="32"/>
          <w:highlight w:val="none"/>
          <w:lang w:eastAsia="zh-CN"/>
        </w:rPr>
        <w:t>五、</w:t>
      </w:r>
      <w:r>
        <w:rPr>
          <w:rFonts w:hint="eastAsia" w:ascii="黑体" w:hAnsi="黑体" w:eastAsia="黑体" w:cs="黑体"/>
          <w:color w:val="auto"/>
          <w:sz w:val="32"/>
          <w:szCs w:val="32"/>
          <w:highlight w:val="none"/>
        </w:rPr>
        <w:t>供应商的资质要求</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（1）在中国境内注册的独立法人或其他组织（提供营业执照、事业法人证书、社会团体法人登记证书等扫描件）；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 w:eastAsia="仿宋_GB2312" w:cs="仿宋"/>
          <w:sz w:val="32"/>
          <w:szCs w:val="32"/>
          <w:lang w:eastAsia="zh-CN"/>
        </w:rPr>
      </w:pPr>
      <w:r>
        <w:rPr>
          <w:rFonts w:hint="eastAsia" w:ascii="仿宋_GB2312" w:hAnsi="仿宋" w:eastAsia="仿宋_GB2312" w:cs="仿宋"/>
          <w:sz w:val="32"/>
          <w:szCs w:val="32"/>
        </w:rPr>
        <w:t>（2）参与本项目投标近三年内（供应商成立不足三年的可从成立之日起算），在经营活动中没有重大违法记录以及不存在被有关部门禁止参与政府采购活动且在有效期内的情况</w:t>
      </w:r>
      <w:r>
        <w:rPr>
          <w:rFonts w:hint="eastAsia" w:ascii="仿宋_GB2312" w:hAnsi="仿宋" w:eastAsia="仿宋_GB2312" w:cs="仿宋"/>
          <w:sz w:val="32"/>
          <w:szCs w:val="32"/>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（3）单位负责人为同一人或者存在直接控股、管理关系的不同供应商，不得同时参加本项目的采购活动。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六、选定</w:t>
      </w:r>
      <w:r>
        <w:rPr>
          <w:rFonts w:hint="eastAsia" w:ascii="黑体" w:hAnsi="黑体" w:eastAsia="黑体" w:cs="黑体"/>
          <w:color w:val="auto"/>
          <w:sz w:val="32"/>
          <w:szCs w:val="32"/>
          <w:highlight w:val="none"/>
        </w:rPr>
        <w:t>供应商方法</w:t>
      </w:r>
    </w:p>
    <w:p>
      <w:pPr>
        <w:keepNext w:val="0"/>
        <w:keepLines w:val="0"/>
        <w:pageBreakBefore w:val="0"/>
        <w:tabs>
          <w:tab w:val="left" w:pos="1820"/>
        </w:tabs>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仿宋_GB2312" w:hAnsi="仿宋" w:eastAsia="仿宋_GB2312"/>
          <w:color w:val="auto"/>
          <w:sz w:val="32"/>
          <w:highlight w:val="none"/>
        </w:rPr>
      </w:pPr>
      <w:r>
        <w:rPr>
          <w:rFonts w:hint="eastAsia" w:ascii="仿宋_GB2312" w:hAnsi="仿宋" w:eastAsia="仿宋_GB2312"/>
          <w:color w:val="auto"/>
          <w:sz w:val="32"/>
          <w:highlight w:val="none"/>
          <w:lang w:eastAsia="zh-CN"/>
        </w:rPr>
        <w:t>综合评分</w:t>
      </w:r>
      <w:r>
        <w:rPr>
          <w:rFonts w:hint="eastAsia" w:ascii="仿宋_GB2312" w:hAnsi="仿宋" w:eastAsia="仿宋_GB2312"/>
          <w:color w:val="auto"/>
          <w:sz w:val="32"/>
          <w:highlight w:val="none"/>
        </w:rPr>
        <w:t>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七、评分要求</w:t>
      </w:r>
    </w:p>
    <w:p>
      <w:pPr>
        <w:pStyle w:val="19"/>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 w:hAnsi="楷体" w:eastAsia="楷体" w:cs="楷体"/>
          <w:b w:val="0"/>
          <w:bCs/>
          <w:color w:val="000000"/>
          <w:sz w:val="32"/>
          <w:szCs w:val="32"/>
          <w:lang w:eastAsia="zh-CN"/>
        </w:rPr>
      </w:pPr>
      <w:r>
        <w:rPr>
          <w:rFonts w:hint="eastAsia" w:ascii="楷体" w:hAnsi="楷体" w:eastAsia="楷体" w:cs="楷体"/>
          <w:b w:val="0"/>
          <w:bCs/>
          <w:color w:val="000000"/>
          <w:sz w:val="32"/>
          <w:szCs w:val="32"/>
          <w:lang w:eastAsia="zh-CN"/>
        </w:rPr>
        <w:t>（一）评分规则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仿宋_GB2312"/>
          <w:bCs/>
          <w:color w:val="000000"/>
          <w:sz w:val="32"/>
          <w:szCs w:val="32"/>
        </w:rPr>
      </w:pPr>
      <w:r>
        <w:rPr>
          <w:rFonts w:hint="eastAsia" w:ascii="仿宋_GB2312" w:eastAsia="仿宋_GB2312"/>
          <w:color w:val="000000"/>
          <w:sz w:val="32"/>
          <w:szCs w:val="32"/>
        </w:rPr>
        <w:t>采取综合评分标准，</w:t>
      </w:r>
      <w:r>
        <w:rPr>
          <w:rFonts w:hint="eastAsia" w:ascii="仿宋_GB2312" w:eastAsia="仿宋_GB2312"/>
          <w:color w:val="000000"/>
          <w:sz w:val="32"/>
          <w:szCs w:val="32"/>
          <w:lang w:eastAsia="zh-CN"/>
        </w:rPr>
        <w:t>平均分</w:t>
      </w:r>
      <w:r>
        <w:rPr>
          <w:rFonts w:hint="eastAsia" w:ascii="仿宋_GB2312" w:eastAsia="仿宋_GB2312"/>
          <w:color w:val="000000"/>
          <w:sz w:val="32"/>
          <w:szCs w:val="32"/>
        </w:rPr>
        <w:t>最高的投标人为本项目中标人。</w:t>
      </w:r>
    </w:p>
    <w:p>
      <w:pPr>
        <w:pStyle w:val="19"/>
        <w:keepNext w:val="0"/>
        <w:keepLines w:val="0"/>
        <w:pageBreakBefore w:val="0"/>
        <w:numPr>
          <w:ilvl w:val="0"/>
          <w:numId w:val="3"/>
        </w:numPr>
        <w:kinsoku/>
        <w:wordWrap/>
        <w:overflowPunct/>
        <w:topLinePunct w:val="0"/>
        <w:autoSpaceDE/>
        <w:autoSpaceDN/>
        <w:bidi w:val="0"/>
        <w:spacing w:line="560" w:lineRule="exact"/>
        <w:ind w:firstLine="640" w:firstLineChars="200"/>
        <w:textAlignment w:val="auto"/>
        <w:rPr>
          <w:rFonts w:hint="eastAsia" w:ascii="楷体" w:hAnsi="楷体" w:eastAsia="楷体" w:cs="楷体"/>
          <w:b w:val="0"/>
          <w:bCs/>
          <w:color w:val="000000"/>
          <w:sz w:val="32"/>
          <w:szCs w:val="32"/>
          <w:highlight w:val="none"/>
        </w:rPr>
      </w:pPr>
      <w:r>
        <w:rPr>
          <w:rFonts w:hint="eastAsia" w:ascii="楷体" w:hAnsi="楷体" w:eastAsia="楷体" w:cs="楷体"/>
          <w:b w:val="0"/>
          <w:bCs/>
          <w:color w:val="000000"/>
          <w:sz w:val="32"/>
          <w:szCs w:val="32"/>
          <w:highlight w:val="none"/>
        </w:rPr>
        <w:t>评分权重</w:t>
      </w:r>
    </w:p>
    <w:p>
      <w:pPr>
        <w:pStyle w:val="19"/>
        <w:keepNext w:val="0"/>
        <w:keepLines w:val="0"/>
        <w:pageBreakBefore w:val="0"/>
        <w:numPr>
          <w:ilvl w:val="0"/>
          <w:numId w:val="0"/>
        </w:numPr>
        <w:kinsoku/>
        <w:wordWrap/>
        <w:overflowPunct/>
        <w:topLinePunct w:val="0"/>
        <w:autoSpaceDE/>
        <w:autoSpaceDN/>
        <w:bidi w:val="0"/>
        <w:spacing w:line="560" w:lineRule="exact"/>
        <w:textAlignment w:val="auto"/>
        <w:rPr>
          <w:rFonts w:hint="eastAsia" w:ascii="楷体" w:hAnsi="楷体" w:eastAsia="楷体" w:cs="楷体"/>
          <w:b w:val="0"/>
          <w:bCs/>
          <w:color w:val="000000"/>
          <w:sz w:val="32"/>
          <w:szCs w:val="32"/>
          <w:highlight w:val="none"/>
        </w:rPr>
      </w:pPr>
    </w:p>
    <w:tbl>
      <w:tblPr>
        <w:tblStyle w:val="9"/>
        <w:tblW w:w="0" w:type="auto"/>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2296"/>
        <w:gridCol w:w="2295"/>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9" w:type="dxa"/>
            <w:noWrap w:val="0"/>
            <w:vAlign w:val="top"/>
          </w:tcPr>
          <w:p>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rPr>
              <w:t>评分内容</w:t>
            </w:r>
          </w:p>
        </w:tc>
        <w:tc>
          <w:tcPr>
            <w:tcW w:w="2296" w:type="dxa"/>
            <w:noWrap w:val="0"/>
            <w:vAlign w:val="top"/>
          </w:tcPr>
          <w:p>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lang w:eastAsia="zh-CN"/>
              </w:rPr>
              <w:t>商务能力</w:t>
            </w:r>
          </w:p>
        </w:tc>
        <w:tc>
          <w:tcPr>
            <w:tcW w:w="2295" w:type="dxa"/>
            <w:noWrap w:val="0"/>
            <w:vAlign w:val="top"/>
          </w:tcPr>
          <w:p>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技术能力</w:t>
            </w:r>
          </w:p>
        </w:tc>
        <w:tc>
          <w:tcPr>
            <w:tcW w:w="2460" w:type="dxa"/>
            <w:noWrap w:val="0"/>
            <w:vAlign w:val="top"/>
          </w:tcPr>
          <w:p>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9" w:type="dxa"/>
            <w:noWrap w:val="0"/>
            <w:vAlign w:val="top"/>
          </w:tcPr>
          <w:p>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rPr>
              <w:t>分值</w:t>
            </w:r>
          </w:p>
        </w:tc>
        <w:tc>
          <w:tcPr>
            <w:tcW w:w="2296" w:type="dxa"/>
            <w:noWrap w:val="0"/>
            <w:vAlign w:val="top"/>
          </w:tcPr>
          <w:p>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lang w:val="en-US" w:eastAsia="zh-CN"/>
              </w:rPr>
              <w:t>20</w:t>
            </w:r>
            <w:r>
              <w:rPr>
                <w:rFonts w:hint="eastAsia" w:ascii="仿宋_GB2312" w:hAnsi="仿宋_GB2312" w:eastAsia="仿宋_GB2312" w:cs="仿宋_GB2312"/>
                <w:b w:val="0"/>
                <w:bCs/>
                <w:color w:val="auto"/>
                <w:sz w:val="24"/>
                <w:szCs w:val="24"/>
                <w:highlight w:val="none"/>
              </w:rPr>
              <w:t>分</w:t>
            </w:r>
          </w:p>
        </w:tc>
        <w:tc>
          <w:tcPr>
            <w:tcW w:w="2295" w:type="dxa"/>
            <w:noWrap w:val="0"/>
            <w:vAlign w:val="top"/>
          </w:tcPr>
          <w:p>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lang w:val="en-US" w:eastAsia="zh-CN"/>
              </w:rPr>
              <w:t>50</w:t>
            </w:r>
            <w:r>
              <w:rPr>
                <w:rFonts w:hint="eastAsia" w:ascii="仿宋_GB2312" w:hAnsi="仿宋_GB2312" w:eastAsia="仿宋_GB2312" w:cs="仿宋_GB2312"/>
                <w:b w:val="0"/>
                <w:bCs/>
                <w:color w:val="auto"/>
                <w:sz w:val="24"/>
                <w:szCs w:val="24"/>
                <w:highlight w:val="none"/>
              </w:rPr>
              <w:t>分</w:t>
            </w:r>
          </w:p>
        </w:tc>
        <w:tc>
          <w:tcPr>
            <w:tcW w:w="2460" w:type="dxa"/>
            <w:noWrap w:val="0"/>
            <w:vAlign w:val="top"/>
          </w:tcPr>
          <w:p>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lang w:val="en-US" w:eastAsia="zh-CN"/>
              </w:rPr>
              <w:t>30分</w:t>
            </w:r>
          </w:p>
        </w:tc>
      </w:tr>
    </w:tbl>
    <w:p>
      <w:pPr>
        <w:pStyle w:val="19"/>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 w:hAnsi="楷体" w:eastAsia="楷体" w:cs="楷体"/>
          <w:b w:val="0"/>
          <w:bCs/>
          <w:color w:val="auto"/>
          <w:sz w:val="32"/>
          <w:szCs w:val="32"/>
          <w:highlight w:val="none"/>
          <w:lang w:eastAsia="zh-CN"/>
        </w:rPr>
      </w:pPr>
    </w:p>
    <w:p>
      <w:pPr>
        <w:pStyle w:val="19"/>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楷体" w:hAnsi="楷体" w:eastAsia="楷体" w:cs="楷体"/>
          <w:b w:val="0"/>
          <w:bCs/>
          <w:color w:val="auto"/>
          <w:sz w:val="32"/>
          <w:szCs w:val="32"/>
          <w:highlight w:val="none"/>
          <w:lang w:eastAsia="zh-CN"/>
        </w:rPr>
        <w:t>（三）评分标准</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1.商务能力</w:t>
      </w:r>
    </w:p>
    <w:tbl>
      <w:tblPr>
        <w:tblStyle w:val="8"/>
        <w:tblW w:w="8889"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122"/>
        <w:gridCol w:w="2733"/>
        <w:gridCol w:w="4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3" w:hRule="atLeast"/>
        </w:trPr>
        <w:tc>
          <w:tcPr>
            <w:tcW w:w="4374" w:type="dxa"/>
            <w:gridSpan w:val="3"/>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auto"/>
                <w:kern w:val="0"/>
                <w:sz w:val="24"/>
                <w:szCs w:val="24"/>
                <w:highlight w:val="none"/>
              </w:rPr>
            </w:pPr>
            <w:r>
              <w:rPr>
                <w:rFonts w:hint="eastAsia" w:ascii="仿宋_GB2312" w:hAnsi="仿宋_GB2312" w:eastAsia="仿宋_GB2312" w:cs="仿宋_GB2312"/>
                <w:b w:val="0"/>
                <w:bCs/>
                <w:color w:val="auto"/>
                <w:kern w:val="0"/>
                <w:sz w:val="24"/>
                <w:szCs w:val="24"/>
                <w:highlight w:val="none"/>
              </w:rPr>
              <w:t>项目</w:t>
            </w:r>
          </w:p>
        </w:tc>
        <w:tc>
          <w:tcPr>
            <w:tcW w:w="4515" w:type="dxa"/>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auto"/>
                <w:kern w:val="0"/>
                <w:sz w:val="24"/>
                <w:szCs w:val="24"/>
                <w:highlight w:val="none"/>
                <w:lang w:eastAsia="zh-CN"/>
              </w:rPr>
            </w:pPr>
            <w:r>
              <w:rPr>
                <w:rFonts w:hint="eastAsia" w:ascii="仿宋_GB2312" w:hAnsi="仿宋_GB2312" w:eastAsia="仿宋_GB2312" w:cs="仿宋_GB2312"/>
                <w:b w:val="0"/>
                <w:bCs/>
                <w:color w:val="auto"/>
                <w:kern w:val="0"/>
                <w:sz w:val="24"/>
                <w:szCs w:val="24"/>
                <w:highlight w:val="none"/>
                <w:lang w:eastAsia="zh-CN"/>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70" w:hRule="atLeast"/>
        </w:trPr>
        <w:tc>
          <w:tcPr>
            <w:tcW w:w="51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商务</w:t>
            </w:r>
            <w:r>
              <w:rPr>
                <w:rFonts w:hint="eastAsia" w:ascii="仿宋_GB2312" w:hAnsi="仿宋_GB2312" w:eastAsia="仿宋_GB2312" w:cs="仿宋_GB2312"/>
                <w:b w:val="0"/>
                <w:bCs/>
                <w:color w:val="auto"/>
                <w:sz w:val="24"/>
                <w:szCs w:val="24"/>
                <w:highlight w:val="none"/>
                <w:lang w:eastAsia="zh-CN"/>
              </w:rPr>
              <w:t>能力</w:t>
            </w:r>
            <w:r>
              <w:rPr>
                <w:rFonts w:hint="eastAsia" w:ascii="仿宋_GB2312" w:hAnsi="仿宋_GB2312" w:eastAsia="仿宋_GB2312" w:cs="仿宋_GB2312"/>
                <w:b w:val="0"/>
                <w:bCs/>
                <w:color w:val="auto"/>
                <w:sz w:val="24"/>
                <w:szCs w:val="24"/>
                <w:highlight w:val="none"/>
              </w:rPr>
              <w:t>评分</w:t>
            </w:r>
            <w:r>
              <w:rPr>
                <w:rFonts w:hint="eastAsia" w:ascii="仿宋_GB2312" w:hAnsi="仿宋_GB2312" w:eastAsia="仿宋_GB2312" w:cs="仿宋_GB2312"/>
                <w:b w:val="0"/>
                <w:bCs/>
                <w:color w:val="auto"/>
                <w:sz w:val="24"/>
                <w:szCs w:val="24"/>
                <w:highlight w:val="none"/>
                <w:lang w:val="en-US" w:eastAsia="zh-CN"/>
              </w:rPr>
              <w:t>20</w:t>
            </w:r>
            <w:r>
              <w:rPr>
                <w:rFonts w:hint="eastAsia" w:ascii="仿宋_GB2312" w:hAnsi="仿宋_GB2312" w:eastAsia="仿宋_GB2312" w:cs="仿宋_GB2312"/>
                <w:b w:val="0"/>
                <w:bCs/>
                <w:color w:val="auto"/>
                <w:sz w:val="24"/>
                <w:szCs w:val="24"/>
                <w:highlight w:val="none"/>
              </w:rPr>
              <w:t>分</w:t>
            </w:r>
          </w:p>
        </w:tc>
        <w:tc>
          <w:tcPr>
            <w:tcW w:w="1122" w:type="dxa"/>
            <w:noWrap w:val="0"/>
            <w:vAlign w:val="center"/>
          </w:tcPr>
          <w:p>
            <w:pPr>
              <w:spacing w:line="400" w:lineRule="exact"/>
              <w:jc w:val="center"/>
              <w:rPr>
                <w:rFonts w:hint="default" w:ascii="仿宋_GB2312" w:hAnsi="仿宋_GB2312" w:eastAsia="仿宋_GB2312" w:cs="仿宋_GB2312"/>
                <w:b w:val="0"/>
                <w:bCs/>
                <w:color w:val="auto"/>
                <w:kern w:val="0"/>
                <w:sz w:val="24"/>
                <w:szCs w:val="24"/>
                <w:highlight w:val="yellow"/>
                <w:lang w:val="en-US" w:eastAsia="zh-CN" w:bidi="ar-SA"/>
              </w:rPr>
            </w:pPr>
            <w:r>
              <w:rPr>
                <w:rFonts w:hint="eastAsia" w:ascii="仿宋_GB2312" w:hAnsi="仿宋_GB2312" w:eastAsia="仿宋_GB2312" w:cs="仿宋_GB2312"/>
                <w:bCs/>
                <w:sz w:val="24"/>
                <w:szCs w:val="24"/>
                <w:highlight w:val="none"/>
              </w:rPr>
              <w:t>同类项目业绩（10分）</w:t>
            </w:r>
          </w:p>
        </w:tc>
        <w:tc>
          <w:tcPr>
            <w:tcW w:w="2733" w:type="dxa"/>
            <w:noWrap w:val="0"/>
            <w:vAlign w:val="center"/>
          </w:tcPr>
          <w:p>
            <w:pPr>
              <w:spacing w:line="400" w:lineRule="exact"/>
              <w:jc w:val="left"/>
              <w:rPr>
                <w:rFonts w:hint="eastAsia" w:ascii="仿宋_GB2312" w:hAnsi="仿宋_GB2312" w:eastAsia="仿宋_GB2312" w:cs="仿宋_GB2312"/>
                <w:b w:val="0"/>
                <w:bCs/>
                <w:color w:val="auto"/>
                <w:kern w:val="2"/>
                <w:sz w:val="24"/>
                <w:szCs w:val="24"/>
                <w:highlight w:val="yellow"/>
                <w:lang w:val="en-US" w:eastAsia="zh-CN" w:bidi="ar-SA"/>
              </w:rPr>
            </w:pPr>
            <w:r>
              <w:rPr>
                <w:rFonts w:hint="eastAsia" w:ascii="仿宋_GB2312" w:hAnsi="仿宋_GB2312" w:eastAsia="仿宋_GB2312" w:cs="仿宋_GB2312"/>
                <w:b w:val="0"/>
                <w:bCs/>
                <w:color w:val="000000"/>
                <w:sz w:val="24"/>
                <w:szCs w:val="24"/>
                <w:highlight w:val="none"/>
                <w:lang w:eastAsia="zh-CN"/>
              </w:rPr>
              <w:t>自20</w:t>
            </w:r>
            <w:r>
              <w:rPr>
                <w:rFonts w:hint="eastAsia" w:ascii="仿宋_GB2312" w:hAnsi="仿宋_GB2312" w:eastAsia="仿宋_GB2312" w:cs="仿宋_GB2312"/>
                <w:b w:val="0"/>
                <w:bCs/>
                <w:color w:val="000000"/>
                <w:sz w:val="24"/>
                <w:szCs w:val="24"/>
                <w:highlight w:val="none"/>
                <w:lang w:val="en-US" w:eastAsia="zh-CN"/>
              </w:rPr>
              <w:t>21</w:t>
            </w:r>
            <w:r>
              <w:rPr>
                <w:rFonts w:hint="eastAsia" w:ascii="仿宋_GB2312" w:hAnsi="仿宋_GB2312" w:eastAsia="仿宋_GB2312" w:cs="仿宋_GB2312"/>
                <w:b w:val="0"/>
                <w:bCs/>
                <w:color w:val="000000"/>
                <w:sz w:val="24"/>
                <w:szCs w:val="24"/>
                <w:highlight w:val="none"/>
                <w:lang w:eastAsia="zh-CN"/>
              </w:rPr>
              <w:t>年1月1日起至本项目投标截止之日止（以合同签约时间为准），投标人提供一个</w:t>
            </w:r>
            <w:r>
              <w:rPr>
                <w:rFonts w:hint="eastAsia" w:ascii="仿宋_GB2312" w:hAnsi="仿宋_GB2312" w:eastAsia="仿宋_GB2312" w:cs="仿宋_GB2312"/>
                <w:b w:val="0"/>
                <w:bCs/>
                <w:color w:val="000000"/>
                <w:sz w:val="24"/>
                <w:szCs w:val="24"/>
                <w:highlight w:val="none"/>
                <w:lang w:val="en-US" w:eastAsia="zh-CN"/>
              </w:rPr>
              <w:t>文化活动类</w:t>
            </w:r>
            <w:r>
              <w:rPr>
                <w:rFonts w:hint="eastAsia" w:ascii="仿宋_GB2312" w:hAnsi="仿宋_GB2312" w:eastAsia="仿宋_GB2312" w:cs="仿宋_GB2312"/>
                <w:b w:val="0"/>
                <w:bCs/>
                <w:color w:val="000000"/>
                <w:sz w:val="24"/>
                <w:szCs w:val="24"/>
                <w:highlight w:val="none"/>
                <w:lang w:eastAsia="zh-CN"/>
              </w:rPr>
              <w:t xml:space="preserve">业绩5分，本项最高得分10分。 </w:t>
            </w:r>
          </w:p>
        </w:tc>
        <w:tc>
          <w:tcPr>
            <w:tcW w:w="4515" w:type="dxa"/>
            <w:noWrap w:val="0"/>
            <w:vAlign w:val="center"/>
          </w:tcPr>
          <w:p>
            <w:pPr>
              <w:spacing w:line="400" w:lineRule="exact"/>
              <w:jc w:val="left"/>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1.投标人提供相关证明资料作为得分依据，同时提供合同关键信息（包括但不限于：合同名称页、合同主要内容页、合同签订日期页、合同双方签字盖章页）作为得分依据。</w:t>
            </w:r>
          </w:p>
          <w:p>
            <w:pPr>
              <w:spacing w:line="400" w:lineRule="exact"/>
              <w:jc w:val="left"/>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2.一年一签的长期服务续签合同（即同一中标服务期内或同一个项目只计算为一个业绩），不重复计分。</w:t>
            </w:r>
          </w:p>
          <w:p>
            <w:pPr>
              <w:spacing w:line="400" w:lineRule="exact"/>
              <w:jc w:val="left"/>
              <w:rPr>
                <w:rFonts w:hint="eastAsia" w:ascii="仿宋_GB2312" w:hAnsi="仿宋_GB2312" w:eastAsia="仿宋_GB2312" w:cs="仿宋_GB2312"/>
                <w:b w:val="0"/>
                <w:bCs/>
                <w:color w:val="auto"/>
                <w:kern w:val="2"/>
                <w:sz w:val="24"/>
                <w:szCs w:val="24"/>
                <w:highlight w:val="yellow"/>
                <w:lang w:val="en-US" w:eastAsia="zh-CN" w:bidi="ar-SA"/>
              </w:rPr>
            </w:pPr>
            <w:r>
              <w:rPr>
                <w:rFonts w:hint="eastAsia" w:ascii="仿宋_GB2312" w:hAnsi="仿宋_GB2312" w:eastAsia="仿宋_GB2312" w:cs="仿宋_GB2312"/>
                <w:bCs/>
                <w:sz w:val="24"/>
                <w:szCs w:val="24"/>
                <w:highlight w:val="none"/>
              </w:rPr>
              <w:t>3.未提供证明材料或者提供的证明材料不符合要求或提供的证明材料不清晰采购监督小组无法辨认的，不得分。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875" w:hRule="atLeast"/>
        </w:trPr>
        <w:tc>
          <w:tcPr>
            <w:tcW w:w="5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p>
        </w:tc>
        <w:tc>
          <w:tcPr>
            <w:tcW w:w="1122" w:type="dxa"/>
            <w:noWrap w:val="0"/>
            <w:vAlign w:val="center"/>
          </w:tcPr>
          <w:p>
            <w:pPr>
              <w:spacing w:line="400" w:lineRule="exact"/>
              <w:jc w:val="center"/>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诚信评价</w:t>
            </w:r>
          </w:p>
          <w:p>
            <w:pPr>
              <w:spacing w:line="400" w:lineRule="exact"/>
              <w:jc w:val="center"/>
              <w:rPr>
                <w:rFonts w:hint="eastAsia" w:ascii="仿宋_GB2312" w:hAnsi="仿宋_GB2312" w:eastAsia="仿宋_GB2312" w:cs="仿宋_GB2312"/>
                <w:b w:val="0"/>
                <w:bCs/>
                <w:color w:val="auto"/>
                <w:kern w:val="0"/>
                <w:sz w:val="24"/>
                <w:szCs w:val="24"/>
                <w:highlight w:val="none"/>
              </w:rPr>
            </w:pPr>
            <w:r>
              <w:rPr>
                <w:rFonts w:hint="eastAsia" w:ascii="仿宋_GB2312" w:hAnsi="仿宋_GB2312" w:eastAsia="仿宋_GB2312" w:cs="仿宋_GB2312"/>
                <w:bCs/>
                <w:sz w:val="24"/>
                <w:szCs w:val="24"/>
                <w:highlight w:val="none"/>
              </w:rPr>
              <w:t>（5分）</w:t>
            </w:r>
          </w:p>
        </w:tc>
        <w:tc>
          <w:tcPr>
            <w:tcW w:w="2733" w:type="dxa"/>
            <w:noWrap w:val="0"/>
            <w:vAlign w:val="center"/>
          </w:tcPr>
          <w:p>
            <w:pPr>
              <w:spacing w:line="400" w:lineRule="exact"/>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Cs/>
                <w:sz w:val="24"/>
                <w:szCs w:val="24"/>
                <w:highlight w:val="none"/>
              </w:rPr>
              <w:t>投标人在参与政府采购活动中不存在诚信相关问题且不在主管部门相关处理措施实施期限内的。</w:t>
            </w:r>
          </w:p>
        </w:tc>
        <w:tc>
          <w:tcPr>
            <w:tcW w:w="4515" w:type="dxa"/>
            <w:noWrap w:val="0"/>
            <w:vAlign w:val="center"/>
          </w:tcPr>
          <w:p>
            <w:pPr>
              <w:spacing w:line="400" w:lineRule="exact"/>
              <w:jc w:val="left"/>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Cs/>
                <w:sz w:val="24"/>
                <w:szCs w:val="24"/>
                <w:highlight w:val="none"/>
              </w:rPr>
              <w:t>提供《诚信承诺函》得5分，未提供不得分</w:t>
            </w:r>
            <w:r>
              <w:rPr>
                <w:rFonts w:hint="eastAsia" w:ascii="仿宋_GB2312" w:hAnsi="仿宋_GB2312" w:eastAsia="仿宋_GB2312" w:cs="仿宋_GB2312"/>
                <w:bCs/>
                <w:sz w:val="24"/>
                <w:szCs w:val="24"/>
                <w:highlight w:val="none"/>
                <w:lang w:eastAsia="zh-CN"/>
              </w:rPr>
              <w:t>，格式自拟</w:t>
            </w:r>
            <w:r>
              <w:rPr>
                <w:rFonts w:hint="eastAsia" w:ascii="仿宋_GB2312" w:hAnsi="仿宋_GB2312" w:eastAsia="仿宋_GB2312" w:cs="仿宋_GB2312"/>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875" w:hRule="atLeast"/>
        </w:trPr>
        <w:tc>
          <w:tcPr>
            <w:tcW w:w="5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p>
        </w:tc>
        <w:tc>
          <w:tcPr>
            <w:tcW w:w="1122" w:type="dxa"/>
            <w:noWrap w:val="0"/>
            <w:vAlign w:val="center"/>
          </w:tcPr>
          <w:p>
            <w:pPr>
              <w:spacing w:line="400" w:lineRule="exact"/>
              <w:jc w:val="center"/>
              <w:rPr>
                <w:rFonts w:hint="eastAsia" w:ascii="仿宋_GB2312" w:hAnsi="仿宋_GB2312" w:eastAsia="仿宋_GB2312" w:cs="仿宋_GB2312"/>
                <w:bCs/>
                <w:sz w:val="24"/>
                <w:szCs w:val="24"/>
                <w:highlight w:val="none"/>
                <w:lang w:eastAsia="zh-CN"/>
              </w:rPr>
            </w:pPr>
            <w:r>
              <w:rPr>
                <w:rFonts w:hint="eastAsia" w:ascii="仿宋_GB2312" w:hAnsi="仿宋_GB2312" w:eastAsia="仿宋_GB2312" w:cs="仿宋_GB2312"/>
                <w:bCs/>
                <w:sz w:val="24"/>
                <w:szCs w:val="24"/>
                <w:highlight w:val="none"/>
              </w:rPr>
              <w:t>服务承诺</w:t>
            </w:r>
            <w:r>
              <w:rPr>
                <w:rFonts w:hint="eastAsia" w:ascii="仿宋_GB2312" w:hAnsi="仿宋_GB2312" w:eastAsia="仿宋_GB2312" w:cs="仿宋_GB2312"/>
                <w:bCs/>
                <w:sz w:val="24"/>
                <w:szCs w:val="24"/>
                <w:highlight w:val="none"/>
                <w:lang w:eastAsia="zh-CN"/>
              </w:rPr>
              <w:t>书与违约承诺书</w:t>
            </w:r>
          </w:p>
          <w:p>
            <w:pPr>
              <w:spacing w:line="400" w:lineRule="exact"/>
              <w:jc w:val="center"/>
              <w:rPr>
                <w:rFonts w:hint="eastAsia"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Cs/>
                <w:sz w:val="24"/>
                <w:szCs w:val="24"/>
                <w:highlight w:val="none"/>
              </w:rPr>
              <w:t>（5分）</w:t>
            </w:r>
          </w:p>
        </w:tc>
        <w:tc>
          <w:tcPr>
            <w:tcW w:w="2733" w:type="dxa"/>
            <w:noWrap w:val="0"/>
            <w:vAlign w:val="center"/>
          </w:tcPr>
          <w:p>
            <w:pPr>
              <w:spacing w:line="400" w:lineRule="exact"/>
              <w:rPr>
                <w:rFonts w:hint="eastAsia"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Cs/>
                <w:sz w:val="24"/>
                <w:szCs w:val="24"/>
                <w:highlight w:val="none"/>
              </w:rPr>
              <w:t>根据对项目的理解及自身管理经验，提出项目完成的服务承诺</w:t>
            </w:r>
            <w:r>
              <w:rPr>
                <w:rFonts w:hint="eastAsia" w:ascii="仿宋_GB2312" w:hAnsi="仿宋_GB2312" w:eastAsia="仿宋_GB2312" w:cs="仿宋_GB2312"/>
                <w:bCs/>
                <w:sz w:val="24"/>
                <w:szCs w:val="24"/>
                <w:highlight w:val="none"/>
                <w:lang w:eastAsia="zh-CN"/>
              </w:rPr>
              <w:t>与</w:t>
            </w:r>
            <w:r>
              <w:rPr>
                <w:rFonts w:hint="eastAsia" w:ascii="仿宋_GB2312" w:hAnsi="仿宋_GB2312" w:eastAsia="仿宋_GB2312" w:cs="仿宋_GB2312"/>
                <w:bCs/>
                <w:sz w:val="24"/>
                <w:szCs w:val="24"/>
                <w:highlight w:val="none"/>
              </w:rPr>
              <w:t>承诺满足招标文件要求，保证措施合理且有针对性，有具体的违约责任承诺。</w:t>
            </w:r>
          </w:p>
        </w:tc>
        <w:tc>
          <w:tcPr>
            <w:tcW w:w="4515" w:type="dxa"/>
            <w:noWrap w:val="0"/>
            <w:vAlign w:val="center"/>
          </w:tcPr>
          <w:p>
            <w:pPr>
              <w:spacing w:line="400" w:lineRule="exact"/>
              <w:jc w:val="left"/>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提供《服务承诺函》</w:t>
            </w:r>
            <w:r>
              <w:rPr>
                <w:rFonts w:hint="eastAsia" w:ascii="仿宋_GB2312" w:hAnsi="仿宋_GB2312" w:eastAsia="仿宋_GB2312" w:cs="仿宋_GB2312"/>
                <w:bCs/>
                <w:sz w:val="24"/>
                <w:szCs w:val="24"/>
                <w:highlight w:val="none"/>
                <w:lang w:eastAsia="zh-CN"/>
              </w:rPr>
              <w:t>和</w:t>
            </w:r>
            <w:r>
              <w:rPr>
                <w:rFonts w:hint="eastAsia" w:ascii="仿宋_GB2312" w:hAnsi="仿宋_GB2312" w:eastAsia="仿宋_GB2312" w:cs="仿宋_GB2312"/>
                <w:bCs/>
                <w:sz w:val="24"/>
                <w:szCs w:val="24"/>
                <w:highlight w:val="none"/>
              </w:rPr>
              <w:t>《违约承诺函》得5分，</w:t>
            </w:r>
            <w:r>
              <w:rPr>
                <w:rFonts w:hint="eastAsia" w:ascii="仿宋_GB2312" w:hAnsi="仿宋_GB2312" w:eastAsia="仿宋_GB2312" w:cs="仿宋_GB2312"/>
                <w:bCs/>
                <w:sz w:val="24"/>
                <w:szCs w:val="24"/>
                <w:highlight w:val="none"/>
                <w:lang w:eastAsia="zh-CN"/>
              </w:rPr>
              <w:t>提供一项只得</w:t>
            </w:r>
            <w:r>
              <w:rPr>
                <w:rFonts w:hint="eastAsia" w:ascii="仿宋_GB2312" w:hAnsi="仿宋_GB2312" w:eastAsia="仿宋_GB2312" w:cs="仿宋_GB2312"/>
                <w:bCs/>
                <w:sz w:val="24"/>
                <w:szCs w:val="24"/>
                <w:highlight w:val="none"/>
                <w:lang w:val="en-US" w:eastAsia="zh-CN"/>
              </w:rPr>
              <w:t>2.5分，</w:t>
            </w:r>
            <w:r>
              <w:rPr>
                <w:rFonts w:hint="eastAsia" w:ascii="仿宋_GB2312" w:hAnsi="仿宋_GB2312" w:eastAsia="仿宋_GB2312" w:cs="仿宋_GB2312"/>
                <w:bCs/>
                <w:sz w:val="24"/>
                <w:szCs w:val="24"/>
                <w:highlight w:val="none"/>
              </w:rPr>
              <w:t>未提供</w:t>
            </w:r>
            <w:r>
              <w:rPr>
                <w:rFonts w:hint="eastAsia" w:ascii="仿宋_GB2312" w:hAnsi="仿宋_GB2312" w:eastAsia="仿宋_GB2312" w:cs="仿宋_GB2312"/>
                <w:bCs/>
                <w:sz w:val="24"/>
                <w:szCs w:val="24"/>
                <w:highlight w:val="none"/>
                <w:lang w:eastAsia="zh-CN"/>
              </w:rPr>
              <w:t>或者内容不符</w:t>
            </w:r>
            <w:r>
              <w:rPr>
                <w:rFonts w:hint="eastAsia" w:ascii="仿宋_GB2312" w:hAnsi="仿宋_GB2312" w:eastAsia="仿宋_GB2312" w:cs="仿宋_GB2312"/>
                <w:bCs/>
                <w:sz w:val="24"/>
                <w:szCs w:val="24"/>
                <w:highlight w:val="none"/>
              </w:rPr>
              <w:t>不得分</w:t>
            </w:r>
            <w:r>
              <w:rPr>
                <w:rFonts w:hint="eastAsia" w:ascii="仿宋_GB2312" w:hAnsi="仿宋_GB2312" w:eastAsia="仿宋_GB2312" w:cs="仿宋_GB2312"/>
                <w:bCs/>
                <w:sz w:val="24"/>
                <w:szCs w:val="24"/>
                <w:highlight w:val="none"/>
                <w:lang w:eastAsia="zh-CN"/>
              </w:rPr>
              <w:t>，格式自拟</w:t>
            </w:r>
            <w:r>
              <w:rPr>
                <w:rFonts w:hint="eastAsia" w:ascii="仿宋_GB2312" w:hAnsi="仿宋_GB2312" w:eastAsia="仿宋_GB2312" w:cs="仿宋_GB2312"/>
                <w:bCs/>
                <w:sz w:val="24"/>
                <w:szCs w:val="24"/>
                <w:highlight w:val="none"/>
              </w:rPr>
              <w:t>。</w:t>
            </w:r>
          </w:p>
          <w:p>
            <w:pPr>
              <w:spacing w:line="400" w:lineRule="exact"/>
              <w:jc w:val="left"/>
              <w:rPr>
                <w:rFonts w:hint="eastAsia" w:ascii="仿宋_GB2312" w:hAnsi="仿宋_GB2312" w:eastAsia="仿宋_GB2312" w:cs="仿宋_GB2312"/>
                <w:bCs/>
                <w:sz w:val="24"/>
                <w:szCs w:val="24"/>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b w:val="0"/>
          <w:bCs/>
          <w:color w:val="auto"/>
          <w:sz w:val="24"/>
          <w:highlight w:val="none"/>
        </w:rPr>
      </w:pPr>
      <w:r>
        <w:rPr>
          <w:rFonts w:hint="eastAsia" w:ascii="宋体" w:hAnsi="宋体" w:eastAsia="宋体"/>
          <w:b w:val="0"/>
          <w:bCs/>
          <w:color w:val="auto"/>
          <w:sz w:val="24"/>
          <w:highlight w:val="none"/>
          <w:lang w:eastAsia="zh-CN"/>
        </w:rPr>
        <w:t>注：</w:t>
      </w:r>
      <w:r>
        <w:rPr>
          <w:rFonts w:hint="eastAsia" w:ascii="宋体" w:hAnsi="宋体"/>
          <w:b w:val="0"/>
          <w:bCs/>
          <w:color w:val="auto"/>
          <w:sz w:val="24"/>
          <w:highlight w:val="none"/>
        </w:rPr>
        <w:t>不提供证明文件或提供的证明文件不合格者，不得分。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b w:val="0"/>
          <w:bCs/>
          <w:color w:val="auto"/>
          <w:sz w:val="24"/>
          <w:highlight w:val="none"/>
          <w:lang w:val="en-US" w:eastAsia="zh-CN"/>
        </w:rPr>
      </w:pPr>
    </w:p>
    <w:p>
      <w:pPr>
        <w:keepNext w:val="0"/>
        <w:keepLines w:val="0"/>
        <w:pageBreakBefore w:val="0"/>
        <w:numPr>
          <w:ilvl w:val="0"/>
          <w:numId w:val="4"/>
        </w:numPr>
        <w:kinsoku/>
        <w:wordWrap/>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技术能力</w:t>
      </w:r>
    </w:p>
    <w:p>
      <w:pPr>
        <w:keepNext w:val="0"/>
        <w:keepLines w:val="0"/>
        <w:pageBreakBefore w:val="0"/>
        <w:numPr>
          <w:ilvl w:val="0"/>
          <w:numId w:val="0"/>
        </w:numPr>
        <w:kinsoku/>
        <w:wordWrap/>
        <w:overflowPunct/>
        <w:topLinePunct w:val="0"/>
        <w:autoSpaceDE/>
        <w:autoSpaceDN/>
        <w:bidi w:val="0"/>
        <w:spacing w:line="560" w:lineRule="exact"/>
        <w:textAlignment w:val="auto"/>
        <w:rPr>
          <w:rFonts w:hint="eastAsia" w:ascii="仿宋_GB2312" w:eastAsia="仿宋_GB2312"/>
          <w:color w:val="auto"/>
          <w:sz w:val="32"/>
          <w:szCs w:val="32"/>
          <w:highlight w:val="none"/>
          <w:lang w:val="en-US" w:eastAsia="zh-CN"/>
        </w:rPr>
      </w:pPr>
    </w:p>
    <w:tbl>
      <w:tblPr>
        <w:tblStyle w:val="8"/>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095"/>
        <w:gridCol w:w="2790"/>
        <w:gridCol w:w="4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3" w:hRule="atLeast"/>
        </w:trPr>
        <w:tc>
          <w:tcPr>
            <w:tcW w:w="4404" w:type="dxa"/>
            <w:gridSpan w:val="3"/>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auto"/>
                <w:kern w:val="0"/>
                <w:sz w:val="24"/>
                <w:szCs w:val="24"/>
                <w:highlight w:val="none"/>
              </w:rPr>
            </w:pPr>
            <w:r>
              <w:rPr>
                <w:rFonts w:hint="eastAsia" w:ascii="仿宋_GB2312" w:hAnsi="仿宋_GB2312" w:eastAsia="仿宋_GB2312" w:cs="仿宋_GB2312"/>
                <w:b w:val="0"/>
                <w:bCs/>
                <w:color w:val="auto"/>
                <w:kern w:val="0"/>
                <w:sz w:val="24"/>
                <w:szCs w:val="24"/>
                <w:highlight w:val="none"/>
              </w:rPr>
              <w:t>项目</w:t>
            </w:r>
          </w:p>
        </w:tc>
        <w:tc>
          <w:tcPr>
            <w:tcW w:w="4347" w:type="dxa"/>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auto"/>
                <w:kern w:val="0"/>
                <w:sz w:val="24"/>
                <w:szCs w:val="24"/>
                <w:highlight w:val="none"/>
                <w:lang w:eastAsia="zh-CN"/>
              </w:rPr>
            </w:pPr>
            <w:r>
              <w:rPr>
                <w:rFonts w:hint="eastAsia" w:ascii="仿宋_GB2312" w:hAnsi="仿宋_GB2312" w:eastAsia="仿宋_GB2312" w:cs="仿宋_GB2312"/>
                <w:b w:val="0"/>
                <w:bCs/>
                <w:color w:val="auto"/>
                <w:kern w:val="0"/>
                <w:sz w:val="24"/>
                <w:szCs w:val="24"/>
                <w:highlight w:val="none"/>
                <w:lang w:eastAsia="zh-CN"/>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57" w:hRule="atLeast"/>
        </w:trPr>
        <w:tc>
          <w:tcPr>
            <w:tcW w:w="519" w:type="dxa"/>
            <w:vMerge w:val="restart"/>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技术</w:t>
            </w:r>
            <w:r>
              <w:rPr>
                <w:rFonts w:hint="eastAsia" w:ascii="仿宋_GB2312" w:hAnsi="仿宋_GB2312" w:eastAsia="仿宋_GB2312" w:cs="仿宋_GB2312"/>
                <w:b w:val="0"/>
                <w:bCs/>
                <w:color w:val="auto"/>
                <w:sz w:val="24"/>
                <w:szCs w:val="24"/>
                <w:highlight w:val="none"/>
                <w:lang w:eastAsia="zh-CN"/>
              </w:rPr>
              <w:t>能力</w:t>
            </w:r>
            <w:r>
              <w:rPr>
                <w:rFonts w:hint="eastAsia" w:ascii="仿宋_GB2312" w:hAnsi="仿宋_GB2312" w:eastAsia="仿宋_GB2312" w:cs="仿宋_GB2312"/>
                <w:b w:val="0"/>
                <w:bCs/>
                <w:color w:val="auto"/>
                <w:sz w:val="24"/>
                <w:szCs w:val="24"/>
                <w:highlight w:val="none"/>
              </w:rPr>
              <w:t>分</w:t>
            </w:r>
            <w:r>
              <w:rPr>
                <w:rFonts w:hint="eastAsia" w:ascii="仿宋_GB2312" w:hAnsi="仿宋_GB2312" w:eastAsia="仿宋_GB2312" w:cs="仿宋_GB2312"/>
                <w:b w:val="0"/>
                <w:bCs/>
                <w:color w:val="auto"/>
                <w:sz w:val="24"/>
                <w:szCs w:val="24"/>
                <w:highlight w:val="none"/>
                <w:lang w:val="en-US" w:eastAsia="zh-CN"/>
              </w:rPr>
              <w:t>50</w:t>
            </w:r>
            <w:r>
              <w:rPr>
                <w:rFonts w:hint="eastAsia" w:ascii="仿宋_GB2312" w:hAnsi="仿宋_GB2312" w:eastAsia="仿宋_GB2312" w:cs="仿宋_GB2312"/>
                <w:b w:val="0"/>
                <w:bCs/>
                <w:color w:val="auto"/>
                <w:sz w:val="24"/>
                <w:szCs w:val="24"/>
                <w:highlight w:val="none"/>
              </w:rPr>
              <w:t>分</w:t>
            </w:r>
          </w:p>
        </w:tc>
        <w:tc>
          <w:tcPr>
            <w:tcW w:w="1095"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实施方案</w:t>
            </w:r>
            <w:r>
              <w:rPr>
                <w:rFonts w:hint="eastAsia" w:ascii="仿宋_GB2312" w:hAnsi="仿宋_GB2312" w:eastAsia="仿宋_GB2312" w:cs="仿宋_GB2312"/>
                <w:b w:val="0"/>
                <w:bCs/>
                <w:color w:val="auto"/>
                <w:sz w:val="24"/>
                <w:szCs w:val="24"/>
                <w:highlight w:val="none"/>
              </w:rPr>
              <w:t>（</w:t>
            </w:r>
            <w:r>
              <w:rPr>
                <w:rFonts w:hint="eastAsia" w:ascii="仿宋_GB2312" w:hAnsi="仿宋_GB2312" w:eastAsia="仿宋_GB2312" w:cs="仿宋_GB2312"/>
                <w:b w:val="0"/>
                <w:bCs/>
                <w:color w:val="auto"/>
                <w:sz w:val="24"/>
                <w:szCs w:val="24"/>
                <w:highlight w:val="none"/>
                <w:lang w:val="en-US" w:eastAsia="zh-CN"/>
              </w:rPr>
              <w:t>20</w:t>
            </w:r>
            <w:r>
              <w:rPr>
                <w:rFonts w:hint="eastAsia" w:ascii="仿宋_GB2312" w:hAnsi="仿宋_GB2312" w:eastAsia="仿宋_GB2312" w:cs="仿宋_GB2312"/>
                <w:b w:val="0"/>
                <w:bCs/>
                <w:color w:val="auto"/>
                <w:sz w:val="24"/>
                <w:szCs w:val="24"/>
                <w:highlight w:val="none"/>
              </w:rPr>
              <w:t>分）</w:t>
            </w:r>
          </w:p>
        </w:tc>
        <w:tc>
          <w:tcPr>
            <w:tcW w:w="2790" w:type="dxa"/>
            <w:noWrap w:val="0"/>
            <w:vAlign w:val="center"/>
          </w:tcPr>
          <w:p>
            <w:pPr>
              <w:spacing w:line="400" w:lineRule="exact"/>
              <w:jc w:val="left"/>
              <w:rPr>
                <w:rFonts w:hint="eastAsia" w:ascii="仿宋_GB2312" w:hAnsi="仿宋_GB2312" w:eastAsia="仿宋_GB2312" w:cs="仿宋_GB2312"/>
                <w:bCs/>
                <w:sz w:val="24"/>
                <w:szCs w:val="24"/>
                <w:highlight w:val="none"/>
                <w:lang w:eastAsia="zh-CN"/>
              </w:rPr>
            </w:pPr>
            <w:r>
              <w:rPr>
                <w:rFonts w:hint="eastAsia" w:ascii="仿宋_GB2312" w:hAnsi="仿宋_GB2312" w:eastAsia="仿宋_GB2312" w:cs="仿宋_GB2312"/>
                <w:bCs/>
                <w:sz w:val="24"/>
                <w:szCs w:val="24"/>
                <w:highlight w:val="none"/>
              </w:rPr>
              <w:t>考察投标人对本项目策划的实施方案，</w:t>
            </w:r>
            <w:r>
              <w:rPr>
                <w:rFonts w:hint="eastAsia" w:ascii="仿宋_GB2312" w:hAnsi="仿宋_GB2312" w:eastAsia="仿宋_GB2312" w:cs="仿宋_GB2312"/>
                <w:bCs/>
                <w:sz w:val="24"/>
                <w:szCs w:val="24"/>
                <w:highlight w:val="none"/>
                <w:lang w:val="en-US" w:eastAsia="zh-CN"/>
              </w:rPr>
              <w:t>方案</w:t>
            </w:r>
            <w:r>
              <w:rPr>
                <w:rFonts w:hint="eastAsia" w:ascii="仿宋_GB2312" w:hAnsi="仿宋_GB2312" w:eastAsia="仿宋_GB2312" w:cs="仿宋_GB2312"/>
                <w:bCs/>
                <w:sz w:val="24"/>
                <w:szCs w:val="24"/>
                <w:highlight w:val="none"/>
              </w:rPr>
              <w:t>内容包括</w:t>
            </w:r>
            <w:r>
              <w:rPr>
                <w:rFonts w:hint="eastAsia" w:ascii="仿宋_GB2312" w:hAnsi="仿宋_GB2312" w:eastAsia="仿宋_GB2312" w:cs="仿宋_GB2312"/>
                <w:bCs/>
                <w:sz w:val="24"/>
                <w:szCs w:val="24"/>
                <w:highlight w:val="none"/>
                <w:lang w:val="en-US" w:eastAsia="zh-CN"/>
              </w:rPr>
              <w:t>但不限于</w:t>
            </w:r>
            <w:r>
              <w:rPr>
                <w:rFonts w:hint="eastAsia" w:ascii="仿宋_GB2312" w:hAnsi="仿宋_GB2312" w:eastAsia="仿宋_GB2312" w:cs="仿宋_GB2312"/>
                <w:bCs/>
                <w:sz w:val="24"/>
                <w:szCs w:val="24"/>
                <w:highlight w:val="none"/>
                <w:lang w:eastAsia="zh-CN"/>
              </w:rPr>
              <w:t>：</w:t>
            </w:r>
          </w:p>
          <w:p>
            <w:pPr>
              <w:spacing w:line="400" w:lineRule="exact"/>
              <w:jc w:val="left"/>
              <w:rPr>
                <w:rFonts w:hint="eastAsia" w:ascii="仿宋_GB2312" w:hAnsi="仿宋_GB2312" w:eastAsia="仿宋_GB2312" w:cs="仿宋_GB2312"/>
                <w:bCs/>
                <w:sz w:val="24"/>
                <w:szCs w:val="24"/>
                <w:highlight w:val="none"/>
                <w:lang w:eastAsia="zh-CN"/>
              </w:rPr>
            </w:pPr>
            <w:r>
              <w:rPr>
                <w:rFonts w:hint="eastAsia" w:ascii="仿宋_GB2312" w:hAnsi="仿宋_GB2312" w:eastAsia="仿宋_GB2312" w:cs="仿宋_GB2312"/>
                <w:bCs/>
                <w:sz w:val="24"/>
                <w:szCs w:val="24"/>
                <w:highlight w:val="none"/>
                <w:lang w:val="en-US" w:eastAsia="zh-CN"/>
              </w:rPr>
              <w:t>1.赛事赛程</w:t>
            </w:r>
            <w:r>
              <w:rPr>
                <w:rFonts w:hint="eastAsia" w:ascii="仿宋_GB2312" w:hAnsi="仿宋_GB2312" w:eastAsia="仿宋_GB2312" w:cs="仿宋_GB2312"/>
                <w:bCs/>
                <w:sz w:val="24"/>
                <w:szCs w:val="24"/>
                <w:highlight w:val="none"/>
              </w:rPr>
              <w:t>活动策划</w:t>
            </w:r>
            <w:r>
              <w:rPr>
                <w:rFonts w:hint="eastAsia" w:ascii="仿宋_GB2312" w:hAnsi="仿宋_GB2312" w:eastAsia="仿宋_GB2312" w:cs="仿宋_GB2312"/>
                <w:bCs/>
                <w:sz w:val="24"/>
                <w:szCs w:val="24"/>
                <w:highlight w:val="none"/>
                <w:lang w:eastAsia="zh-CN"/>
              </w:rPr>
              <w:t>；</w:t>
            </w:r>
          </w:p>
          <w:p>
            <w:pPr>
              <w:spacing w:line="400" w:lineRule="exact"/>
              <w:jc w:val="left"/>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lang w:val="en-US" w:eastAsia="zh-CN"/>
              </w:rPr>
              <w:t>2.活动预计完成目标；</w:t>
            </w:r>
          </w:p>
          <w:p>
            <w:pPr>
              <w:spacing w:line="400" w:lineRule="exact"/>
              <w:jc w:val="left"/>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lang w:val="en-US" w:eastAsia="zh-CN"/>
              </w:rPr>
              <w:t>3.拟邀导师及专家阵容；</w:t>
            </w:r>
          </w:p>
          <w:p>
            <w:pPr>
              <w:spacing w:line="400" w:lineRule="exact"/>
              <w:jc w:val="left"/>
              <w:rPr>
                <w:rFonts w:hint="default" w:ascii="仿宋_GB2312" w:hAnsi="仿宋_GB2312" w:eastAsia="仿宋_GB2312" w:cs="仿宋_GB2312"/>
                <w:bCs/>
                <w:sz w:val="24"/>
                <w:szCs w:val="24"/>
                <w:highlight w:val="none"/>
                <w:lang w:val="en-US"/>
              </w:rPr>
            </w:pPr>
            <w:r>
              <w:rPr>
                <w:rFonts w:hint="eastAsia" w:ascii="仿宋_GB2312" w:hAnsi="仿宋_GB2312" w:eastAsia="仿宋_GB2312" w:cs="仿宋_GB2312"/>
                <w:bCs/>
                <w:sz w:val="24"/>
                <w:szCs w:val="24"/>
                <w:highlight w:val="none"/>
                <w:lang w:val="en-US" w:eastAsia="zh-CN"/>
              </w:rPr>
              <w:t>4.拟制作的创新性考核题与展演创意计划；</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p>
        </w:tc>
        <w:tc>
          <w:tcPr>
            <w:tcW w:w="4347" w:type="dxa"/>
            <w:noWrap w:val="0"/>
            <w:vAlign w:val="center"/>
          </w:tcPr>
          <w:p>
            <w:pPr>
              <w:spacing w:line="400" w:lineRule="exact"/>
              <w:jc w:val="left"/>
              <w:rPr>
                <w:rFonts w:hint="eastAsia" w:ascii="仿宋_GB2312" w:hAnsi="仿宋_GB2312" w:eastAsia="仿宋_GB2312" w:cs="仿宋_GB2312"/>
                <w:b/>
                <w:bCs w:val="0"/>
                <w:sz w:val="24"/>
                <w:szCs w:val="24"/>
                <w:highlight w:val="none"/>
              </w:rPr>
            </w:pPr>
            <w:r>
              <w:rPr>
                <w:rFonts w:hint="eastAsia" w:ascii="仿宋_GB2312" w:hAnsi="仿宋_GB2312" w:eastAsia="仿宋_GB2312" w:cs="仿宋_GB2312"/>
                <w:b/>
                <w:bCs w:val="0"/>
                <w:sz w:val="24"/>
                <w:szCs w:val="24"/>
                <w:highlight w:val="none"/>
              </w:rPr>
              <w:t>评分标准：</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 xml:space="preserve">1.满足内容任意一项内容得3分，最高得12分； </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2.在此基础上，评审委员根据各供应商的具体响应内容按照量化的评审因素指标进一步评审：</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（1）实施方案内容全面。</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（2）实施方案内容具体。</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（3）实施方案内容科学合理。</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（4）实施方案内容针对性强。</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（5）实施方案内容可操作性强。</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满足以上五项要求的评价为优，得 8分。</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满足以上四项要求的评价为良，得 6分。</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满足以上三项要求的评价为中，得 2分。</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上述情况之外的，评差不得分。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57" w:hRule="atLeast"/>
        </w:trPr>
        <w:tc>
          <w:tcPr>
            <w:tcW w:w="519" w:type="dxa"/>
            <w:vMerge w:val="continue"/>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auto"/>
                <w:sz w:val="24"/>
                <w:szCs w:val="24"/>
                <w:highlight w:val="none"/>
                <w:lang w:val="en-US" w:eastAsia="zh-CN"/>
              </w:rPr>
            </w:pPr>
          </w:p>
        </w:tc>
        <w:tc>
          <w:tcPr>
            <w:tcW w:w="1095"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项目重点难点分析、应对措施及相关的合理化建议（15分）</w:t>
            </w:r>
          </w:p>
        </w:tc>
        <w:tc>
          <w:tcPr>
            <w:tcW w:w="2790" w:type="dxa"/>
            <w:noWrap w:val="0"/>
            <w:vAlign w:val="center"/>
          </w:tcPr>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投标人应根据采购文件服务需求提供项目重点难点分析、应对措施及相关的合理化建议内容包括但不限于：</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1.重点难点分析；</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2.应对措施；</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3.合理化建议。</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p>
        </w:tc>
        <w:tc>
          <w:tcPr>
            <w:tcW w:w="4347" w:type="dxa"/>
            <w:noWrap w:val="0"/>
            <w:vAlign w:val="center"/>
          </w:tcPr>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bCs w:val="0"/>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评分标准：</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1.满足内容任意一项内容得3分，最高得9分。</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2.在此基础上，</w:t>
            </w:r>
            <w:r>
              <w:rPr>
                <w:rFonts w:hint="eastAsia" w:ascii="仿宋_GB2312" w:hAnsi="仿宋_GB2312" w:eastAsia="仿宋_GB2312" w:cs="仿宋_GB2312"/>
                <w:bCs/>
                <w:sz w:val="24"/>
                <w:szCs w:val="24"/>
                <w:highlight w:val="none"/>
              </w:rPr>
              <w:t>评审委员根据各供应商的具体响应内容按照量化的评审因素指标进一步评审</w:t>
            </w:r>
            <w:r>
              <w:rPr>
                <w:rFonts w:hint="eastAsia" w:ascii="仿宋_GB2312" w:hAnsi="仿宋_GB2312" w:eastAsia="仿宋_GB2312" w:cs="仿宋_GB2312"/>
                <w:b w:val="0"/>
                <w:bCs/>
                <w:color w:val="auto"/>
                <w:sz w:val="24"/>
                <w:szCs w:val="24"/>
                <w:highlight w:val="none"/>
                <w:lang w:val="en-US" w:eastAsia="zh-CN"/>
              </w:rPr>
              <w:t>：</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（1）提供内容全面。</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（2）提供内容具体。</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（3）提供内容科学合理。</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（4）提供内容针对性强。</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（5）提供内容可操作性强。</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满足以上五项要求的评价为优，得 6分。</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满足以上四项要求的评价为良，得 4分。</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满足以上三项要求的评价为中，得 2分。</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上述情况之外的，评差不得分。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489" w:hRule="atLeast"/>
        </w:trPr>
        <w:tc>
          <w:tcPr>
            <w:tcW w:w="519" w:type="dxa"/>
            <w:vMerge w:val="continue"/>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auto"/>
                <w:sz w:val="24"/>
                <w:szCs w:val="24"/>
                <w:highlight w:val="none"/>
                <w:lang w:val="en-US" w:eastAsia="zh-CN"/>
              </w:rPr>
            </w:pPr>
          </w:p>
        </w:tc>
        <w:tc>
          <w:tcPr>
            <w:tcW w:w="1095"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val="en-US" w:eastAsia="zh-CN"/>
              </w:rPr>
              <w:t>质量保障措施及方案</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lang w:val="en-US" w:eastAsia="zh-CN"/>
              </w:rPr>
              <w:t>15分</w:t>
            </w:r>
            <w:r>
              <w:rPr>
                <w:rFonts w:hint="eastAsia" w:ascii="仿宋_GB2312" w:hAnsi="仿宋_GB2312" w:eastAsia="仿宋_GB2312" w:cs="仿宋_GB2312"/>
                <w:b w:val="0"/>
                <w:bCs/>
                <w:color w:val="auto"/>
                <w:sz w:val="24"/>
                <w:szCs w:val="24"/>
                <w:highlight w:val="none"/>
                <w:lang w:eastAsia="zh-CN"/>
              </w:rPr>
              <w:t>）</w:t>
            </w:r>
          </w:p>
        </w:tc>
        <w:tc>
          <w:tcPr>
            <w:tcW w:w="2790" w:type="dxa"/>
            <w:noWrap w:val="0"/>
            <w:vAlign w:val="center"/>
          </w:tcPr>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投标人需针对本项目提供质量（完成时间、安全）保障措施及方案，方案内容包括但不限于：</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1.给出分阶段项目时间安排、工作进度；具备详细的完成时间保障措施；</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2.详细阐述项目人员管理措施；</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3.详细阐述项目质量管理措施；</w:t>
            </w:r>
          </w:p>
          <w:p>
            <w:pPr>
              <w:keepNext w:val="0"/>
              <w:keepLines w:val="0"/>
              <w:pageBreakBefore w:val="0"/>
              <w:kinsoku/>
              <w:wordWrap/>
              <w:overflowPunct/>
              <w:topLinePunct w:val="0"/>
              <w:autoSpaceDE/>
              <w:autoSpaceDN/>
              <w:bidi w:val="0"/>
              <w:spacing w:line="240" w:lineRule="auto"/>
              <w:jc w:val="left"/>
              <w:textAlignment w:val="auto"/>
              <w:rPr>
                <w:rFonts w:hint="default" w:ascii="仿宋_GB2312" w:hAnsi="仿宋_GB2312" w:eastAsia="仿宋_GB2312" w:cs="仿宋_GB2312"/>
                <w:b w:val="0"/>
                <w:bCs/>
                <w:color w:val="auto"/>
                <w:sz w:val="24"/>
                <w:szCs w:val="24"/>
                <w:highlight w:val="none"/>
                <w:lang w:val="en-US" w:eastAsia="zh-CN"/>
              </w:rPr>
            </w:pPr>
          </w:p>
        </w:tc>
        <w:tc>
          <w:tcPr>
            <w:tcW w:w="4347" w:type="dxa"/>
            <w:noWrap w:val="0"/>
            <w:vAlign w:val="center"/>
          </w:tcPr>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bCs w:val="0"/>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评分标准：</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1.满足内容以上任意一项内容得3分，最高得9分。</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2.在此基础上，由评标委员会对实施方案进一步评审：</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（1）提供内容全面。</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（2）提供内容具体。</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（3）提供内容科学合理。</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（4）提供内容针对性强。</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（5）提供内容可操作性强。</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满足以上五项要求的评价为优，得6分。</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满足以上四项要求的评价为良，得4分。</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满足以上三项要求的评价为中，得2分。</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上述情况之外的，评差不得分。</w:t>
            </w:r>
          </w:p>
        </w:tc>
      </w:tr>
    </w:tbl>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3.报价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auto"/>
          <w:sz w:val="32"/>
          <w:szCs w:val="32"/>
          <w:highlight w:val="none"/>
        </w:rPr>
        <w:t>以本次</w:t>
      </w:r>
      <w:r>
        <w:rPr>
          <w:rFonts w:hint="eastAsia" w:ascii="仿宋_GB2312" w:hAnsi="仿宋" w:eastAsia="仿宋_GB2312" w:cs="仿宋_GB2312"/>
          <w:color w:val="auto"/>
          <w:sz w:val="32"/>
          <w:szCs w:val="32"/>
          <w:highlight w:val="none"/>
        </w:rPr>
        <w:t>报价或投标</w:t>
      </w:r>
      <w:r>
        <w:rPr>
          <w:rFonts w:hint="eastAsia" w:ascii="仿宋_GB2312" w:eastAsia="仿宋_GB2312"/>
          <w:color w:val="auto"/>
          <w:sz w:val="32"/>
          <w:szCs w:val="32"/>
          <w:highlight w:val="none"/>
        </w:rPr>
        <w:t>人所报的有效报价中的最低价作为基准报价。投标人报价得分=（基准价/投标人报价）*</w:t>
      </w:r>
      <w:r>
        <w:rPr>
          <w:rFonts w:hint="eastAsia" w:ascii="仿宋_GB2312" w:eastAsia="仿宋_GB2312"/>
          <w:color w:val="000000"/>
          <w:sz w:val="32"/>
          <w:szCs w:val="32"/>
          <w:highlight w:val="none"/>
          <w:lang w:val="en-US" w:eastAsia="zh-CN"/>
        </w:rPr>
        <w:t>30</w:t>
      </w:r>
      <w:r>
        <w:rPr>
          <w:rFonts w:hint="eastAsia" w:ascii="仿宋_GB2312" w:eastAsia="仿宋_GB2312"/>
          <w:color w:val="000000"/>
          <w:sz w:val="32"/>
          <w:szCs w:val="32"/>
          <w:highlight w:val="none"/>
          <w:lang w:eastAsia="zh-CN"/>
        </w:rPr>
        <w:t>分</w:t>
      </w:r>
      <w:r>
        <w:rPr>
          <w:rFonts w:hint="eastAsia" w:ascii="仿宋_GB2312" w:eastAsia="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rPr>
      </w:pPr>
    </w:p>
    <w:p>
      <w:pPr>
        <w:rPr>
          <w:rFonts w:hint="eastAsia" w:ascii="楷体" w:hAnsi="楷体" w:eastAsia="楷体" w:cs="楷体"/>
          <w:color w:val="000000"/>
          <w:sz w:val="32"/>
          <w:szCs w:val="32"/>
          <w:highlight w:val="none"/>
          <w:lang w:val="en-US" w:eastAsia="zh-CN"/>
        </w:rPr>
      </w:pPr>
      <w:r>
        <w:rPr>
          <w:rFonts w:hint="eastAsia"/>
          <w:lang w:val="en-US" w:eastAsia="zh-CN"/>
        </w:rPr>
        <w:t xml:space="preserve">    </w:t>
      </w:r>
      <w:r>
        <w:rPr>
          <w:rFonts w:hint="eastAsia" w:ascii="楷体" w:hAnsi="楷体" w:eastAsia="楷体" w:cs="楷体"/>
          <w:color w:val="000000"/>
          <w:sz w:val="32"/>
          <w:szCs w:val="32"/>
          <w:highlight w:val="none"/>
          <w:lang w:val="en-US" w:eastAsia="zh-CN"/>
        </w:rPr>
        <w:t>（四）供应商提供资料清单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Times New Roman"/>
          <w:color w:val="auto"/>
          <w:sz w:val="32"/>
          <w:highlight w:val="none"/>
          <w:lang w:val="en-US" w:eastAsia="zh-CN"/>
        </w:rPr>
        <w:t>1.</w:t>
      </w:r>
      <w:r>
        <w:rPr>
          <w:rFonts w:hint="eastAsia" w:ascii="仿宋_GB2312" w:hAnsi="仿宋" w:eastAsia="仿宋_GB2312" w:cs="仿宋"/>
          <w:sz w:val="32"/>
          <w:szCs w:val="32"/>
          <w:lang w:val="en-US" w:eastAsia="zh-CN"/>
        </w:rPr>
        <w:t>营业执照、事业法人证书、社会团体法人登记证书（加盖公章）；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2.法定代表人身份证复印件（加盖公章）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3.项目报价清单（加盖公章）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4.评分规则所需资料（同类业绩证明、方案等）</w:t>
      </w:r>
    </w:p>
    <w:p>
      <w:pPr>
        <w:pStyle w:val="3"/>
        <w:rPr>
          <w:rFonts w:hint="eastAsia" w:ascii="仿宋_GB2312" w:hAnsi="仿宋" w:eastAsia="仿宋_GB2312" w:cs="仿宋"/>
          <w:sz w:val="32"/>
          <w:szCs w:val="32"/>
          <w:lang w:val="en-US" w:eastAsia="zh-CN"/>
        </w:rPr>
      </w:pPr>
    </w:p>
    <w:p>
      <w:pPr>
        <w:pStyle w:val="3"/>
        <w:rPr>
          <w:rFonts w:hint="eastAsia" w:ascii="仿宋_GB2312" w:hAnsi="仿宋" w:eastAsia="仿宋_GB2312" w:cs="仿宋"/>
          <w:sz w:val="32"/>
          <w:szCs w:val="32"/>
          <w:lang w:val="en-US" w:eastAsia="zh-CN"/>
        </w:rPr>
      </w:pPr>
    </w:p>
    <w:p>
      <w:pPr>
        <w:pStyle w:val="3"/>
        <w:rPr>
          <w:rFonts w:hint="eastAsia" w:ascii="仿宋_GB2312" w:hAnsi="仿宋" w:eastAsia="仿宋_GB2312" w:cs="仿宋"/>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注：供应商需邮寄7份密封纸质版投标资料至本单位</w:t>
      </w:r>
    </w:p>
    <w:p>
      <w:pPr>
        <w:numPr>
          <w:ilvl w:val="0"/>
          <w:numId w:val="0"/>
        </w:numPr>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地址：</w:t>
      </w:r>
      <w:r>
        <w:rPr>
          <w:rFonts w:hint="eastAsia" w:ascii="仿宋_GB2312" w:hAnsi="仿宋" w:eastAsia="仿宋_GB2312" w:cs="仿宋"/>
          <w:sz w:val="32"/>
          <w:szCs w:val="32"/>
          <w:lang w:val="en-US" w:eastAsia="zh-CN"/>
        </w:rPr>
        <w:t>深圳市龙华区维雅德大厦富康行政办公区</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电话：0755-23338140</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收件人：吴工</w:t>
      </w:r>
    </w:p>
    <w:p>
      <w:pPr>
        <w:pStyle w:val="3"/>
        <w:ind w:left="0" w:leftChars="0" w:firstLine="0" w:firstLineChars="0"/>
        <w:rPr>
          <w:rFonts w:hint="default" w:ascii="仿宋_GB2312" w:hAnsi="仿宋" w:eastAsia="仿宋_GB2312" w:cs="仿宋"/>
          <w:sz w:val="32"/>
          <w:szCs w:val="32"/>
          <w:lang w:val="en-US" w:eastAsia="zh-CN"/>
        </w:rPr>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2010600030101010101"/>
    <w:charset w:val="88"/>
    <w:family w:val="modern"/>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等线 Light">
    <w:altName w:val="华文仿宋"/>
    <w:panose1 w:val="02010600030101010101"/>
    <w:charset w:val="86"/>
    <w:family w:val="auto"/>
    <w:pitch w:val="default"/>
    <w:sig w:usb0="00000000" w:usb1="00000000" w:usb2="00000016" w:usb3="00000000" w:csb0="0004000F"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snapToGrid w:val="0"/>
                      <w:rPr>
                        <w:rFonts w:hint="eastAsia"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CF32EE"/>
    <w:multiLevelType w:val="singleLevel"/>
    <w:tmpl w:val="D5CF32EE"/>
    <w:lvl w:ilvl="0" w:tentative="0">
      <w:start w:val="4"/>
      <w:numFmt w:val="chineseCounting"/>
      <w:suff w:val="nothing"/>
      <w:lvlText w:val="%1、"/>
      <w:lvlJc w:val="left"/>
      <w:rPr>
        <w:rFonts w:hint="eastAsia"/>
      </w:rPr>
    </w:lvl>
  </w:abstractNum>
  <w:abstractNum w:abstractNumId="1">
    <w:nsid w:val="023B7E9E"/>
    <w:multiLevelType w:val="singleLevel"/>
    <w:tmpl w:val="023B7E9E"/>
    <w:lvl w:ilvl="0" w:tentative="0">
      <w:start w:val="2"/>
      <w:numFmt w:val="chineseCounting"/>
      <w:suff w:val="nothing"/>
      <w:lvlText w:val="（%1）"/>
      <w:lvlJc w:val="left"/>
      <w:rPr>
        <w:rFonts w:hint="eastAsia"/>
      </w:rPr>
    </w:lvl>
  </w:abstractNum>
  <w:abstractNum w:abstractNumId="2">
    <w:nsid w:val="5EF6273B"/>
    <w:multiLevelType w:val="singleLevel"/>
    <w:tmpl w:val="5EF6273B"/>
    <w:lvl w:ilvl="0" w:tentative="0">
      <w:start w:val="1"/>
      <w:numFmt w:val="chineseCounting"/>
      <w:suff w:val="nothing"/>
      <w:lvlText w:val="%1、"/>
      <w:lvlJc w:val="left"/>
      <w:rPr>
        <w:rFonts w:hint="eastAsia"/>
      </w:rPr>
    </w:lvl>
  </w:abstractNum>
  <w:abstractNum w:abstractNumId="3">
    <w:nsid w:val="64076333"/>
    <w:multiLevelType w:val="singleLevel"/>
    <w:tmpl w:val="64076333"/>
    <w:lvl w:ilvl="0" w:tentative="0">
      <w:start w:val="2"/>
      <w:numFmt w:val="decimal"/>
      <w:lvlText w:val="%1."/>
      <w:lvlJc w:val="left"/>
      <w:pPr>
        <w:tabs>
          <w:tab w:val="left" w:pos="312"/>
        </w:tabs>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2ZTE4YWMwMjkxODhmM2VjNjk2ZGQ1OTgyNTFmYTcifQ=="/>
  </w:docVars>
  <w:rsids>
    <w:rsidRoot w:val="00000000"/>
    <w:rsid w:val="000A70F5"/>
    <w:rsid w:val="000F762B"/>
    <w:rsid w:val="0299365C"/>
    <w:rsid w:val="02A14404"/>
    <w:rsid w:val="02ED4ABC"/>
    <w:rsid w:val="037261DA"/>
    <w:rsid w:val="03BA7C4F"/>
    <w:rsid w:val="04F94B0A"/>
    <w:rsid w:val="04FF4024"/>
    <w:rsid w:val="05701B1B"/>
    <w:rsid w:val="06272FC8"/>
    <w:rsid w:val="07E6528B"/>
    <w:rsid w:val="082A6214"/>
    <w:rsid w:val="086E178C"/>
    <w:rsid w:val="0B1A5ABE"/>
    <w:rsid w:val="0D4A4E59"/>
    <w:rsid w:val="0E336732"/>
    <w:rsid w:val="0F385370"/>
    <w:rsid w:val="0F942AAF"/>
    <w:rsid w:val="10152737"/>
    <w:rsid w:val="10B75584"/>
    <w:rsid w:val="12274BF2"/>
    <w:rsid w:val="13662464"/>
    <w:rsid w:val="144942F4"/>
    <w:rsid w:val="1517333D"/>
    <w:rsid w:val="15DE511D"/>
    <w:rsid w:val="17115D70"/>
    <w:rsid w:val="180C63B2"/>
    <w:rsid w:val="18462EE2"/>
    <w:rsid w:val="1D23268B"/>
    <w:rsid w:val="1DEA08D0"/>
    <w:rsid w:val="1F012782"/>
    <w:rsid w:val="1FA45CB2"/>
    <w:rsid w:val="1FFB7A1A"/>
    <w:rsid w:val="22230EE0"/>
    <w:rsid w:val="235D47F0"/>
    <w:rsid w:val="236849F0"/>
    <w:rsid w:val="238B4897"/>
    <w:rsid w:val="264E265F"/>
    <w:rsid w:val="2704160A"/>
    <w:rsid w:val="28EC0F86"/>
    <w:rsid w:val="29065AE1"/>
    <w:rsid w:val="2AAD1FBB"/>
    <w:rsid w:val="2B3A4917"/>
    <w:rsid w:val="2B49205D"/>
    <w:rsid w:val="2BC813F8"/>
    <w:rsid w:val="2BCA72ED"/>
    <w:rsid w:val="2DE10DF9"/>
    <w:rsid w:val="2E5F739F"/>
    <w:rsid w:val="2ED950C8"/>
    <w:rsid w:val="306A153F"/>
    <w:rsid w:val="321111A9"/>
    <w:rsid w:val="3245497B"/>
    <w:rsid w:val="32D24F5E"/>
    <w:rsid w:val="34185F52"/>
    <w:rsid w:val="348113C1"/>
    <w:rsid w:val="35A47850"/>
    <w:rsid w:val="35D92994"/>
    <w:rsid w:val="361735D6"/>
    <w:rsid w:val="37ED0DFC"/>
    <w:rsid w:val="389D7E6F"/>
    <w:rsid w:val="395170EE"/>
    <w:rsid w:val="395C4529"/>
    <w:rsid w:val="3C4115E4"/>
    <w:rsid w:val="3C6B36A0"/>
    <w:rsid w:val="3CC41D19"/>
    <w:rsid w:val="3D413CB5"/>
    <w:rsid w:val="3D6B2252"/>
    <w:rsid w:val="3DBD16A1"/>
    <w:rsid w:val="3E350BC9"/>
    <w:rsid w:val="3EA7797A"/>
    <w:rsid w:val="3F1F1C2A"/>
    <w:rsid w:val="3F743193"/>
    <w:rsid w:val="3FAA29DA"/>
    <w:rsid w:val="3FEF9740"/>
    <w:rsid w:val="404A7B24"/>
    <w:rsid w:val="406412D2"/>
    <w:rsid w:val="408D7917"/>
    <w:rsid w:val="42126DD2"/>
    <w:rsid w:val="42DA2D11"/>
    <w:rsid w:val="43F459FD"/>
    <w:rsid w:val="441B263E"/>
    <w:rsid w:val="45A901E2"/>
    <w:rsid w:val="46190247"/>
    <w:rsid w:val="46E56473"/>
    <w:rsid w:val="47271AF0"/>
    <w:rsid w:val="47AC489C"/>
    <w:rsid w:val="4902618C"/>
    <w:rsid w:val="497175BD"/>
    <w:rsid w:val="4A274EC8"/>
    <w:rsid w:val="4C484939"/>
    <w:rsid w:val="4C5A74AA"/>
    <w:rsid w:val="4C8C268C"/>
    <w:rsid w:val="4CF107F4"/>
    <w:rsid w:val="4D5C222A"/>
    <w:rsid w:val="5118124A"/>
    <w:rsid w:val="548036DC"/>
    <w:rsid w:val="55AB2248"/>
    <w:rsid w:val="57097A1B"/>
    <w:rsid w:val="57A529EE"/>
    <w:rsid w:val="58AA5BB8"/>
    <w:rsid w:val="5AB61E7E"/>
    <w:rsid w:val="5AD70930"/>
    <w:rsid w:val="5B814F45"/>
    <w:rsid w:val="5BA21406"/>
    <w:rsid w:val="5BD30C4D"/>
    <w:rsid w:val="5C835040"/>
    <w:rsid w:val="5FAB74EB"/>
    <w:rsid w:val="607D789C"/>
    <w:rsid w:val="614A0BAC"/>
    <w:rsid w:val="617C5F6F"/>
    <w:rsid w:val="626369F4"/>
    <w:rsid w:val="638D15C2"/>
    <w:rsid w:val="64350004"/>
    <w:rsid w:val="65AE3591"/>
    <w:rsid w:val="65C632AB"/>
    <w:rsid w:val="6784413C"/>
    <w:rsid w:val="687D6787"/>
    <w:rsid w:val="68D5305B"/>
    <w:rsid w:val="68EB27CB"/>
    <w:rsid w:val="6AEB0FDA"/>
    <w:rsid w:val="6BDF2477"/>
    <w:rsid w:val="6CD20997"/>
    <w:rsid w:val="6CEE0D82"/>
    <w:rsid w:val="6DE24AAE"/>
    <w:rsid w:val="6EA474E2"/>
    <w:rsid w:val="6F7E3BBE"/>
    <w:rsid w:val="6F9D36EB"/>
    <w:rsid w:val="724D226A"/>
    <w:rsid w:val="725463B1"/>
    <w:rsid w:val="725B63EC"/>
    <w:rsid w:val="73783C1A"/>
    <w:rsid w:val="7465342F"/>
    <w:rsid w:val="74A2331F"/>
    <w:rsid w:val="780274A2"/>
    <w:rsid w:val="79FD5361"/>
    <w:rsid w:val="7AB13CAF"/>
    <w:rsid w:val="7D0F06E0"/>
    <w:rsid w:val="7D932127"/>
    <w:rsid w:val="7D9C4C8E"/>
    <w:rsid w:val="7DCB037F"/>
    <w:rsid w:val="7DE71854"/>
    <w:rsid w:val="7E59029A"/>
    <w:rsid w:val="7EBE183D"/>
    <w:rsid w:val="DCBF53B3"/>
    <w:rsid w:val="DFDB1F1D"/>
    <w:rsid w:val="F7FDC0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kern w:val="2"/>
    </w:rPr>
  </w:style>
  <w:style w:type="paragraph" w:styleId="3">
    <w:name w:val="Block Text"/>
    <w:basedOn w:val="1"/>
    <w:qFormat/>
    <w:uiPriority w:val="0"/>
    <w:pPr>
      <w:tabs>
        <w:tab w:val="left" w:pos="426"/>
      </w:tabs>
      <w:spacing w:after="120"/>
      <w:ind w:left="1440" w:leftChars="700" w:right="1440" w:rightChars="7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toc 1"/>
    <w:basedOn w:val="1"/>
    <w:next w:val="1"/>
    <w:unhideWhenUsed/>
    <w:qFormat/>
    <w:uiPriority w:val="39"/>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7">
    <w:name w:val="Title"/>
    <w:basedOn w:val="1"/>
    <w:next w:val="1"/>
    <w:qFormat/>
    <w:uiPriority w:val="10"/>
    <w:pPr>
      <w:spacing w:before="240" w:after="60"/>
      <w:jc w:val="center"/>
      <w:outlineLvl w:val="0"/>
    </w:pPr>
    <w:rPr>
      <w:rFonts w:ascii="等线 Light" w:hAnsi="等线 Light" w:eastAsia="宋体" w:cs="Times New Roman"/>
      <w:b/>
      <w:bCs/>
      <w:sz w:val="32"/>
      <w:szCs w:val="32"/>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FollowedHyperlink"/>
    <w:basedOn w:val="10"/>
    <w:qFormat/>
    <w:uiPriority w:val="0"/>
    <w:rPr>
      <w:color w:val="000000"/>
      <w:u w:val="none"/>
    </w:rPr>
  </w:style>
  <w:style w:type="character" w:styleId="12">
    <w:name w:val="Emphasis"/>
    <w:basedOn w:val="10"/>
    <w:qFormat/>
    <w:uiPriority w:val="0"/>
    <w:rPr>
      <w:sz w:val="22"/>
      <w:szCs w:val="22"/>
    </w:rPr>
  </w:style>
  <w:style w:type="character" w:styleId="13">
    <w:name w:val="Hyperlink"/>
    <w:basedOn w:val="10"/>
    <w:qFormat/>
    <w:uiPriority w:val="0"/>
    <w:rPr>
      <w:color w:val="000000"/>
      <w:u w:val="none"/>
    </w:rPr>
  </w:style>
  <w:style w:type="character" w:customStyle="1" w:styleId="14">
    <w:name w:val="hover48"/>
    <w:basedOn w:val="10"/>
    <w:qFormat/>
    <w:uiPriority w:val="0"/>
    <w:rPr>
      <w:color w:val="FFFFFF"/>
      <w:shd w:val="clear" w:color="auto" w:fill="1091DB"/>
    </w:rPr>
  </w:style>
  <w:style w:type="character" w:customStyle="1" w:styleId="15">
    <w:name w:val="hover50"/>
    <w:basedOn w:val="10"/>
    <w:qFormat/>
    <w:uiPriority w:val="0"/>
    <w:rPr>
      <w:sz w:val="21"/>
      <w:szCs w:val="21"/>
    </w:rPr>
  </w:style>
  <w:style w:type="character" w:customStyle="1" w:styleId="16">
    <w:name w:val="hover49"/>
    <w:basedOn w:val="10"/>
    <w:qFormat/>
    <w:uiPriority w:val="0"/>
    <w:rPr>
      <w:color w:val="FFFFFF"/>
      <w:shd w:val="clear" w:color="auto" w:fill="1091DB"/>
    </w:rPr>
  </w:style>
  <w:style w:type="character" w:customStyle="1" w:styleId="17">
    <w:name w:val="treeicon"/>
    <w:basedOn w:val="10"/>
    <w:qFormat/>
    <w:uiPriority w:val="0"/>
  </w:style>
  <w:style w:type="paragraph" w:styleId="18">
    <w:name w:val="List Paragraph"/>
    <w:basedOn w:val="1"/>
    <w:qFormat/>
    <w:uiPriority w:val="99"/>
    <w:pPr>
      <w:ind w:firstLine="420" w:firstLineChars="200"/>
    </w:pPr>
  </w:style>
  <w:style w:type="paragraph" w:customStyle="1" w:styleId="19">
    <w:name w:val="USE 1"/>
    <w:basedOn w:val="1"/>
    <w:qFormat/>
    <w:uiPriority w:val="0"/>
    <w:pPr>
      <w:spacing w:line="200" w:lineRule="atLeast"/>
      <w:jc w:val="left"/>
    </w:pPr>
    <w:rPr>
      <w:rFonts w:ascii="宋体" w:hAnsi="宋体"/>
      <w:b/>
      <w:sz w:val="24"/>
      <w:szCs w:val="28"/>
    </w:rPr>
  </w:style>
  <w:style w:type="character" w:customStyle="1" w:styleId="20">
    <w:name w:val="font31"/>
    <w:basedOn w:val="10"/>
    <w:qFormat/>
    <w:uiPriority w:val="0"/>
    <w:rPr>
      <w:rFonts w:hint="eastAsia" w:ascii="微软雅黑" w:hAnsi="微软雅黑" w:eastAsia="微软雅黑" w:cs="微软雅黑"/>
      <w:color w:val="000000"/>
      <w:sz w:val="18"/>
      <w:szCs w:val="18"/>
      <w:u w:val="none"/>
    </w:rPr>
  </w:style>
  <w:style w:type="character" w:customStyle="1" w:styleId="21">
    <w:name w:val="font21"/>
    <w:basedOn w:val="10"/>
    <w:qFormat/>
    <w:uiPriority w:val="0"/>
    <w:rPr>
      <w:rFonts w:hint="eastAsia" w:ascii="微软雅黑" w:hAnsi="微软雅黑" w:eastAsia="微软雅黑" w:cs="微软雅黑"/>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4459</Words>
  <Characters>4647</Characters>
  <Lines>0</Lines>
  <Paragraphs>0</Paragraphs>
  <TotalTime>24</TotalTime>
  <ScaleCrop>false</ScaleCrop>
  <LinksUpToDate>false</LinksUpToDate>
  <CharactersWithSpaces>4663</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2021-06-11T08:59:00Z</dcterms:created>
  <dc:creator>006</dc:creator>
  <cp:lastModifiedBy>lxy</cp:lastModifiedBy>
  <cp:lastPrinted>2024-07-04T07:49:00Z</cp:lastPrinted>
  <dcterms:modified xsi:type="dcterms:W3CDTF">2025-08-13T17:27:06Z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B5D55095B73E1E7C431185664F164B4F</vt:lpwstr>
  </property>
</Properties>
</file>