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附件之附件3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龙华区公共数据资源授权运营实施方案（试行）（征求意见稿）编制说明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/>
          <w:sz w:val="32"/>
          <w:szCs w:val="32"/>
          <w:lang w:val="en-US" w:eastAsia="en-US"/>
        </w:rPr>
      </w:pPr>
      <w:r>
        <w:rPr>
          <w:rFonts w:hint="eastAsia" w:ascii="Times New Roman" w:hAnsi="Times New Roman"/>
          <w:sz w:val="32"/>
          <w:szCs w:val="32"/>
          <w:lang w:val="en-US" w:eastAsia="en-US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为进一步贯彻落实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《中共中央 国务院关于构建数据基础制度更好发挥数据要素作用的意见》《中共中央办公厅 国务院办公厅关于加快公共数据资源开发利用的意见》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等文件精神，龙华区积极探索公共数据资源授权运营机制，并制定实施方案，旨在构建权责明确、安全合规且可推广的制度体系，推动数据在产业发展与社会治理中的创新应用。根据国家数据局等17个部门联合发布的《“数据要素×”三年行动计划（2024—2026年）》，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000000"/>
          <w:spacing w:val="0"/>
          <w:kern w:val="0"/>
          <w:sz w:val="32"/>
          <w:szCs w:val="32"/>
          <w:shd w:val="clear"/>
          <w:lang w:val="en-US" w:eastAsia="zh-CN" w:bidi="ar-SA"/>
        </w:rPr>
        <w:t>本方案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聚焦金融、医疗、商贸等重点领域，充分发挥数据的潜在价值，助力经济效益的提升。本方案用于指导区内各机关、事业单位（以下简称“区内各单位”）开展公共数据资源授权运营工作，内容涵盖公共数据资源授权运营的必要性、可行性、运营机构的选择条件、授权运营的模式、授权数据资源要求、授权运营机制、公共数据产品和服务清单、收益分配机制、安全保障和职责分工等关键环节，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为全区公共数据资源有序、规范流通提供指引。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工作简况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tabs>
          <w:tab w:val="left" w:pos="933"/>
          <w:tab w:val="left" w:pos="11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>（一）任务来源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本实施方案的编制工作由龙华区政务和数据局牵头组织，联合区相关行业主管部门、技术支撑单位共同开展。任务来源于对国家、省、市政策的响应要求，以及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《公共数据资源授权运营实施规范（试行）》在区级层面的制度落地。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Chars="200"/>
        <w:jc w:val="both"/>
        <w:textAlignment w:val="baseline"/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>（二）主要工作过程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龙华区在公共数据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授权运营中已开展突破性探索，形成了可复制的经验。龙华区积极推动金融领域的数据应用，推出了首个公共数据产品“龙数贷”。同时，区属国企龙华排水公司利用“河道水位监测预警分析数据集”作为增信条件，成功获得光大银行1.1亿元的融资授信，标志着数据资产化的突破。此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区工业和信息化局联合深圳数据交易所、深圳交易集团有限公司龙华分公司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共建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龙华区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数据要素服务工作站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，为企业提供数据安全合规、应用规划及治理等增值服务，促进数据流通与交易。上述实践为公共数据产品的开发与交易提供了经验支持，为推动数据要素市场化配置改革、探索数字经济发展开辟新空间。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2024年10月，启动文件编制工作。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至2025年2月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，系统研究国家和省市关于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授权运营的相关法规与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，在充分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公共数据资源授权运营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实践经验基础上形成方案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2025年5月23日，通过政府公开网站公开征求意见，向社会征集到3条意见，均已采纳。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5年5月21日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，编制组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向各单位发送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征求意见稿，共收到8条反馈意见，6条意见予以采纳，2条不采纳；2025年7月9日，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向各单位发送二次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征求意见稿，共收到3条意见，2条意见采纳，1条意见部分采纳。2025年7月31日，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编制组召开专家论证会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，共收到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27条意见，20条意见采纳，1条意见不采纳，6条意见部分采纳。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320" w:firstLineChars="1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（三）编制依据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中华人民共和国网络安全法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中华人民共和国个人信息保护法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中华人民共和国数据安全法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中共中央 国务院关于构建数据基础制度更好发挥数据要素作用的意见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中共中央办公厅 国务院办公厅关于加快公共数据资源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发利用的意见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政务数据共享条例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“数据要素×”三年行动计划（2024—2026年）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公共数据资源授权运营实施规范（试行）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公共数据资源登记管理暂行办法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国家发展改革委 国家数据局关于建立公共数据资源授权运营价格形成机制的通知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广东省公共数据管理办法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广东省公共数据资源授权运营实施细则（试行）（征求意见稿）》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13.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深圳经济特区数据条例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深圳经济特区数字经济产业促进条例》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深圳市公共数据授权运营试点工作方案（征求意见稿）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主要内容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（一）授权运营的必要性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从国家战略层面和地方数字经济发展实际出发，阐明龙华区开展公共数据资源授权运营的重要意义。通过落实国家数据政策、推动数字产业融合、激发数据要素活力等措施，明确授权运营是提升数据资源配置效率、推动经济高质量发展的重要举措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（二）授权运营的可行性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该内容对龙华区在市场需求、数据基础、平台能力、安全保障及试点经验等方面的有利条件进行了深入分析，论证了授权运营的现实基础与可复制性，为后续方案实施提供现实基础。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（三）运营机构的选择条件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明确了运营机构应具备的资质要求，包括资金、管理、技术、服务、安全等多方面的能力。提出了法人资格、项目经验、技术生态适应性、数据安全能力等多项遴选标准，以确保运营机构能够合规、安全、高效地开展公共数据资源的开发与利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（四）授权运营的模式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 w:ascii="仿宋_GB2312" w:hAnsi="仿宋_GB2312"/>
          <w:lang w:val="en-US" w:eastAsia="zh-CN"/>
        </w:rPr>
      </w:pPr>
      <w:r>
        <w:rPr>
          <w:rFonts w:hint="eastAsia"/>
          <w:lang w:val="en-US" w:eastAsia="zh-CN"/>
        </w:rPr>
        <w:t>该内容</w:t>
      </w:r>
      <w:r>
        <w:rPr>
          <w:rFonts w:hint="eastAsia" w:ascii="仿宋_GB2312" w:hAnsi="仿宋_GB2312"/>
          <w:lang w:val="en-US" w:eastAsia="zh-CN"/>
        </w:rPr>
        <w:t>提出了“整体授权”的授权机制，明确通过招标、谈判等方式择优选定运营机构。此外，提出了“政府主导与企业运营”相结合的协同治理架构及监管机制。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（五）授权数据资源要求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对拟授权运营的数据资源目录进行了详细细化，涵盖了金融服务、商贸流通、卫生健康、城市治理等重点领域。明确了数据字段、更新频率及使用边界等具体要求，并从完整性、准确性、时效性和规范性等多个维度制定了数据质量标准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（六）授权运营机制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从运营期限、授权管理、安全域建设及退出机制等方面提出了相关制度设计，构建了“实施机构—运营机构—合作方”三级联动管理模式，以确保授权运营流程的可控性、行为的合规性及机制的顺畅性，从而支撑公共数据资源的高效开发与利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（七）公共数据产品和服务清单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该内容列出了拟开发的数据产品清单，旨在为企业、公众和政府提供多样化的数据服务，进一步提升公共数据资源在社会和经济方面的效益。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（八）收益分配机制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/>
          <w:lang w:val="en-US" w:eastAsia="zh-CN"/>
        </w:rPr>
        <w:t>该内容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明确了数据产品的场景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定价策略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。同时，设定运营机构的最高允许收入和收益调整机制，以保障收益分配的合理性、激励性及其公共属性。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九）安全保障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该内容构建了一套系统性的安全保障机制，涵盖数据分级保护、隐私计算、应急响应等多个维度，以确保数据在采集、传输、存储、加工及提供的全链条中实现安全合规。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（十）职责分工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该内容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各授权运营活动参与方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的职责范围，构建涵盖授权、监管、服务及治理全流程的多主体协同机制，以确保公共数据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授权运营工作的顺利推进与持续优化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、知识产权情况说明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本方案不涉及专利等知识产权。本实施方案所涉及内容属于公共数据资源，不涉及商业知识产权纠纷。方案中提出的运营模式、数据产品设计等，不存在第三方专利或版权问题。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与现行相关法律、法规、规章及相关标准的协调性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与现行法律、法规以及国家标准属于配套衔接关系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jc w:val="both"/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法律方面，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本方案严格遵循《中华人民共和国网络安全法》《中华人民共和国数据安全法》《中华人民共和国个人信息保护法》等上位法规定，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数据处理活动的合规要求、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个人数据授权机制、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信息公开的基本义务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网络与信息安全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。这些规定为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本方案所涉及的数据授权、数据使用及数据安全管理等工作奠定了法律基础框架。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政策方面，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 年发布的“数据二十条”提出了公共数据确权授权机制、公共数据价值收益分享方式等，为各地方、各行业及领域的授权运营探索按下了加速键，指明了探索方向。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2025年，国家发展改革委 国家数据局印发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《公共数据资源授权运营实施规范（试行）》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（以下简称“实施规范”），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进一步构建了公共数据授权运营的顶层设计框架，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对后续的实践探索具有至关重要的指导意义。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《实施规范》第九条规定，公共数据资源授权运营实施方案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必须包含授权运营模式、数据资源范围、技术保障、拟提供公共数据产品和服务清单等12项内容，并需履行“三重一大”决策程序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。此外，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本方案在授权模式设计、数据分类分级保护要求、授权运营协议签订规范、授权数据及产品登记流程等方面，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均与《国家发展改革委 国家数据局关于建立公共数据资源授权运营价格形成机制的通知》《公共数据资源登记管理暂行办法》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等配套文件保持紧密衔接与一致性。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、贯彻文件的要求和措施建议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本文件适用于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区内各单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公共数据资源授权运营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工作。本文件拟通过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宣贯、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实施监督检查、配套机制完善等方式推动实施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落地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0"/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黑体" w:cs="黑体"/>
          <w:snapToGrid w:val="0"/>
          <w:color w:val="000000"/>
          <w:kern w:val="44"/>
          <w:sz w:val="32"/>
          <w:szCs w:val="32"/>
          <w:lang w:val="en-US" w:eastAsia="zh-CN" w:bidi="ar-SA"/>
        </w:rPr>
        <w:t>、其它应予说明的事项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jc w:val="right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iti SC Medium">
    <w:altName w:val="CESI仿宋-GB13000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FangSong-Z02S">
    <w:altName w:val="Noto Serif CJK JP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altName w:val="方正书宋_GBK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B5E29"/>
    <w:multiLevelType w:val="singleLevel"/>
    <w:tmpl w:val="8BDB5E29"/>
    <w:lvl w:ilvl="0" w:tentative="0">
      <w:start w:val="1"/>
      <w:numFmt w:val="decimalFullWidth"/>
      <w:pStyle w:val="19"/>
      <w:suff w:val="nothing"/>
      <w:lvlText w:val="（%1）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FZFangSong-Z02S" w:cs="汉仪书宋二KW"/>
        <w:sz w:val="32"/>
        <w:szCs w:val="32"/>
      </w:rPr>
    </w:lvl>
  </w:abstractNum>
  <w:abstractNum w:abstractNumId="1">
    <w:nsid w:val="AE3D14C3"/>
    <w:multiLevelType w:val="singleLevel"/>
    <w:tmpl w:val="AE3D14C3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77DBCC8"/>
    <w:multiLevelType w:val="singleLevel"/>
    <w:tmpl w:val="E77DBCC8"/>
    <w:lvl w:ilvl="0" w:tentative="0">
      <w:start w:val="1"/>
      <w:numFmt w:val="decimalFullWidth"/>
      <w:pStyle w:val="16"/>
      <w:suff w:val="nothing"/>
      <w:lvlText w:val="（%1）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FZFangSong-Z02S" w:cs="汉仪书宋二KW"/>
        <w:sz w:val="32"/>
        <w:szCs w:val="32"/>
      </w:rPr>
    </w:lvl>
  </w:abstractNum>
  <w:abstractNum w:abstractNumId="3">
    <w:nsid w:val="E972CA8A"/>
    <w:multiLevelType w:val="singleLevel"/>
    <w:tmpl w:val="E972CA8A"/>
    <w:lvl w:ilvl="0" w:tentative="0">
      <w:start w:val="1"/>
      <w:numFmt w:val="decimal"/>
      <w:pStyle w:val="15"/>
      <w:suff w:val="nothing"/>
      <w:lvlText w:val="%1."/>
      <w:lvlJc w:val="left"/>
      <w:pPr>
        <w:tabs>
          <w:tab w:val="left" w:pos="399"/>
        </w:tabs>
        <w:ind w:left="0" w:leftChars="0" w:firstLine="0" w:firstLineChars="0"/>
      </w:pPr>
      <w:rPr>
        <w:rFonts w:hint="default"/>
      </w:rPr>
    </w:lvl>
  </w:abstractNum>
  <w:abstractNum w:abstractNumId="4">
    <w:nsid w:val="3F8E6E85"/>
    <w:multiLevelType w:val="singleLevel"/>
    <w:tmpl w:val="3F8E6E85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D4EE9"/>
    <w:rsid w:val="1776B3A1"/>
    <w:rsid w:val="371B374E"/>
    <w:rsid w:val="39F7AEF8"/>
    <w:rsid w:val="3B5653F5"/>
    <w:rsid w:val="3D6D18A2"/>
    <w:rsid w:val="3F7F9232"/>
    <w:rsid w:val="3FCF41E8"/>
    <w:rsid w:val="43FF5C4B"/>
    <w:rsid w:val="47FF3704"/>
    <w:rsid w:val="4D83C705"/>
    <w:rsid w:val="53BF3D1C"/>
    <w:rsid w:val="55BB5FF2"/>
    <w:rsid w:val="55FFBFF8"/>
    <w:rsid w:val="5BC79BA7"/>
    <w:rsid w:val="5DDFAFEE"/>
    <w:rsid w:val="5DFF02A7"/>
    <w:rsid w:val="5FBBACC3"/>
    <w:rsid w:val="5FFE91C9"/>
    <w:rsid w:val="67F26653"/>
    <w:rsid w:val="6F9EAACB"/>
    <w:rsid w:val="75FB7678"/>
    <w:rsid w:val="776E533A"/>
    <w:rsid w:val="777A969D"/>
    <w:rsid w:val="77F7F219"/>
    <w:rsid w:val="7BF18EA6"/>
    <w:rsid w:val="7D7F5259"/>
    <w:rsid w:val="7D7FD279"/>
    <w:rsid w:val="7DBB3942"/>
    <w:rsid w:val="7F5D105F"/>
    <w:rsid w:val="7FBF4BA0"/>
    <w:rsid w:val="7FDFA48C"/>
    <w:rsid w:val="7FFF811A"/>
    <w:rsid w:val="87BF6222"/>
    <w:rsid w:val="9AC5DA53"/>
    <w:rsid w:val="9FB4D7A5"/>
    <w:rsid w:val="A8FDC131"/>
    <w:rsid w:val="ABFE08FF"/>
    <w:rsid w:val="B3F4889B"/>
    <w:rsid w:val="B7FD039B"/>
    <w:rsid w:val="BE6FFB3A"/>
    <w:rsid w:val="BFEB26B3"/>
    <w:rsid w:val="BFF74D81"/>
    <w:rsid w:val="BFF75BC0"/>
    <w:rsid w:val="BFFD2793"/>
    <w:rsid w:val="C1B7C486"/>
    <w:rsid w:val="D5CF90EF"/>
    <w:rsid w:val="DB3F8503"/>
    <w:rsid w:val="DCF54B8E"/>
    <w:rsid w:val="DEDD4EE9"/>
    <w:rsid w:val="E7D81DAF"/>
    <w:rsid w:val="ED7D037A"/>
    <w:rsid w:val="EDA6E0BB"/>
    <w:rsid w:val="EEEEC4E5"/>
    <w:rsid w:val="EFF22467"/>
    <w:rsid w:val="F3FE0C69"/>
    <w:rsid w:val="F7CD0902"/>
    <w:rsid w:val="F7CEC4EA"/>
    <w:rsid w:val="F7DDAB70"/>
    <w:rsid w:val="F8DD190D"/>
    <w:rsid w:val="FDF7B948"/>
    <w:rsid w:val="FEFE0FE7"/>
    <w:rsid w:val="FF979F6A"/>
    <w:rsid w:val="FF9FDE9A"/>
    <w:rsid w:val="FFFF7F92"/>
    <w:rsid w:val="FFFFA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outlineLvl w:val="0"/>
    </w:pPr>
    <w:rPr>
      <w:rFonts w:eastAsia="Heiti SC Medium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</w:rPr>
  </w:style>
  <w:style w:type="paragraph" w:styleId="4">
    <w:name w:val="Normal Indent"/>
    <w:next w:val="1"/>
    <w:qFormat/>
    <w:uiPriority w:val="99"/>
    <w:pPr>
      <w:widowControl w:val="0"/>
      <w:spacing w:line="520" w:lineRule="exact"/>
      <w:ind w:firstLine="560" w:firstLineChars="200"/>
      <w:jc w:val="both"/>
    </w:pPr>
    <w:rPr>
      <w:rFonts w:ascii="Times New Roman" w:hAnsi="Times New Roman" w:eastAsia="方正仿宋_GB2312" w:cs="Times New Roman"/>
      <w:kern w:val="2"/>
      <w:sz w:val="28"/>
      <w:szCs w:val="24"/>
      <w:lang w:val="en-US" w:eastAsia="en-US" w:bidi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公文-1级标题"/>
    <w:basedOn w:val="1"/>
    <w:next w:val="13"/>
    <w:qFormat/>
    <w:uiPriority w:val="0"/>
    <w:pPr>
      <w:keepNext/>
      <w:keepLines/>
      <w:numPr>
        <w:ilvl w:val="0"/>
        <w:numId w:val="1"/>
      </w:numPr>
      <w:spacing w:beforeLines="0" w:afterLines="0" w:line="560" w:lineRule="exact"/>
      <w:ind w:firstLine="880" w:firstLineChars="200"/>
      <w:outlineLvl w:val="0"/>
    </w:pPr>
    <w:rPr>
      <w:rFonts w:ascii="Times New Roman" w:hAnsi="Times New Roman" w:eastAsia="黑体" w:cs="黑体"/>
      <w:snapToGrid w:val="0"/>
      <w:color w:val="000000"/>
      <w:kern w:val="44"/>
      <w:sz w:val="32"/>
      <w:szCs w:val="21"/>
      <w:lang w:eastAsia="en-US"/>
    </w:rPr>
  </w:style>
  <w:style w:type="paragraph" w:customStyle="1" w:styleId="13">
    <w:name w:val="公文-正文"/>
    <w:basedOn w:val="1"/>
    <w:qFormat/>
    <w:uiPriority w:val="0"/>
    <w:pPr>
      <w:widowControl/>
      <w:shd w:val="clear" w:color="auto" w:fill="FFFFFF"/>
      <w:spacing w:line="560" w:lineRule="exact"/>
      <w:ind w:firstLine="640"/>
    </w:pPr>
    <w:rPr>
      <w:rFonts w:eastAsia="仿宋_GB2312" w:cs="仿宋_GB2312"/>
    </w:rPr>
  </w:style>
  <w:style w:type="paragraph" w:customStyle="1" w:styleId="14">
    <w:name w:val="公文-2级标题"/>
    <w:basedOn w:val="1"/>
    <w:next w:val="13"/>
    <w:qFormat/>
    <w:uiPriority w:val="0"/>
    <w:pPr>
      <w:keepNext/>
      <w:keepLines/>
      <w:numPr>
        <w:ilvl w:val="0"/>
        <w:numId w:val="2"/>
      </w:numPr>
      <w:spacing w:beforeLines="0" w:afterLines="0" w:line="560" w:lineRule="exact"/>
      <w:ind w:firstLine="880" w:firstLineChars="200"/>
      <w:outlineLvl w:val="1"/>
    </w:pPr>
    <w:rPr>
      <w:rFonts w:ascii="Times New Roman" w:hAnsi="Times New Roman" w:eastAsia="楷体_GB2312" w:cs="楷体_GB2312"/>
    </w:rPr>
  </w:style>
  <w:style w:type="paragraph" w:customStyle="1" w:styleId="15">
    <w:name w:val="公文-3级标题"/>
    <w:basedOn w:val="1"/>
    <w:next w:val="13"/>
    <w:qFormat/>
    <w:uiPriority w:val="0"/>
    <w:pPr>
      <w:keepNext/>
      <w:keepLines/>
      <w:numPr>
        <w:ilvl w:val="0"/>
        <w:numId w:val="3"/>
      </w:numPr>
      <w:tabs>
        <w:tab w:val="clear" w:pos="399"/>
      </w:tabs>
      <w:spacing w:beforeLines="0" w:afterLines="0" w:line="560" w:lineRule="exact"/>
      <w:ind w:left="0" w:firstLine="640" w:firstLineChars="200"/>
      <w:outlineLvl w:val="2"/>
    </w:pPr>
    <w:rPr>
      <w:rFonts w:ascii="Times New Roman" w:hAnsi="Times New Roman" w:eastAsia="仿宋_GB2312" w:cs="仿宋_GB2312"/>
      <w:snapToGrid w:val="0"/>
      <w:color w:val="000000"/>
      <w:kern w:val="0"/>
      <w:sz w:val="32"/>
      <w:szCs w:val="21"/>
      <w:lang w:eastAsia="en-US"/>
    </w:rPr>
  </w:style>
  <w:style w:type="paragraph" w:customStyle="1" w:styleId="16">
    <w:name w:val="公文段落4"/>
    <w:basedOn w:val="13"/>
    <w:next w:val="13"/>
    <w:qFormat/>
    <w:uiPriority w:val="0"/>
    <w:pPr>
      <w:numPr>
        <w:ilvl w:val="0"/>
        <w:numId w:val="4"/>
      </w:numPr>
      <w:spacing w:line="560" w:lineRule="exact"/>
      <w:ind w:left="0" w:firstLine="640" w:firstLineChars="200"/>
      <w:outlineLvl w:val="3"/>
    </w:pPr>
    <w:rPr>
      <w:rFonts w:hint="eastAsia"/>
      <w:bCs/>
    </w:rPr>
  </w:style>
  <w:style w:type="paragraph" w:customStyle="1" w:styleId="17">
    <w:name w:val="表格字体"/>
    <w:basedOn w:val="1"/>
    <w:qFormat/>
    <w:uiPriority w:val="0"/>
    <w:pPr>
      <w:widowControl/>
      <w:spacing w:line="300" w:lineRule="exact"/>
      <w:ind w:firstLine="0" w:firstLineChars="0"/>
    </w:pPr>
    <w:rPr>
      <w:rFonts w:hint="eastAsia"/>
      <w:sz w:val="24"/>
    </w:rPr>
  </w:style>
  <w:style w:type="paragraph" w:customStyle="1" w:styleId="18">
    <w:name w:val="公文表格字体"/>
    <w:basedOn w:val="1"/>
    <w:qFormat/>
    <w:uiPriority w:val="0"/>
    <w:pPr>
      <w:widowControl/>
      <w:spacing w:line="300" w:lineRule="exact"/>
      <w:ind w:firstLine="0" w:firstLineChars="0"/>
    </w:pPr>
    <w:rPr>
      <w:rFonts w:hint="eastAsia"/>
      <w:sz w:val="24"/>
    </w:rPr>
  </w:style>
  <w:style w:type="paragraph" w:customStyle="1" w:styleId="19">
    <w:name w:val="公文-4级标题"/>
    <w:basedOn w:val="13"/>
    <w:next w:val="13"/>
    <w:qFormat/>
    <w:uiPriority w:val="0"/>
    <w:pPr>
      <w:numPr>
        <w:ilvl w:val="0"/>
        <w:numId w:val="5"/>
      </w:numPr>
      <w:spacing w:line="560" w:lineRule="exact"/>
      <w:ind w:left="0" w:firstLine="640" w:firstLineChars="200"/>
      <w:outlineLvl w:val="3"/>
    </w:pPr>
    <w:rPr>
      <w:rFonts w:hint="eastAsia" w:ascii="Times New Roman" w:hAnsi="Times New Roman" w:eastAsia="仿宋_GB2312"/>
      <w:bCs/>
    </w:rPr>
  </w:style>
  <w:style w:type="paragraph" w:customStyle="1" w:styleId="20">
    <w:name w:val="公文题目"/>
    <w:basedOn w:val="13"/>
    <w:qFormat/>
    <w:uiPriority w:val="0"/>
    <w:pPr>
      <w:ind w:firstLine="200" w:firstLineChars="0"/>
      <w:jc w:val="center"/>
    </w:pPr>
    <w:rPr>
      <w:rFonts w:hint="eastAsia" w:ascii="FZXiaoBiaoSong-B05S" w:hAnsi="FZXiaoBiaoSong-B05S" w:eastAsia="方正小标宋简体" w:cs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3841</Words>
  <Characters>3914</Characters>
  <Lines>0</Lines>
  <Paragraphs>0</Paragraphs>
  <TotalTime>174</TotalTime>
  <ScaleCrop>false</ScaleCrop>
  <LinksUpToDate>false</LinksUpToDate>
  <CharactersWithSpaces>3925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2025-06-30T19:38:00Z</dcterms:created>
  <dc:creator>Rita</dc:creator>
  <cp:lastModifiedBy>huangsijia</cp:lastModifiedBy>
  <dcterms:modified xsi:type="dcterms:W3CDTF">2025-08-27T15:13:01Z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C87A6055FB760B13A5745E688749D56D_41</vt:lpwstr>
  </property>
</Properties>
</file>