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“齐凤阁捐赠版画系列——张泽民版画艺术</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研究展”项目需求书</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44"/>
          <w:szCs w:val="44"/>
          <w:highlight w:val="none"/>
          <w:lang w:val="en" w:eastAsia="zh-CN"/>
        </w:rPr>
      </w:pPr>
    </w:p>
    <w:p>
      <w:pPr>
        <w:pStyle w:val="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一、项目目标</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通过此展览和相关活动的开展，发挥观澜版画原创产业基地、观澜版画美术馆收藏、保护、研究、展示、交流等功能，</w:t>
      </w:r>
      <w:r>
        <w:rPr>
          <w:rFonts w:hint="eastAsia" w:ascii="仿宋_GB2312" w:hAnsi="仿宋_GB2312" w:eastAsia="仿宋_GB2312" w:cs="仿宋_GB2312"/>
          <w:sz w:val="32"/>
          <w:szCs w:val="32"/>
          <w:highlight w:val="none"/>
        </w:rPr>
        <w:t>推进全民艺术知识普及、欣赏普及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kern w:val="2"/>
          <w:sz w:val="32"/>
          <w:szCs w:val="32"/>
          <w:highlight w:val="none"/>
          <w:lang w:val="en-US" w:eastAsia="zh-CN" w:bidi="ar-SA"/>
        </w:rPr>
        <w:t>彰显中国审美旨趣。深圳市龙华区中国·观澜版画原创产业基地拟于齐凤阁版画史学馆开展“齐凤阁捐赠版画系列——张泽民版画艺术研究展”项目。</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二、时间安排</w:t>
      </w:r>
      <w:r>
        <w:rPr>
          <w:rFonts w:hint="eastAsia" w:ascii="仿宋_GB2312" w:hAnsi="仿宋_GB2312" w:eastAsia="仿宋_GB2312" w:cs="仿宋_GB2312"/>
          <w:b w:val="0"/>
          <w:bCs w:val="0"/>
          <w:kern w:val="2"/>
          <w:sz w:val="32"/>
          <w:szCs w:val="32"/>
          <w:highlight w:val="none"/>
          <w:lang w:val="en-US" w:eastAsia="zh-CN" w:bidi="ar-SA"/>
        </w:rPr>
        <w:t>（暂定）</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2025年10月-12月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三、项目内容及要求</w:t>
      </w:r>
    </w:p>
    <w:p>
      <w:pPr>
        <w:keepNext w:val="0"/>
        <w:keepLines w:val="0"/>
        <w:pageBreakBefore w:val="0"/>
        <w:numPr>
          <w:ilvl w:val="0"/>
          <w:numId w:val="0"/>
        </w:numPr>
        <w:tabs>
          <w:tab w:val="left" w:pos="1820"/>
        </w:tabs>
        <w:kinsoku/>
        <w:wordWrap/>
        <w:overflowPunct/>
        <w:topLinePunct w:val="0"/>
        <w:autoSpaceDE/>
        <w:autoSpaceDN/>
        <w:bidi w:val="0"/>
        <w:snapToGrid w:val="0"/>
        <w:spacing w:line="560" w:lineRule="exact"/>
        <w:ind w:right="0" w:rightChars="0" w:firstLine="640" w:firstLineChars="200"/>
        <w:jc w:val="both"/>
        <w:textAlignment w:val="auto"/>
        <w:outlineLvl w:val="1"/>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项目内容</w:t>
      </w:r>
      <w:r>
        <w:rPr>
          <w:rFonts w:hint="eastAsia" w:ascii="楷体_GB2312" w:hAnsi="楷体_GB2312" w:eastAsia="楷体_GB2312" w:cs="楷体_GB2312"/>
          <w:sz w:val="32"/>
          <w:szCs w:val="32"/>
          <w:highlight w:val="none"/>
          <w:lang w:val="en-US" w:eastAsia="zh-CN"/>
        </w:rPr>
        <w:t>及要求</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kern w:val="2"/>
          <w:sz w:val="32"/>
          <w:szCs w:val="32"/>
          <w:highlight w:val="none"/>
          <w:lang w:val="en-US" w:eastAsia="zh-CN" w:bidi="ar-SA"/>
        </w:rPr>
        <w:t>项目内容包括展览1场，展览相关交流活动约3场，学术成果作品集500册，含</w:t>
      </w:r>
      <w:r>
        <w:rPr>
          <w:rFonts w:hint="eastAsia" w:ascii="仿宋_GB2312" w:hAnsi="仿宋_GB2312" w:eastAsia="仿宋_GB2312" w:cs="仿宋_GB2312"/>
          <w:b w:val="0"/>
          <w:bCs w:val="0"/>
          <w:color w:val="000000"/>
          <w:kern w:val="0"/>
          <w:sz w:val="32"/>
          <w:szCs w:val="32"/>
          <w:highlight w:val="none"/>
          <w:lang w:val="en-US" w:eastAsia="zh-CN" w:bidi="ar"/>
        </w:rPr>
        <w:t>作品装裱费、设计费、展陈物料制作、布展费、公共教育活动耗材费、学术文集印刷、稿酬费等服务。</w:t>
      </w:r>
    </w:p>
    <w:p>
      <w:pPr>
        <w:tabs>
          <w:tab w:val="left" w:pos="1820"/>
        </w:tabs>
        <w:snapToGrid w:val="0"/>
        <w:spacing w:line="560" w:lineRule="exact"/>
        <w:ind w:firstLine="640" w:firstLineChars="20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四、报价限额</w:t>
      </w:r>
    </w:p>
    <w:p>
      <w:pPr>
        <w:pStyle w:val="7"/>
        <w:numPr>
          <w:ilvl w:val="0"/>
          <w:numId w:val="0"/>
        </w:numPr>
        <w:ind w:right="1470" w:rightChars="700" w:firstLine="640" w:firstLineChars="200"/>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16万元，项目报价表所列项目需与下表保持一致：</w:t>
      </w:r>
    </w:p>
    <w:tbl>
      <w:tblPr>
        <w:tblStyle w:val="10"/>
        <w:tblW w:w="8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594"/>
        <w:gridCol w:w="712"/>
        <w:gridCol w:w="900"/>
        <w:gridCol w:w="4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8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楷体" w:hAnsi="楷体" w:eastAsia="楷体" w:cs="楷体"/>
                <w:b/>
                <w:bCs/>
                <w:i w:val="0"/>
                <w:iCs w:val="0"/>
                <w:color w:val="000000"/>
                <w:sz w:val="36"/>
                <w:szCs w:val="36"/>
                <w:u w:val="none"/>
              </w:rPr>
            </w:pPr>
            <w:r>
              <w:rPr>
                <w:rFonts w:hint="eastAsia" w:ascii="楷体" w:hAnsi="楷体" w:eastAsia="楷体" w:cs="楷体"/>
                <w:b/>
                <w:bCs/>
                <w:i w:val="0"/>
                <w:iCs w:val="0"/>
                <w:color w:val="000000"/>
                <w:kern w:val="0"/>
                <w:sz w:val="36"/>
                <w:szCs w:val="36"/>
                <w:u w:val="none"/>
                <w:lang w:val="en-US" w:eastAsia="zh-CN" w:bidi="ar"/>
              </w:rPr>
              <w:t>“齐凤阁捐赠版画系列——张泽民版画艺术研究展”</w:t>
            </w:r>
            <w:r>
              <w:rPr>
                <w:rFonts w:hint="eastAsia" w:ascii="楷体" w:hAnsi="楷体" w:eastAsia="楷体" w:cs="楷体"/>
                <w:b/>
                <w:bCs/>
                <w:i w:val="0"/>
                <w:iCs w:val="0"/>
                <w:color w:val="000000"/>
                <w:kern w:val="0"/>
                <w:sz w:val="36"/>
                <w:szCs w:val="36"/>
                <w:u w:val="none"/>
                <w:lang w:val="en-US" w:eastAsia="zh-CN" w:bidi="ar"/>
              </w:rPr>
              <w:br w:type="textWrapping"/>
            </w:r>
            <w:r>
              <w:rPr>
                <w:rFonts w:hint="eastAsia" w:ascii="楷体" w:hAnsi="楷体" w:eastAsia="楷体" w:cs="楷体"/>
                <w:b/>
                <w:bCs/>
                <w:i w:val="0"/>
                <w:iCs w:val="0"/>
                <w:color w:val="000000"/>
                <w:kern w:val="0"/>
                <w:sz w:val="36"/>
                <w:szCs w:val="36"/>
                <w:u w:val="none"/>
                <w:lang w:val="en-US" w:eastAsia="zh-CN" w:bidi="ar"/>
              </w:rPr>
              <w:t>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15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内容</w:t>
            </w:r>
          </w:p>
        </w:tc>
        <w:tc>
          <w:tcPr>
            <w:tcW w:w="7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数量</w:t>
            </w:r>
          </w:p>
        </w:tc>
        <w:tc>
          <w:tcPr>
            <w:tcW w:w="484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作品装裱费</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w:t>
            </w:r>
          </w:p>
        </w:tc>
        <w:tc>
          <w:tcPr>
            <w:tcW w:w="4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展览预计装裱60件作品，由于作品尺寸较大，其中21件(超1m作品)需根据展品实际情况定制超大画框包含立体效果、3.0加厚卡纸、防潮过膜、亚克力装裱、高透玻璃(注：一次性使用）。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39</w:t>
            </w:r>
          </w:p>
        </w:tc>
        <w:tc>
          <w:tcPr>
            <w:tcW w:w="4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展览预计装裱60件作品，其中39件作品包括作品手工托平、实木条装框、立体精装、防潮过膜、亚克力装裱、高透玻璃、定制尺寸(注：一次性使用）。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设计费</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4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设计内容包括：</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1.展厅空间整体视觉设计；</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2.展厅大海报设计1个（370*740cm）；</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3.户外海报设计3个（318*138cm）；</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4.前言、艺术家简介等展览区域文字和画面排版设计、指示牌、水晶字及刻字文字设计、作品标签；</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5.台卡设计1个(20.8*29.5cm)；</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6.互动留言区设计1个（210*120cm）；</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7.宣传推广物料（导览折页或推广文创）；</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8.相关活动海报设计2个（80*180cm）。</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9.学术文集设计排版，120-200页，约（185mmx260mm，封面553X260mm(含书脊）。</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b/>
                <w:bCs/>
                <w:i w:val="0"/>
                <w:iCs w:val="0"/>
                <w:color w:val="000000"/>
                <w:kern w:val="0"/>
                <w:sz w:val="22"/>
                <w:szCs w:val="22"/>
                <w:u w:val="none"/>
                <w:lang w:val="en-US" w:eastAsia="zh-CN" w:bidi="ar"/>
              </w:rPr>
              <w:t>（齐凤阁史学馆展厅面积约900㎡，展线长103m）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展陈物料制作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4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1.展厅大海报：1个（370*740cm含出血位）室内网格布吊旗；</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2.户外海报：3个（318x138cm），高清黑底布折边包绳打孔；</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3.前言、艺术家简介等展览区域文字、指示牌、水晶字及刻字(尺寸根据设计方案确定）；</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4.作品标签（10.5*8.5*0.5cm，车贴裱雪弗板）；</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5.台卡：2个(20.8*29.5cm)，kt板三折；</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6.互动留言区：1个（210*120cm），背胶裱5mm雪弗板；</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7.文创或宣传推广物料：导览折页或明信片等小型文创500册/套（尺寸根据设计方案确定）；</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8.相关活动海报：2个（80*180cm）背胶裱展架。</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b/>
                <w:bCs/>
                <w:i w:val="0"/>
                <w:iCs w:val="0"/>
                <w:color w:val="000000"/>
                <w:kern w:val="0"/>
                <w:sz w:val="22"/>
                <w:szCs w:val="22"/>
                <w:u w:val="none"/>
                <w:lang w:val="en-US" w:eastAsia="zh-CN" w:bidi="ar"/>
              </w:rPr>
              <w:t>（齐凤阁史学馆展厅面积约900㎡，展线长103m）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布展费</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4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包含展墙的清理、修缮、局部粉刷，展览布展、物料安装、废弃物清理等。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公共教育活动耗材费</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4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含木刻版40块、版画用纸80张。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学术文集印刷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500</w:t>
            </w:r>
          </w:p>
        </w:tc>
        <w:tc>
          <w:tcPr>
            <w:tcW w:w="4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学术成果作品集，120-200页，约（185mmx260mm，封面553X260mm(含书脊），特种纸，封面工艺及规格根据实际设计要求选择。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稿酬费</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4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邀请专家学者10人开展学术研讨会，学者文稿创作费，按一般稿件计算稿酬。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投标价格（元）：</w:t>
            </w:r>
            <w:r>
              <w:rPr>
                <w:rFonts w:hint="eastAsia" w:ascii="楷体" w:hAnsi="楷体" w:eastAsia="楷体" w:cs="楷体"/>
                <w:i w:val="0"/>
                <w:iCs w:val="0"/>
                <w:color w:val="000000"/>
                <w:kern w:val="0"/>
                <w:sz w:val="24"/>
                <w:szCs w:val="24"/>
                <w:u w:val="single"/>
                <w:lang w:val="en-US" w:eastAsia="zh-CN" w:bidi="ar"/>
              </w:rPr>
              <w:t xml:space="preserve">         </w:t>
            </w:r>
            <w:r>
              <w:rPr>
                <w:rFonts w:hint="eastAsia" w:ascii="楷体" w:hAnsi="楷体" w:eastAsia="楷体" w:cs="楷体"/>
                <w:i w:val="0"/>
                <w:iCs w:val="0"/>
                <w:color w:val="000000"/>
                <w:kern w:val="0"/>
                <w:sz w:val="24"/>
                <w:szCs w:val="24"/>
                <w:u w:val="none"/>
                <w:lang w:val="en-US" w:eastAsia="zh-CN" w:bidi="ar"/>
              </w:rPr>
              <w:t xml:space="preserve">                      </w:t>
            </w:r>
          </w:p>
        </w:tc>
      </w:tr>
    </w:tbl>
    <w:p>
      <w:pPr>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3"/>
        <w:spacing w:line="560" w:lineRule="exact"/>
        <w:ind w:firstLine="640"/>
        <w:jc w:val="both"/>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（一）在中国境内注册的独立法人或其他组织（提供营业执照、事业法人证书、社会团体法人登记证书等扫描件）；</w:t>
      </w:r>
    </w:p>
    <w:p>
      <w:pPr>
        <w:pStyle w:val="13"/>
        <w:spacing w:line="560" w:lineRule="exact"/>
        <w:ind w:firstLine="640"/>
        <w:jc w:val="both"/>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_GB2312" w:cs="仿宋_GB2312"/>
          <w:b w:val="0"/>
          <w:bCs w:val="0"/>
          <w:color w:val="000000"/>
          <w:kern w:val="0"/>
          <w:sz w:val="32"/>
          <w:szCs w:val="32"/>
          <w:highlight w:val="none"/>
          <w:lang w:val="en-US" w:eastAsia="zh-CN" w:bidi="ar"/>
        </w:rPr>
        <w:t>；</w:t>
      </w:r>
    </w:p>
    <w:p>
      <w:pPr>
        <w:pStyle w:val="13"/>
        <w:spacing w:line="560" w:lineRule="exact"/>
        <w:ind w:firstLine="640"/>
        <w:jc w:val="both"/>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三）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同时参加本项目的采购活动；</w:t>
      </w:r>
    </w:p>
    <w:p>
      <w:pPr>
        <w:spacing w:line="560" w:lineRule="exact"/>
        <w:ind w:firstLine="640" w:firstLineChars="200"/>
        <w:jc w:val="both"/>
        <w:rPr>
          <w:rFonts w:hint="default" w:ascii="仿宋_GB2312" w:hAnsi="仿宋" w:eastAsia="仿宋_GB2312" w:cs="Times New Roman"/>
          <w:b w:val="0"/>
          <w:kern w:val="2"/>
          <w:sz w:val="32"/>
          <w:szCs w:val="24"/>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
        </w:rPr>
        <w:t>（四）供应商需提供本公司或合作公司的</w:t>
      </w:r>
      <w:r>
        <w:rPr>
          <w:rFonts w:hint="eastAsia" w:ascii="仿宋_GB2312" w:hAnsi="仿宋" w:eastAsia="仿宋_GB2312" w:cs="Times New Roman"/>
          <w:b w:val="0"/>
          <w:kern w:val="2"/>
          <w:sz w:val="32"/>
          <w:szCs w:val="24"/>
          <w:highlight w:val="none"/>
          <w:lang w:val="en-US" w:eastAsia="zh-CN" w:bidi="ar-SA"/>
        </w:rPr>
        <w:t>印刷经营许可证。</w:t>
      </w:r>
    </w:p>
    <w:p>
      <w:pPr>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5"/>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5"/>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0"/>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5"/>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5"/>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1"/>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w:t>
            </w:r>
            <w:r>
              <w:rPr>
                <w:rFonts w:hint="eastAsia" w:ascii="仿宋_GB2312" w:hAnsi="仿宋_GB2312" w:eastAsia="仿宋_GB2312" w:cs="仿宋_GB2312"/>
                <w:b w:val="0"/>
                <w:bCs/>
                <w:color w:val="auto"/>
                <w:sz w:val="24"/>
                <w:szCs w:val="24"/>
                <w:highlight w:val="none"/>
                <w:lang w:val="en-US" w:eastAsia="zh-CN"/>
              </w:rPr>
              <w:t>展览活动类</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1.每项业绩按以下要求提供完整准确的证明文件，一个合同计算一个业绩，一年一签的续签合同只计算一个业绩：</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拟安排项目负责人</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（5分）</w:t>
            </w:r>
          </w:p>
        </w:tc>
        <w:tc>
          <w:tcPr>
            <w:tcW w:w="6143" w:type="dxa"/>
            <w:noWrap w:val="0"/>
            <w:vAlign w:val="center"/>
          </w:tcPr>
          <w:p>
            <w:p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拟安排的项目负责人（须为自有员工）情况：</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具有本科（或以上）学历的，</w:t>
            </w:r>
            <w:r>
              <w:rPr>
                <w:rFonts w:hint="eastAsia" w:ascii="仿宋_GB2312" w:hAnsi="仿宋_GB2312" w:eastAsia="仿宋_GB2312" w:cs="仿宋_GB2312"/>
                <w:sz w:val="24"/>
                <w:szCs w:val="24"/>
                <w:lang w:val="en-US" w:eastAsia="zh-CN"/>
              </w:rPr>
              <w:t>得2</w:t>
            </w:r>
            <w:r>
              <w:rPr>
                <w:rFonts w:hint="eastAsia" w:ascii="仿宋_GB2312" w:hAnsi="仿宋_GB2312" w:eastAsia="仿宋_GB2312" w:cs="仿宋_GB2312"/>
                <w:sz w:val="24"/>
                <w:szCs w:val="24"/>
                <w:lang w:eastAsia="zh-CN"/>
              </w:rPr>
              <w:t>分；</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具备</w:t>
            </w:r>
            <w:r>
              <w:rPr>
                <w:rFonts w:hint="eastAsia" w:ascii="仿宋_GB2312" w:hAnsi="仿宋_GB2312" w:eastAsia="仿宋_GB2312" w:cs="仿宋_GB2312"/>
                <w:sz w:val="24"/>
                <w:szCs w:val="24"/>
                <w:lang w:val="en-US" w:eastAsia="zh-CN"/>
              </w:rPr>
              <w:t>大型展览活动执行</w:t>
            </w:r>
            <w:r>
              <w:rPr>
                <w:rFonts w:hint="eastAsia" w:ascii="仿宋_GB2312" w:hAnsi="仿宋_GB2312" w:eastAsia="仿宋_GB2312" w:cs="仿宋_GB2312"/>
                <w:sz w:val="24"/>
                <w:szCs w:val="24"/>
                <w:lang w:eastAsia="zh-CN"/>
              </w:rPr>
              <w:t>有关工作经验的，得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以上合计最高得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提供学位或学历证书</w:t>
            </w:r>
            <w:r>
              <w:rPr>
                <w:rFonts w:hint="eastAsia" w:ascii="仿宋_GB2312" w:hAnsi="仿宋_GB2312" w:eastAsia="仿宋_GB2312" w:cs="仿宋_GB2312"/>
                <w:sz w:val="24"/>
                <w:szCs w:val="24"/>
                <w:lang w:val="en-US" w:eastAsia="zh-CN"/>
              </w:rPr>
              <w:t>或</w:t>
            </w:r>
            <w:r>
              <w:rPr>
                <w:rFonts w:hint="eastAsia" w:ascii="仿宋_GB2312" w:hAnsi="仿宋_GB2312" w:eastAsia="仿宋_GB2312" w:cs="仿宋_GB2312"/>
                <w:sz w:val="24"/>
                <w:szCs w:val="24"/>
              </w:rPr>
              <w:t>学信网查询记录，原件备查</w:t>
            </w:r>
            <w:r>
              <w:rPr>
                <w:rFonts w:hint="eastAsia" w:ascii="仿宋_GB2312" w:hAnsi="仿宋_GB2312" w:eastAsia="仿宋_GB2312" w:cs="仿宋_GB2312"/>
                <w:sz w:val="24"/>
                <w:szCs w:val="24"/>
                <w:lang w:eastAsia="zh-CN"/>
              </w:rPr>
              <w:t>；</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需提供合同关键页或其他可以证明的材料；合同关键（关键信息包括但不仅限于合同的项目名称、</w:t>
            </w:r>
            <w:r>
              <w:rPr>
                <w:rFonts w:hint="eastAsia" w:ascii="仿宋_GB2312" w:hAnsi="仿宋_GB2312" w:eastAsia="仿宋_GB2312" w:cs="仿宋_GB2312"/>
                <w:sz w:val="24"/>
                <w:szCs w:val="24"/>
                <w:lang w:val="en-US" w:eastAsia="zh-CN"/>
              </w:rPr>
              <w:t>项目负责人、</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诚信</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承诺</w:t>
            </w:r>
          </w:p>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（5分）</w:t>
            </w:r>
          </w:p>
        </w:tc>
        <w:tc>
          <w:tcPr>
            <w:tcW w:w="6143" w:type="dxa"/>
            <w:noWrap w:val="0"/>
            <w:vAlign w:val="top"/>
          </w:tcPr>
          <w:p>
            <w:pPr>
              <w:topLinePunct/>
              <w:snapToGrid w:val="0"/>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（一）评审内容：</w:t>
            </w:r>
          </w:p>
          <w:p>
            <w:pPr>
              <w:topLinePunct/>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投标人在参与政府采购活动中出现诚信相关问题且在相关主管部门处理措施实施期限内的本项不得分，否则得满分。</w:t>
            </w:r>
          </w:p>
          <w:p>
            <w:pPr>
              <w:topLinePunct/>
              <w:snapToGrid w:val="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（二）评审依据：</w:t>
            </w:r>
          </w:p>
          <w:p>
            <w:pPr>
              <w:keepNext w:val="0"/>
              <w:keepLines w:val="0"/>
              <w:pageBreakBefore w:val="0"/>
              <w:widowControl w:val="0"/>
              <w:kinsoku/>
              <w:wordWrap/>
              <w:overflowPunct/>
              <w:topLinePunct/>
              <w:autoSpaceDE/>
              <w:autoSpaceDN/>
              <w:bidi w:val="0"/>
              <w:adjustRightInd/>
              <w:snapToGrid w:val="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投标人需按招标文件格式要求提供《诚信承诺函》，</w:t>
            </w:r>
            <w:r>
              <w:rPr>
                <w:rFonts w:hint="eastAsia" w:ascii="仿宋_GB2312" w:hAnsi="仿宋_GB2312" w:eastAsia="仿宋_GB2312" w:cs="仿宋_GB2312"/>
                <w:sz w:val="24"/>
                <w:szCs w:val="24"/>
                <w:lang w:eastAsia="zh-CN"/>
              </w:rPr>
              <w:t>详见附件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违约</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承诺</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（5分）</w:t>
            </w:r>
          </w:p>
        </w:tc>
        <w:tc>
          <w:tcPr>
            <w:tcW w:w="6143" w:type="dxa"/>
            <w:noWrap w:val="0"/>
            <w:vAlign w:val="top"/>
          </w:tcPr>
          <w:p>
            <w:pPr>
              <w:topLinePunct/>
              <w:snapToGrid w:val="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topLinePunct/>
              <w:autoSpaceDE/>
              <w:autoSpaceDN/>
              <w:bidi w:val="0"/>
              <w:adjustRightInd/>
              <w:snapToGrid w:val="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根据针对本项目做出的违约承诺，考察包括但不限于以下内容：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 w:val="24"/>
                <w:szCs w:val="24"/>
              </w:rPr>
              <w:t>1.严格按照招标文件及投标承诺履行义务；</w:t>
            </w:r>
          </w:p>
          <w:p>
            <w:pPr>
              <w:keepNext w:val="0"/>
              <w:keepLines w:val="0"/>
              <w:pageBreakBefore w:val="0"/>
              <w:widowControl w:val="0"/>
              <w:kinsoku/>
              <w:wordWrap/>
              <w:overflowPunct/>
              <w:topLinePunct/>
              <w:autoSpaceDE/>
              <w:autoSpaceDN/>
              <w:bidi w:val="0"/>
              <w:adjustRightInd/>
              <w:snapToGrid w:val="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2.合同履行期间如若违约，由此造成的损失由投标人承担</w:t>
            </w:r>
            <w:r>
              <w:rPr>
                <w:rFonts w:hint="eastAsia" w:ascii="仿宋_GB2312" w:hAnsi="仿宋_GB2312" w:eastAsia="仿宋_GB2312" w:cs="仿宋_GB2312"/>
                <w:sz w:val="24"/>
                <w:szCs w:val="24"/>
                <w:lang w:eastAsia="zh-CN"/>
              </w:rPr>
              <w:t>。</w:t>
            </w:r>
          </w:p>
          <w:p>
            <w:pPr>
              <w:topLinePunct/>
              <w:snapToGrid w:val="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w:t>
            </w:r>
            <w:r>
              <w:rPr>
                <w:rFonts w:hint="eastAsia" w:ascii="仿宋_GB2312" w:hAnsi="仿宋_GB2312" w:eastAsia="仿宋_GB2312" w:cs="仿宋_GB2312"/>
                <w:sz w:val="24"/>
                <w:szCs w:val="24"/>
                <w:lang w:eastAsia="zh-CN"/>
              </w:rPr>
              <w:t>违约</w:t>
            </w:r>
            <w:r>
              <w:rPr>
                <w:rFonts w:hint="eastAsia" w:ascii="仿宋_GB2312" w:hAnsi="仿宋_GB2312" w:eastAsia="仿宋_GB2312" w:cs="仿宋_GB2312"/>
                <w:sz w:val="24"/>
                <w:szCs w:val="24"/>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p>
          <w:p>
            <w:pPr>
              <w:spacing w:line="560" w:lineRule="exact"/>
              <w:jc w:val="center"/>
              <w:rPr>
                <w:rFonts w:hint="eastAsia" w:ascii="仿宋_GB2312" w:hAnsi="仿宋_GB2312" w:eastAsia="仿宋_GB2312" w:cs="仿宋_GB2312"/>
                <w:sz w:val="24"/>
                <w:szCs w:val="24"/>
                <w:vertAlign w:val="baseline"/>
                <w:lang w:val="en-US" w:eastAsia="zh-CN"/>
              </w:rPr>
            </w:pPr>
          </w:p>
          <w:p>
            <w:pPr>
              <w:spacing w:line="560" w:lineRule="exact"/>
              <w:jc w:val="center"/>
              <w:rPr>
                <w:rFonts w:hint="eastAsia" w:ascii="仿宋_GB2312" w:hAnsi="仿宋_GB2312" w:eastAsia="仿宋_GB2312" w:cs="仿宋_GB2312"/>
                <w:sz w:val="24"/>
                <w:szCs w:val="24"/>
                <w:vertAlign w:val="baseline"/>
                <w:lang w:val="en-US" w:eastAsia="zh-CN"/>
              </w:rPr>
            </w:pPr>
          </w:p>
          <w:p>
            <w:pPr>
              <w:spacing w:line="560" w:lineRule="exact"/>
              <w:jc w:val="center"/>
              <w:rPr>
                <w:rFonts w:hint="eastAsia" w:ascii="仿宋_GB2312" w:hAnsi="仿宋_GB2312" w:eastAsia="仿宋_GB2312" w:cs="仿宋_GB2312"/>
                <w:sz w:val="24"/>
                <w:szCs w:val="24"/>
                <w:vertAlign w:val="baseline"/>
                <w:lang w:val="en-US" w:eastAsia="zh-CN"/>
              </w:rPr>
            </w:pPr>
          </w:p>
          <w:p>
            <w:pPr>
              <w:spacing w:line="560" w:lineRule="exact"/>
              <w:jc w:val="center"/>
              <w:rPr>
                <w:rFonts w:hint="eastAsia" w:ascii="仿宋_GB2312" w:hAnsi="仿宋_GB2312" w:eastAsia="仿宋_GB2312" w:cs="仿宋_GB2312"/>
                <w:sz w:val="24"/>
                <w:szCs w:val="24"/>
                <w:vertAlign w:val="baseline"/>
                <w:lang w:val="en-US" w:eastAsia="zh-CN"/>
              </w:rPr>
            </w:pPr>
          </w:p>
          <w:p>
            <w:pPr>
              <w:spacing w:line="560" w:lineRule="exact"/>
              <w:jc w:val="center"/>
              <w:rPr>
                <w:rFonts w:hint="eastAsia" w:ascii="仿宋_GB2312" w:hAnsi="仿宋_GB2312" w:eastAsia="仿宋_GB2312" w:cs="仿宋_GB2312"/>
                <w:sz w:val="24"/>
                <w:szCs w:val="24"/>
                <w:vertAlign w:val="baseline"/>
                <w:lang w:val="en-US" w:eastAsia="zh-CN"/>
              </w:rPr>
            </w:pPr>
          </w:p>
          <w:p>
            <w:pPr>
              <w:spacing w:line="560" w:lineRule="exact"/>
              <w:jc w:val="center"/>
              <w:rPr>
                <w:rFonts w:hint="eastAsia" w:ascii="仿宋_GB2312" w:hAnsi="仿宋_GB2312" w:eastAsia="仿宋_GB2312" w:cs="仿宋_GB2312"/>
                <w:sz w:val="24"/>
                <w:szCs w:val="24"/>
                <w:vertAlign w:val="baseline"/>
                <w:lang w:val="en-US" w:eastAsia="zh-CN"/>
              </w:rPr>
            </w:pPr>
          </w:p>
          <w:p>
            <w:pPr>
              <w:spacing w:line="560" w:lineRule="exact"/>
              <w:jc w:val="center"/>
              <w:rPr>
                <w:rFonts w:hint="eastAsia" w:ascii="仿宋_GB2312" w:hAnsi="仿宋_GB2312" w:eastAsia="仿宋_GB2312" w:cs="仿宋_GB2312"/>
                <w:sz w:val="24"/>
                <w:szCs w:val="24"/>
                <w:vertAlign w:val="baseline"/>
                <w:lang w:val="en-US" w:eastAsia="zh-CN"/>
              </w:rPr>
            </w:pPr>
          </w:p>
          <w:p>
            <w:pPr>
              <w:spacing w:line="560" w:lineRule="exact"/>
              <w:jc w:val="center"/>
              <w:rPr>
                <w:rFonts w:hint="eastAsia" w:ascii="仿宋_GB2312" w:hAnsi="仿宋_GB2312" w:eastAsia="仿宋_GB2312" w:cs="仿宋_GB2312"/>
                <w:sz w:val="24"/>
                <w:szCs w:val="24"/>
                <w:vertAlign w:val="baseline"/>
                <w:lang w:val="en-US" w:eastAsia="zh-CN"/>
              </w:rPr>
            </w:pPr>
          </w:p>
          <w:p>
            <w:pPr>
              <w:spacing w:line="560" w:lineRule="exact"/>
              <w:jc w:val="center"/>
              <w:rPr>
                <w:rFonts w:hint="eastAsia" w:ascii="仿宋_GB2312" w:hAnsi="仿宋_GB2312" w:eastAsia="仿宋_GB2312" w:cs="仿宋_GB2312"/>
                <w:sz w:val="24"/>
                <w:szCs w:val="24"/>
                <w:vertAlign w:val="baseline"/>
                <w:lang w:val="en-US" w:eastAsia="zh-CN"/>
              </w:rPr>
            </w:pPr>
          </w:p>
          <w:p>
            <w:pPr>
              <w:spacing w:line="560" w:lineRule="exact"/>
              <w:jc w:val="center"/>
              <w:rPr>
                <w:rFonts w:hint="eastAsia" w:ascii="仿宋_GB2312" w:hAnsi="仿宋_GB2312" w:eastAsia="仿宋_GB2312" w:cs="仿宋_GB2312"/>
                <w:sz w:val="24"/>
                <w:szCs w:val="24"/>
                <w:vertAlign w:val="baseline"/>
                <w:lang w:val="en-US" w:eastAsia="zh-CN"/>
              </w:rPr>
            </w:pPr>
          </w:p>
          <w:p>
            <w:pPr>
              <w:spacing w:line="560" w:lineRule="exact"/>
              <w:jc w:val="center"/>
              <w:rPr>
                <w:rFonts w:hint="eastAsia" w:ascii="仿宋_GB2312" w:hAnsi="仿宋_GB2312" w:eastAsia="仿宋_GB2312" w:cs="仿宋_GB2312"/>
                <w:sz w:val="24"/>
                <w:szCs w:val="24"/>
                <w:vertAlign w:val="baseline"/>
                <w:lang w:val="en-US" w:eastAsia="zh-CN"/>
              </w:rPr>
            </w:pPr>
          </w:p>
          <w:p>
            <w:pPr>
              <w:spacing w:line="560" w:lineRule="exact"/>
              <w:jc w:val="center"/>
              <w:rPr>
                <w:rFonts w:hint="eastAsia" w:ascii="仿宋_GB2312" w:hAnsi="仿宋_GB2312" w:eastAsia="仿宋_GB2312" w:cs="仿宋_GB2312"/>
                <w:sz w:val="24"/>
                <w:szCs w:val="24"/>
                <w:vertAlign w:val="baseline"/>
                <w:lang w:val="en-US" w:eastAsia="zh-CN"/>
              </w:rPr>
            </w:pP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部分</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（45分）</w:t>
            </w: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（25分）</w:t>
            </w:r>
          </w:p>
        </w:tc>
        <w:tc>
          <w:tcPr>
            <w:tcW w:w="6143" w:type="dxa"/>
            <w:noWrap w:val="0"/>
            <w:vAlign w:val="top"/>
          </w:tcPr>
          <w:p>
            <w:pPr>
              <w:topLinePunct/>
              <w:snapToGrid w:val="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topLinePunct/>
              <w:snapToGrid w:val="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满足以上任意一项要求得4分，最高得16分，在此基础上。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276" w:lineRule="auto"/>
              <w:ind w:firstLine="0" w:firstLineChars="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snapToGrid/>
              <w:spacing w:line="276" w:lineRule="auto"/>
              <w:ind w:firstLine="0" w:firstLineChars="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2.良：项目实施方案内容较全面、较具体、针对性较强、较科学合理、可操作性较强得7分；</w:t>
            </w:r>
          </w:p>
          <w:p>
            <w:pPr>
              <w:keepNext w:val="0"/>
              <w:keepLines w:val="0"/>
              <w:pageBreakBefore w:val="0"/>
              <w:widowControl w:val="0"/>
              <w:snapToGrid/>
              <w:spacing w:line="276" w:lineRule="auto"/>
              <w:ind w:firstLine="0" w:firstLineChars="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3.中：项目实施方案内容较基本全面、一般具体、针对性一般、一般科学合理、可操作性一般得2分；</w:t>
            </w:r>
          </w:p>
          <w:p>
            <w:pPr>
              <w:keepNext w:val="0"/>
              <w:keepLines w:val="0"/>
              <w:pageBreakBefore w:val="0"/>
              <w:widowControl w:val="0"/>
              <w:snapToGrid/>
              <w:spacing w:line="276" w:lineRule="auto"/>
              <w:ind w:firstLine="0" w:firstLineChars="0"/>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p>
          <w:p>
            <w:pPr>
              <w:spacing w:line="560" w:lineRule="exact"/>
              <w:jc w:val="center"/>
              <w:rPr>
                <w:rFonts w:hint="eastAsia"/>
                <w:highlight w:val="none"/>
                <w:lang w:eastAsia="zh-CN"/>
              </w:rPr>
            </w:pPr>
            <w:r>
              <w:rPr>
                <w:rFonts w:hint="eastAsia" w:ascii="仿宋_GB2312" w:hAnsi="仿宋_GB2312" w:eastAsia="仿宋_GB2312" w:cs="仿宋_GB2312"/>
                <w:sz w:val="24"/>
                <w:szCs w:val="24"/>
                <w:highlight w:val="none"/>
                <w:vertAlign w:val="baseline"/>
                <w:lang w:val="en-US" w:eastAsia="zh-CN"/>
              </w:rPr>
              <w:t>（20分）</w:t>
            </w:r>
          </w:p>
        </w:tc>
        <w:tc>
          <w:tcPr>
            <w:tcW w:w="6143" w:type="dxa"/>
            <w:noWrap w:val="0"/>
            <w:vAlign w:val="top"/>
          </w:tcPr>
          <w:p>
            <w:pPr>
              <w:topLinePunct/>
              <w:snapToGrid w:val="0"/>
              <w:jc w:val="both"/>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keepNext w:val="0"/>
              <w:keepLines w:val="0"/>
              <w:pageBreakBefore w:val="0"/>
              <w:widowControl w:val="0"/>
              <w:snapToGrid/>
              <w:spacing w:line="276" w:lineRule="auto"/>
              <w:ind w:firstLine="0" w:firstLineChars="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276" w:lineRule="auto"/>
              <w:ind w:firstLine="0" w:firstLineChars="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包括但不限于以下内容：</w:t>
            </w:r>
          </w:p>
          <w:p>
            <w:pPr>
              <w:keepNext w:val="0"/>
              <w:keepLines w:val="0"/>
              <w:pageBreakBefore w:val="0"/>
              <w:widowControl w:val="0"/>
              <w:snapToGrid/>
              <w:spacing w:line="276" w:lineRule="auto"/>
              <w:ind w:firstLine="0" w:firstLineChars="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1.详细阐述本项目存在的重难点问题；</w:t>
            </w:r>
          </w:p>
          <w:p>
            <w:pPr>
              <w:keepNext w:val="0"/>
              <w:keepLines w:val="0"/>
              <w:pageBreakBefore w:val="0"/>
              <w:widowControl w:val="0"/>
              <w:snapToGrid/>
              <w:spacing w:line="276" w:lineRule="auto"/>
              <w:ind w:firstLine="0" w:firstLineChars="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2.根据项目重难点，详细阐述对应的应对措施；</w:t>
            </w:r>
          </w:p>
          <w:p>
            <w:pPr>
              <w:keepNext w:val="0"/>
              <w:keepLines w:val="0"/>
              <w:pageBreakBefore w:val="0"/>
              <w:widowControl w:val="0"/>
              <w:snapToGrid/>
              <w:spacing w:line="276" w:lineRule="auto"/>
              <w:ind w:firstLine="0" w:firstLineChars="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3.向招标方提出项目实施及与其他建设项目协调的具体建议。</w:t>
            </w:r>
          </w:p>
          <w:p>
            <w:pPr>
              <w:keepNext w:val="0"/>
              <w:keepLines w:val="0"/>
              <w:pageBreakBefore w:val="0"/>
              <w:widowControl w:val="0"/>
              <w:snapToGrid/>
              <w:spacing w:line="276" w:lineRule="auto"/>
              <w:ind w:firstLine="0" w:firstLineChars="0"/>
              <w:jc w:val="both"/>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keepNext w:val="0"/>
              <w:keepLines w:val="0"/>
              <w:pageBreakBefore w:val="0"/>
              <w:widowControl w:val="0"/>
              <w:snapToGrid/>
              <w:spacing w:line="276" w:lineRule="auto"/>
              <w:ind w:firstLine="0" w:firstLineChars="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highlight w:val="none"/>
              </w:rPr>
              <w:t>根据各供应商的具体响应内容按照量化的评审因素指标进一步评审，设定优、良、中、差四个评分标准：</w:t>
            </w:r>
          </w:p>
          <w:p>
            <w:pP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优：以上项目重点难点分析、应对措施及相关的合理化建议的三点内容全面具体、针对性强、可操作性强，加</w:t>
            </w: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分；</w:t>
            </w:r>
          </w:p>
          <w:p>
            <w:pP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分；</w:t>
            </w:r>
          </w:p>
          <w:p>
            <w:pP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中：以上项目重点难点分析、应对措施及相关的合理化建议的三点内容完整性、针对性、可操作性均一般，加</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w:t>
            </w:r>
          </w:p>
          <w:p>
            <w:pPr>
              <w:keepNext w:val="0"/>
              <w:keepLines w:val="0"/>
              <w:pageBreakBefore w:val="0"/>
              <w:widowControl w:val="0"/>
              <w:snapToGrid/>
              <w:spacing w:line="276" w:lineRule="auto"/>
              <w:ind w:firstLine="0" w:firstLineChars="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5"/>
        <w:spacing w:line="560" w:lineRule="exact"/>
        <w:ind w:firstLine="640" w:firstLineChars="200"/>
        <w:jc w:val="both"/>
        <w:rPr>
          <w:rFonts w:hint="eastAsia" w:ascii="仿宋_GB2312" w:hAnsi="仿宋" w:eastAsia="仿宋_GB2312" w:cs="Times New Roman"/>
          <w:b w:val="0"/>
          <w:kern w:val="2"/>
          <w:sz w:val="32"/>
          <w:szCs w:val="24"/>
          <w:lang w:val="en-US" w:eastAsia="zh-CN" w:bidi="ar-SA"/>
        </w:rPr>
      </w:pPr>
      <w:r>
        <w:rPr>
          <w:rFonts w:hint="eastAsia" w:ascii="仿宋_GB2312" w:hAnsi="仿宋" w:eastAsia="仿宋_GB2312" w:cs="Times New Roman"/>
          <w:b w:val="0"/>
          <w:kern w:val="2"/>
          <w:sz w:val="32"/>
          <w:szCs w:val="24"/>
          <w:lang w:val="en-US" w:eastAsia="zh-CN" w:bidi="ar-SA"/>
        </w:rPr>
        <w:t>（四）供应商提供资料清单（均需每页加盖公章）</w:t>
      </w:r>
    </w:p>
    <w:p>
      <w:pPr>
        <w:spacing w:line="560" w:lineRule="exact"/>
        <w:ind w:firstLine="640" w:firstLineChars="200"/>
        <w:jc w:val="both"/>
        <w:rPr>
          <w:rFonts w:hint="eastAsia" w:ascii="仿宋_GB2312" w:hAnsi="仿宋" w:eastAsia="仿宋_GB2312" w:cs="Times New Roman"/>
          <w:b w:val="0"/>
          <w:kern w:val="2"/>
          <w:sz w:val="32"/>
          <w:szCs w:val="24"/>
          <w:lang w:val="en-US" w:eastAsia="zh-CN" w:bidi="ar-SA"/>
        </w:rPr>
      </w:pPr>
      <w:r>
        <w:rPr>
          <w:rFonts w:hint="eastAsia" w:ascii="仿宋_GB2312" w:hAnsi="仿宋" w:eastAsia="仿宋_GB2312" w:cs="Times New Roman"/>
          <w:b w:val="0"/>
          <w:kern w:val="2"/>
          <w:sz w:val="32"/>
          <w:szCs w:val="24"/>
          <w:lang w:val="en-US" w:eastAsia="zh-CN" w:bidi="ar-SA"/>
        </w:rPr>
        <w:t>1.营业执照、事业法人证书、社会团体法人登记证书、印刷经营许可证；</w:t>
      </w:r>
    </w:p>
    <w:p>
      <w:pPr>
        <w:spacing w:line="560" w:lineRule="exact"/>
        <w:ind w:firstLine="640" w:firstLineChars="200"/>
        <w:jc w:val="both"/>
        <w:rPr>
          <w:rFonts w:hint="eastAsia" w:ascii="仿宋_GB2312" w:hAnsi="仿宋" w:eastAsia="仿宋_GB2312" w:cs="Times New Roman"/>
          <w:b w:val="0"/>
          <w:kern w:val="2"/>
          <w:sz w:val="32"/>
          <w:szCs w:val="24"/>
          <w:lang w:val="en-US" w:eastAsia="zh-CN" w:bidi="ar-SA"/>
        </w:rPr>
      </w:pPr>
      <w:r>
        <w:rPr>
          <w:rFonts w:hint="eastAsia" w:ascii="仿宋_GB2312" w:hAnsi="仿宋" w:eastAsia="仿宋_GB2312" w:cs="Times New Roman"/>
          <w:b w:val="0"/>
          <w:kern w:val="2"/>
          <w:sz w:val="32"/>
          <w:szCs w:val="24"/>
          <w:lang w:val="en-US" w:eastAsia="zh-CN" w:bidi="ar-SA"/>
        </w:rPr>
        <w:t>2.法定代表人身份证复印件；</w:t>
      </w:r>
    </w:p>
    <w:p>
      <w:pPr>
        <w:pStyle w:val="7"/>
        <w:spacing w:after="0" w:line="560" w:lineRule="exact"/>
        <w:ind w:left="0" w:leftChars="0" w:right="0" w:rightChars="0" w:firstLine="640"/>
        <w:jc w:val="both"/>
        <w:rPr>
          <w:rFonts w:hint="eastAsia" w:ascii="仿宋_GB2312" w:hAnsi="仿宋" w:eastAsia="仿宋_GB2312" w:cs="Times New Roman"/>
          <w:b w:val="0"/>
          <w:kern w:val="2"/>
          <w:sz w:val="32"/>
          <w:szCs w:val="24"/>
          <w:lang w:val="en-US" w:eastAsia="zh-CN" w:bidi="ar-SA"/>
        </w:rPr>
      </w:pPr>
      <w:r>
        <w:rPr>
          <w:rFonts w:hint="eastAsia" w:ascii="仿宋_GB2312" w:hAnsi="仿宋" w:eastAsia="仿宋_GB2312" w:cs="Times New Roman"/>
          <w:b w:val="0"/>
          <w:kern w:val="2"/>
          <w:sz w:val="32"/>
          <w:szCs w:val="24"/>
          <w:lang w:val="en-US" w:eastAsia="zh-CN" w:bidi="ar-SA"/>
        </w:rPr>
        <w:t>3.项目报价表（需按格式提供）；</w:t>
      </w:r>
    </w:p>
    <w:p>
      <w:pPr>
        <w:pStyle w:val="7"/>
        <w:spacing w:after="0" w:line="560" w:lineRule="exact"/>
        <w:ind w:left="0" w:leftChars="0" w:right="0" w:rightChars="0" w:firstLine="640"/>
        <w:jc w:val="both"/>
        <w:rPr>
          <w:rFonts w:hint="eastAsia" w:ascii="仿宋_GB2312" w:hAnsi="仿宋" w:eastAsia="仿宋_GB2312" w:cs="Times New Roman"/>
          <w:b w:val="0"/>
          <w:kern w:val="2"/>
          <w:sz w:val="32"/>
          <w:szCs w:val="24"/>
          <w:lang w:val="en-US" w:eastAsia="zh-CN" w:bidi="ar-SA"/>
        </w:rPr>
      </w:pPr>
      <w:r>
        <w:rPr>
          <w:rFonts w:hint="eastAsia" w:ascii="仿宋_GB2312" w:hAnsi="仿宋" w:eastAsia="仿宋_GB2312" w:cs="Times New Roman"/>
          <w:b w:val="0"/>
          <w:kern w:val="2"/>
          <w:sz w:val="32"/>
          <w:szCs w:val="24"/>
          <w:lang w:val="en-US" w:eastAsia="zh-CN" w:bidi="ar-SA"/>
        </w:rPr>
        <w:t>4.评分规则所需资料（同类业绩证明、方案等）；</w:t>
      </w:r>
    </w:p>
    <w:p>
      <w:pPr>
        <w:pStyle w:val="7"/>
        <w:spacing w:after="0" w:line="560" w:lineRule="exact"/>
        <w:ind w:left="0" w:leftChars="0" w:right="0" w:rightChars="0" w:firstLine="640"/>
        <w:jc w:val="both"/>
        <w:rPr>
          <w:rFonts w:hint="eastAsia" w:ascii="仿宋_GB2312" w:hAnsi="仿宋" w:eastAsia="仿宋_GB2312" w:cs="Times New Roman"/>
          <w:b w:val="0"/>
          <w:kern w:val="2"/>
          <w:sz w:val="32"/>
          <w:szCs w:val="24"/>
          <w:lang w:val="en-US" w:eastAsia="zh-CN" w:bidi="ar-SA"/>
        </w:rPr>
      </w:pPr>
      <w:r>
        <w:rPr>
          <w:rFonts w:hint="eastAsia" w:ascii="仿宋_GB2312" w:hAnsi="仿宋" w:eastAsia="仿宋_GB2312" w:cs="Times New Roman"/>
          <w:b w:val="0"/>
          <w:kern w:val="2"/>
          <w:sz w:val="32"/>
          <w:szCs w:val="24"/>
          <w:lang w:val="en-US" w:eastAsia="zh-CN" w:bidi="ar-SA"/>
        </w:rPr>
        <w:t>5.填写《供应商基本情况表》（加盖公章，详见附件2）并提供表中投标（响应）供应商相关人员的近三个月社保缴纳情况，若本月社保未能提供，则提供前三个月的社保情况，如供应商为新成立企业且成立时间不足3个月的，可提供加盖公章的情况说明或其他相关证明材料。</w:t>
      </w:r>
    </w:p>
    <w:p>
      <w:pPr>
        <w:pStyle w:val="7"/>
        <w:spacing w:after="0" w:line="560" w:lineRule="exact"/>
        <w:ind w:left="0" w:leftChars="0" w:right="0" w:rightChars="0" w:firstLine="640"/>
        <w:jc w:val="both"/>
        <w:rPr>
          <w:rFonts w:hint="eastAsia" w:ascii="仿宋_GB2312" w:hAnsi="仿宋" w:eastAsia="仿宋_GB2312" w:cs="Times New Roman"/>
          <w:sz w:val="32"/>
          <w:lang w:val="en-US" w:eastAsia="zh-CN"/>
        </w:rPr>
      </w:pPr>
      <w:r>
        <w:rPr>
          <w:rFonts w:hint="eastAsia" w:ascii="仿宋_GB2312" w:hAnsi="仿宋" w:eastAsia="仿宋_GB2312" w:cs="Times New Roman"/>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方式提供5</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sz w:val="32"/>
          <w:szCs w:val="32"/>
          <w:vertAlign w:val="baseline"/>
          <w:lang w:val="en-US" w:eastAsia="zh-CN"/>
        </w:rPr>
        <w:t>““齐凤阁捐赠版画系列——张泽民版画艺术研究展”项目</w:t>
      </w:r>
      <w:r>
        <w:rPr>
          <w:rFonts w:hint="eastAsia" w:ascii="仿宋_GB2312" w:hAnsi="仿宋_GB2312" w:eastAsia="仿宋_GB2312" w:cs="仿宋_GB2312"/>
          <w:color w:val="000000"/>
          <w:kern w:val="0"/>
          <w:sz w:val="32"/>
          <w:szCs w:val="32"/>
          <w:lang w:val="en-US" w:eastAsia="zh-CN"/>
        </w:rPr>
        <w:t>+公司全称+日期+联系人+联系方式”。</w:t>
      </w:r>
    </w:p>
    <w:p>
      <w:pPr>
        <w:pStyle w:val="7"/>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24"/>
        <w:spacing w:line="560" w:lineRule="exact"/>
        <w:ind w:left="0" w:lef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jc w:val="left"/>
        <w:rPr>
          <w:rFonts w:hint="eastAsia"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szCs w:val="22"/>
        </w:rPr>
        <w:t>0755-23338140</w:t>
      </w:r>
    </w:p>
    <w:p>
      <w:pPr>
        <w:ind w:firstLine="640" w:firstLineChars="200"/>
        <w:rPr>
          <w:rFonts w:hint="eastAsia" w:ascii="仿宋_GB2312" w:hAnsi="仿宋" w:eastAsia="仿宋_GB2312" w:cs="Times New Roman"/>
          <w:sz w:val="32"/>
          <w:szCs w:val="22"/>
        </w:rPr>
      </w:pPr>
    </w:p>
    <w:p>
      <w:pPr>
        <w:pStyle w:val="24"/>
        <w:spacing w:line="560" w:lineRule="exact"/>
        <w:ind w:firstLine="0" w:firstLineChars="0"/>
        <w:rPr>
          <w:rFonts w:hint="eastAsia" w:ascii="黑体" w:hAnsi="黑体" w:eastAsia="黑体" w:cs="黑体"/>
          <w:color w:val="000000"/>
          <w:sz w:val="32"/>
          <w:szCs w:val="32"/>
          <w:lang w:eastAsia="zh-CN"/>
        </w:rPr>
      </w:pPr>
    </w:p>
    <w:p>
      <w:pPr>
        <w:pStyle w:val="24"/>
        <w:spacing w:line="560" w:lineRule="exact"/>
        <w:ind w:firstLine="0" w:firstLineChars="0"/>
        <w:rPr>
          <w:rFonts w:hint="eastAsia" w:ascii="黑体" w:hAnsi="黑体" w:eastAsia="黑体" w:cs="黑体"/>
          <w:color w:val="000000"/>
          <w:sz w:val="32"/>
          <w:szCs w:val="32"/>
          <w:lang w:eastAsia="zh-CN"/>
        </w:rPr>
      </w:pPr>
    </w:p>
    <w:p>
      <w:pPr>
        <w:pStyle w:val="24"/>
        <w:spacing w:line="560" w:lineRule="exact"/>
        <w:ind w:firstLine="0" w:firstLineChars="0"/>
        <w:rPr>
          <w:rFonts w:hint="eastAsia" w:ascii="黑体" w:hAnsi="黑体" w:eastAsia="黑体" w:cs="黑体"/>
          <w:color w:val="000000"/>
          <w:sz w:val="32"/>
          <w:szCs w:val="32"/>
          <w:lang w:eastAsia="zh-CN"/>
        </w:rPr>
      </w:pPr>
    </w:p>
    <w:p>
      <w:pPr>
        <w:pStyle w:val="24"/>
        <w:spacing w:line="560" w:lineRule="exact"/>
        <w:ind w:firstLine="0" w:firstLineChars="0"/>
        <w:rPr>
          <w:rFonts w:hint="eastAsia" w:ascii="黑体" w:hAnsi="黑体" w:eastAsia="黑体" w:cs="黑体"/>
          <w:color w:val="000000"/>
          <w:sz w:val="32"/>
          <w:szCs w:val="32"/>
          <w:lang w:eastAsia="zh-CN"/>
        </w:rPr>
      </w:pPr>
    </w:p>
    <w:p>
      <w:pPr>
        <w:pStyle w:val="24"/>
        <w:spacing w:line="560" w:lineRule="exact"/>
        <w:ind w:firstLine="0" w:firstLineChars="0"/>
        <w:rPr>
          <w:rFonts w:hint="eastAsia" w:ascii="黑体" w:hAnsi="黑体" w:eastAsia="黑体" w:cs="黑体"/>
          <w:color w:val="000000"/>
          <w:sz w:val="32"/>
          <w:szCs w:val="32"/>
          <w:lang w:eastAsia="zh-CN"/>
        </w:rPr>
      </w:pPr>
    </w:p>
    <w:p>
      <w:pPr>
        <w:pStyle w:val="24"/>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rPr>
          <w:rFonts w:hint="default"/>
          <w:lang w:val="en-US" w:eastAsia="zh-CN"/>
        </w:rPr>
      </w:pPr>
      <w:bookmarkStart w:id="1" w:name="_GoBack"/>
      <w:bookmarkEnd w:id="1"/>
    </w:p>
    <w:p>
      <w:pPr>
        <w:pStyle w:val="24"/>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9"/>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1"/>
        <w:tblW w:w="10518"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059"/>
        <w:gridCol w:w="1278"/>
        <w:gridCol w:w="1269"/>
        <w:gridCol w:w="786"/>
        <w:gridCol w:w="1200"/>
        <w:gridCol w:w="1496"/>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48"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47" w:type="dxa"/>
            <w:gridSpan w:val="2"/>
            <w:noWrap w:val="0"/>
            <w:vAlign w:val="center"/>
          </w:tcPr>
          <w:p>
            <w:pPr>
              <w:jc w:val="left"/>
              <w:rPr>
                <w:rFonts w:ascii="方正仿宋_GBK" w:hAnsi="方正仿宋_GBK" w:eastAsia="方正仿宋_GBK" w:cs="方正仿宋_GBK"/>
                <w:sz w:val="24"/>
              </w:rPr>
            </w:pPr>
          </w:p>
        </w:tc>
        <w:tc>
          <w:tcPr>
            <w:tcW w:w="198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37"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48"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47" w:type="dxa"/>
            <w:gridSpan w:val="2"/>
            <w:noWrap w:val="0"/>
            <w:vAlign w:val="center"/>
          </w:tcPr>
          <w:p>
            <w:pPr>
              <w:jc w:val="left"/>
              <w:rPr>
                <w:rFonts w:ascii="方正仿宋_GBK" w:hAnsi="方正仿宋_GBK" w:eastAsia="方正仿宋_GBK" w:cs="方正仿宋_GBK"/>
                <w:sz w:val="24"/>
              </w:rPr>
            </w:pPr>
          </w:p>
        </w:tc>
        <w:tc>
          <w:tcPr>
            <w:tcW w:w="198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37"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518"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89"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37"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69"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86"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496"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1"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89"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3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89"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3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89"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37"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69"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86"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496"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1"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89"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37"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69" w:type="dxa"/>
            <w:noWrap w:val="0"/>
            <w:vAlign w:val="center"/>
          </w:tcPr>
          <w:p>
            <w:pPr>
              <w:jc w:val="left"/>
              <w:rPr>
                <w:rFonts w:ascii="方正仿宋_GBK" w:hAnsi="方正仿宋_GBK" w:eastAsia="方正仿宋_GBK" w:cs="方正仿宋_GBK"/>
                <w:sz w:val="24"/>
              </w:rPr>
            </w:pPr>
          </w:p>
        </w:tc>
        <w:tc>
          <w:tcPr>
            <w:tcW w:w="1986" w:type="dxa"/>
            <w:gridSpan w:val="2"/>
            <w:noWrap w:val="0"/>
            <w:vAlign w:val="center"/>
          </w:tcPr>
          <w:p>
            <w:pPr>
              <w:jc w:val="left"/>
              <w:rPr>
                <w:rFonts w:ascii="方正仿宋_GBK" w:hAnsi="方正仿宋_GBK" w:eastAsia="方正仿宋_GBK" w:cs="方正仿宋_GBK"/>
                <w:sz w:val="24"/>
              </w:rPr>
            </w:pPr>
          </w:p>
        </w:tc>
        <w:tc>
          <w:tcPr>
            <w:tcW w:w="1496" w:type="dxa"/>
            <w:noWrap w:val="0"/>
            <w:vAlign w:val="center"/>
          </w:tcPr>
          <w:p>
            <w:pPr>
              <w:jc w:val="left"/>
              <w:rPr>
                <w:rFonts w:ascii="方正仿宋_GBK" w:hAnsi="方正仿宋_GBK" w:eastAsia="方正仿宋_GBK" w:cs="方正仿宋_GBK"/>
                <w:sz w:val="24"/>
              </w:rPr>
            </w:pPr>
          </w:p>
        </w:tc>
        <w:tc>
          <w:tcPr>
            <w:tcW w:w="2141"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89"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37"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69" w:type="dxa"/>
            <w:noWrap w:val="0"/>
            <w:vAlign w:val="center"/>
          </w:tcPr>
          <w:p>
            <w:pPr>
              <w:jc w:val="left"/>
              <w:rPr>
                <w:rFonts w:ascii="方正仿宋_GBK" w:hAnsi="方正仿宋_GBK" w:eastAsia="方正仿宋_GBK" w:cs="方正仿宋_GBK"/>
                <w:sz w:val="24"/>
              </w:rPr>
            </w:pPr>
          </w:p>
        </w:tc>
        <w:tc>
          <w:tcPr>
            <w:tcW w:w="1986" w:type="dxa"/>
            <w:gridSpan w:val="2"/>
            <w:noWrap w:val="0"/>
            <w:vAlign w:val="center"/>
          </w:tcPr>
          <w:p>
            <w:pPr>
              <w:jc w:val="left"/>
              <w:rPr>
                <w:rFonts w:ascii="方正仿宋_GBK" w:hAnsi="方正仿宋_GBK" w:eastAsia="方正仿宋_GBK" w:cs="方正仿宋_GBK"/>
                <w:sz w:val="24"/>
              </w:rPr>
            </w:pPr>
          </w:p>
        </w:tc>
        <w:tc>
          <w:tcPr>
            <w:tcW w:w="1496" w:type="dxa"/>
            <w:noWrap w:val="0"/>
            <w:vAlign w:val="center"/>
          </w:tcPr>
          <w:p>
            <w:pPr>
              <w:jc w:val="left"/>
              <w:rPr>
                <w:rFonts w:ascii="方正仿宋_GBK" w:hAnsi="方正仿宋_GBK" w:eastAsia="方正仿宋_GBK" w:cs="方正仿宋_GBK"/>
                <w:sz w:val="24"/>
              </w:rPr>
            </w:pPr>
          </w:p>
        </w:tc>
        <w:tc>
          <w:tcPr>
            <w:tcW w:w="2141"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518"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518"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89"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37"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5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37"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289"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3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3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89"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3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3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518"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 w:eastAsia="仿宋_GB2312" w:cs="Times New Roman"/>
          <w:sz w:val="32"/>
          <w:szCs w:val="22"/>
          <w:lang w:val="en" w:eastAsia="zh-CN"/>
        </w:rPr>
      </w:pPr>
    </w:p>
    <w:sectPr>
      <w:pgSz w:w="11906" w:h="16838"/>
      <w:pgMar w:top="2154" w:right="1474" w:bottom="1984" w:left="1587" w:header="851" w:footer="992" w:gutter="0"/>
      <w:pgBorders w:display="firstPage">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ZjY2Y2Q3ZTkwOTY5ZTg5MTI0MjAyNzJhYTYyODEifQ=="/>
  </w:docVars>
  <w:rsids>
    <w:rsidRoot w:val="00172A27"/>
    <w:rsid w:val="00627E6B"/>
    <w:rsid w:val="006B4F71"/>
    <w:rsid w:val="01A85D51"/>
    <w:rsid w:val="03A569EC"/>
    <w:rsid w:val="03C469E0"/>
    <w:rsid w:val="03F60692"/>
    <w:rsid w:val="051D19F0"/>
    <w:rsid w:val="05482F56"/>
    <w:rsid w:val="06A00B42"/>
    <w:rsid w:val="07EC4BEA"/>
    <w:rsid w:val="0817488F"/>
    <w:rsid w:val="08585D8D"/>
    <w:rsid w:val="0AD025A1"/>
    <w:rsid w:val="0AF830A9"/>
    <w:rsid w:val="0FBC4A15"/>
    <w:rsid w:val="10865C7F"/>
    <w:rsid w:val="112C42A9"/>
    <w:rsid w:val="114415F3"/>
    <w:rsid w:val="129659B8"/>
    <w:rsid w:val="13903FD0"/>
    <w:rsid w:val="14CA4036"/>
    <w:rsid w:val="14E61635"/>
    <w:rsid w:val="14E823AD"/>
    <w:rsid w:val="15B8101F"/>
    <w:rsid w:val="160101BD"/>
    <w:rsid w:val="19B25567"/>
    <w:rsid w:val="1A032660"/>
    <w:rsid w:val="1A254929"/>
    <w:rsid w:val="1A9E48DF"/>
    <w:rsid w:val="1C821822"/>
    <w:rsid w:val="1ED264F3"/>
    <w:rsid w:val="1EDE6233"/>
    <w:rsid w:val="1FB262C1"/>
    <w:rsid w:val="1FFB75BC"/>
    <w:rsid w:val="216337B7"/>
    <w:rsid w:val="22A47244"/>
    <w:rsid w:val="23F46EA8"/>
    <w:rsid w:val="24612678"/>
    <w:rsid w:val="248A5422"/>
    <w:rsid w:val="25EC323F"/>
    <w:rsid w:val="265D46DD"/>
    <w:rsid w:val="2685028B"/>
    <w:rsid w:val="26CB587F"/>
    <w:rsid w:val="28885E11"/>
    <w:rsid w:val="28D962DE"/>
    <w:rsid w:val="29932CBF"/>
    <w:rsid w:val="29AC3D81"/>
    <w:rsid w:val="2AA73F5B"/>
    <w:rsid w:val="2AC643B9"/>
    <w:rsid w:val="2ACE1F62"/>
    <w:rsid w:val="2CE41DF7"/>
    <w:rsid w:val="2F661D69"/>
    <w:rsid w:val="312D39F9"/>
    <w:rsid w:val="31DD71CE"/>
    <w:rsid w:val="32617155"/>
    <w:rsid w:val="32EE71B8"/>
    <w:rsid w:val="340F74A8"/>
    <w:rsid w:val="34AB35B3"/>
    <w:rsid w:val="35BF2188"/>
    <w:rsid w:val="3B2723F3"/>
    <w:rsid w:val="3C0D4B23"/>
    <w:rsid w:val="3CC258ED"/>
    <w:rsid w:val="3CF94AE1"/>
    <w:rsid w:val="3D595B76"/>
    <w:rsid w:val="3E216694"/>
    <w:rsid w:val="3E8E3F62"/>
    <w:rsid w:val="3F3F8460"/>
    <w:rsid w:val="3FE6307F"/>
    <w:rsid w:val="407B3BCE"/>
    <w:rsid w:val="41540B2E"/>
    <w:rsid w:val="448B0D0B"/>
    <w:rsid w:val="450014A6"/>
    <w:rsid w:val="457D4459"/>
    <w:rsid w:val="463F1DAD"/>
    <w:rsid w:val="464949DA"/>
    <w:rsid w:val="46B34549"/>
    <w:rsid w:val="47E50BAC"/>
    <w:rsid w:val="480716C2"/>
    <w:rsid w:val="48B04931"/>
    <w:rsid w:val="494E0559"/>
    <w:rsid w:val="4A3A3410"/>
    <w:rsid w:val="4B6B4F15"/>
    <w:rsid w:val="4C2B560C"/>
    <w:rsid w:val="4D77269E"/>
    <w:rsid w:val="4F5751B1"/>
    <w:rsid w:val="4FB91C3C"/>
    <w:rsid w:val="500D6A78"/>
    <w:rsid w:val="502B76A4"/>
    <w:rsid w:val="52632459"/>
    <w:rsid w:val="52CA2E4A"/>
    <w:rsid w:val="52FC532D"/>
    <w:rsid w:val="536561A7"/>
    <w:rsid w:val="54B020C8"/>
    <w:rsid w:val="56BE6D1E"/>
    <w:rsid w:val="57380761"/>
    <w:rsid w:val="57997D76"/>
    <w:rsid w:val="59F95AAE"/>
    <w:rsid w:val="5B3D6C46"/>
    <w:rsid w:val="5C45759A"/>
    <w:rsid w:val="5CB12E81"/>
    <w:rsid w:val="5D98318A"/>
    <w:rsid w:val="5ED56325"/>
    <w:rsid w:val="5F84127C"/>
    <w:rsid w:val="5FBA3CE7"/>
    <w:rsid w:val="60BD0047"/>
    <w:rsid w:val="61C634AD"/>
    <w:rsid w:val="63924DEB"/>
    <w:rsid w:val="64030466"/>
    <w:rsid w:val="65622F6B"/>
    <w:rsid w:val="680B78E9"/>
    <w:rsid w:val="69325755"/>
    <w:rsid w:val="69635503"/>
    <w:rsid w:val="69DD6267"/>
    <w:rsid w:val="6A4E6DFB"/>
    <w:rsid w:val="6B533A81"/>
    <w:rsid w:val="6C5F1FB2"/>
    <w:rsid w:val="6D7952F5"/>
    <w:rsid w:val="6DBB4068"/>
    <w:rsid w:val="6EFFD996"/>
    <w:rsid w:val="6FF944CB"/>
    <w:rsid w:val="7049276B"/>
    <w:rsid w:val="712832BA"/>
    <w:rsid w:val="7267411C"/>
    <w:rsid w:val="730B4C41"/>
    <w:rsid w:val="733004E8"/>
    <w:rsid w:val="74D63B66"/>
    <w:rsid w:val="75E24C10"/>
    <w:rsid w:val="75FE00A6"/>
    <w:rsid w:val="777DDF7D"/>
    <w:rsid w:val="77BC1CF7"/>
    <w:rsid w:val="78F3014F"/>
    <w:rsid w:val="79A100AE"/>
    <w:rsid w:val="79EBD5CA"/>
    <w:rsid w:val="7AEB07E6"/>
    <w:rsid w:val="7B391BAC"/>
    <w:rsid w:val="7BE16E67"/>
    <w:rsid w:val="7C7D0788"/>
    <w:rsid w:val="7CC52146"/>
    <w:rsid w:val="7D2D7589"/>
    <w:rsid w:val="7DD95F42"/>
    <w:rsid w:val="7E2938A7"/>
    <w:rsid w:val="7E9006F1"/>
    <w:rsid w:val="7F127358"/>
    <w:rsid w:val="7F3E014D"/>
    <w:rsid w:val="7FCE14D1"/>
    <w:rsid w:val="B7E7B797"/>
    <w:rsid w:val="BDB23F8D"/>
    <w:rsid w:val="BF7FDE55"/>
    <w:rsid w:val="CBF1080B"/>
    <w:rsid w:val="DB9A3F28"/>
    <w:rsid w:val="DBBFC072"/>
    <w:rsid w:val="E2F9C939"/>
    <w:rsid w:val="E5DCABAF"/>
    <w:rsid w:val="E6E5EC94"/>
    <w:rsid w:val="F3FF9E39"/>
    <w:rsid w:val="F6DF739B"/>
    <w:rsid w:val="F7665751"/>
    <w:rsid w:val="F78E8928"/>
    <w:rsid w:val="FAFFFC6C"/>
    <w:rsid w:val="FBCEBB6B"/>
    <w:rsid w:val="FF592040"/>
    <w:rsid w:val="FFE7CD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仿宋_GB2312"/>
      <w:b/>
      <w:bCs/>
      <w:kern w:val="44"/>
      <w:sz w:val="44"/>
      <w:szCs w:val="44"/>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1"/>
    <w:qFormat/>
    <w:uiPriority w:val="0"/>
    <w:pPr>
      <w:spacing w:line="560" w:lineRule="exact"/>
      <w:ind w:firstLine="880" w:firstLineChars="200"/>
    </w:pPr>
    <w:rPr>
      <w:rFonts w:ascii="Calibri" w:hAnsi="Calibri" w:cs="Times New Roman"/>
    </w:rPr>
  </w:style>
  <w:style w:type="paragraph" w:styleId="7">
    <w:name w:val="Block Text"/>
    <w:basedOn w:val="1"/>
    <w:qFormat/>
    <w:uiPriority w:val="0"/>
    <w:pPr>
      <w:tabs>
        <w:tab w:val="left" w:pos="426"/>
      </w:tabs>
      <w:spacing w:after="120"/>
      <w:ind w:left="1440" w:leftChars="700" w:right="1440" w:rightChars="700"/>
    </w:pPr>
  </w:style>
  <w:style w:type="paragraph" w:styleId="8">
    <w:name w:val="toc 1"/>
    <w:basedOn w:val="1"/>
    <w:next w:val="1"/>
    <w:qFormat/>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4"/>
      <w:lang w:val="en-US" w:eastAsia="zh-CN"/>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4"/>
    <w:qFormat/>
    <w:uiPriority w:val="34"/>
    <w:pPr>
      <w:ind w:firstLine="420" w:firstLineChars="200"/>
    </w:pPr>
  </w:style>
  <w:style w:type="paragraph" w:customStyle="1" w:styleId="14">
    <w:name w:val="星耀正文"/>
    <w:basedOn w:val="1"/>
    <w:qFormat/>
    <w:uiPriority w:val="3"/>
    <w:pPr>
      <w:ind w:firstLine="422" w:firstLineChars="200"/>
    </w:pPr>
    <w:rPr>
      <w:rFonts w:ascii="宋体" w:hAnsi="宋体" w:eastAsia="仿宋_GB2312"/>
      <w:bCs/>
    </w:rPr>
  </w:style>
  <w:style w:type="paragraph" w:customStyle="1" w:styleId="15">
    <w:name w:val="USE 1"/>
    <w:basedOn w:val="1"/>
    <w:qFormat/>
    <w:uiPriority w:val="0"/>
    <w:pPr>
      <w:spacing w:line="200" w:lineRule="atLeast"/>
      <w:jc w:val="left"/>
    </w:pPr>
    <w:rPr>
      <w:rFonts w:ascii="宋体" w:hAnsi="宋体"/>
      <w:b/>
      <w:sz w:val="24"/>
      <w:szCs w:val="28"/>
    </w:rPr>
  </w:style>
  <w:style w:type="character" w:customStyle="1" w:styleId="16">
    <w:name w:val="font31"/>
    <w:basedOn w:val="12"/>
    <w:qFormat/>
    <w:uiPriority w:val="0"/>
    <w:rPr>
      <w:rFonts w:hint="eastAsia" w:ascii="楷体" w:hAnsi="楷体" w:eastAsia="楷体" w:cs="楷体"/>
      <w:b/>
      <w:bCs/>
      <w:color w:val="000000"/>
      <w:sz w:val="24"/>
      <w:szCs w:val="24"/>
      <w:u w:val="none"/>
    </w:rPr>
  </w:style>
  <w:style w:type="character" w:customStyle="1" w:styleId="17">
    <w:name w:val="font21"/>
    <w:basedOn w:val="12"/>
    <w:qFormat/>
    <w:uiPriority w:val="0"/>
    <w:rPr>
      <w:rFonts w:hint="eastAsia" w:ascii="楷体" w:hAnsi="楷体" w:eastAsia="楷体" w:cs="楷体"/>
      <w:color w:val="000000"/>
      <w:sz w:val="24"/>
      <w:szCs w:val="24"/>
      <w:u w:val="none"/>
    </w:rPr>
  </w:style>
  <w:style w:type="character" w:customStyle="1" w:styleId="18">
    <w:name w:val="font41"/>
    <w:basedOn w:val="12"/>
    <w:qFormat/>
    <w:uiPriority w:val="0"/>
    <w:rPr>
      <w:rFonts w:hint="eastAsia" w:ascii="楷体" w:hAnsi="楷体" w:eastAsia="楷体" w:cs="楷体"/>
      <w:b/>
      <w:bCs/>
      <w:color w:val="000000"/>
      <w:sz w:val="22"/>
      <w:szCs w:val="22"/>
      <w:u w:val="none"/>
    </w:rPr>
  </w:style>
  <w:style w:type="character" w:customStyle="1" w:styleId="19">
    <w:name w:val="font11"/>
    <w:basedOn w:val="12"/>
    <w:qFormat/>
    <w:uiPriority w:val="0"/>
    <w:rPr>
      <w:rFonts w:hint="eastAsia" w:ascii="楷体" w:hAnsi="楷体" w:eastAsia="楷体" w:cs="楷体"/>
      <w:color w:val="000000"/>
      <w:sz w:val="22"/>
      <w:szCs w:val="22"/>
      <w:u w:val="none"/>
    </w:rPr>
  </w:style>
  <w:style w:type="character" w:customStyle="1" w:styleId="20">
    <w:name w:val="font51"/>
    <w:basedOn w:val="12"/>
    <w:qFormat/>
    <w:uiPriority w:val="0"/>
    <w:rPr>
      <w:rFonts w:hint="eastAsia" w:ascii="楷体" w:hAnsi="楷体" w:eastAsia="楷体" w:cs="楷体"/>
      <w:b/>
      <w:bCs/>
      <w:color w:val="000000"/>
      <w:sz w:val="22"/>
      <w:szCs w:val="22"/>
      <w:u w:val="none"/>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仿宋" w:hAnsi="仿宋" w:eastAsia="仿宋" w:cs="仿宋"/>
      <w:sz w:val="15"/>
      <w:szCs w:val="15"/>
      <w:lang w:val="en-US" w:eastAsia="en-US" w:bidi="ar-SA"/>
    </w:rPr>
  </w:style>
  <w:style w:type="character" w:customStyle="1" w:styleId="23">
    <w:name w:val="font01"/>
    <w:basedOn w:val="12"/>
    <w:qFormat/>
    <w:uiPriority w:val="0"/>
    <w:rPr>
      <w:rFonts w:hint="eastAsia" w:ascii="宋体" w:hAnsi="宋体" w:eastAsia="宋体" w:cs="宋体"/>
      <w:b/>
      <w:color w:val="000000"/>
      <w:sz w:val="22"/>
      <w:szCs w:val="22"/>
      <w:u w:val="none"/>
    </w:rPr>
  </w:style>
  <w:style w:type="paragraph" w:customStyle="1" w:styleId="24">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25">
    <w:name w:val="font61"/>
    <w:basedOn w:val="12"/>
    <w:qFormat/>
    <w:uiPriority w:val="0"/>
    <w:rPr>
      <w:rFonts w:hint="eastAsia" w:ascii="楷体" w:hAnsi="楷体" w:eastAsia="楷体" w:cs="楷体"/>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2295</Words>
  <Characters>2520</Characters>
  <Lines>0</Lines>
  <Paragraphs>0</Paragraphs>
  <TotalTime>0</TotalTime>
  <ScaleCrop>false</ScaleCrop>
  <LinksUpToDate>false</LinksUpToDate>
  <CharactersWithSpaces>2551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2023-09-10T14:18:00Z</dcterms:created>
  <dc:creator>wtj-161</dc:creator>
  <cp:lastModifiedBy>lxy</cp:lastModifiedBy>
  <cp:lastPrinted>2023-09-25T01:49:00Z</cp:lastPrinted>
  <dcterms:modified xsi:type="dcterms:W3CDTF">2025-09-26T17:12:14Z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F316695A49734D40966D09DC6035C090_13</vt:lpwstr>
  </property>
  <property fmtid="{D5CDD505-2E9C-101B-9397-08002B2CF9AE}" pid="4" name="KSOTemplateDocerSaveRecord">
    <vt:lpwstr>eyJoZGlkIjoiMDA1ZTc4NWI2MTI2ZmY2NjQ4NDAwNjY2NzRiZTZkMzUiLCJ1c2VySWQiOiI0MDIzNTY2MTMifQ==</vt:lpwstr>
  </property>
</Properties>
</file>