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龙华文体中心竞赛场馆网络安全服务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项目需求书</w:t>
      </w:r>
    </w:p>
    <w:p>
      <w:pPr>
        <w:pStyle w:val="8"/>
        <w:spacing w:line="560" w:lineRule="exact"/>
        <w:jc w:val="center"/>
        <w:rPr>
          <w:rFonts w:ascii="方正小标宋简体" w:hAnsi="方正小标宋简体" w:eastAsia="方正小标宋简体" w:cs="方正小标宋简体"/>
          <w:spacing w:val="17"/>
          <w:sz w:val="44"/>
          <w:szCs w:val="44"/>
        </w:rPr>
      </w:pPr>
    </w:p>
    <w:p>
      <w:pPr>
        <w:tabs>
          <w:tab w:val="left" w:pos="1820"/>
        </w:tabs>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一、项目目标</w:t>
      </w:r>
    </w:p>
    <w:p>
      <w:pPr>
        <w:widowControl/>
        <w:spacing w:line="560" w:lineRule="exact"/>
        <w:ind w:firstLine="640" w:firstLineChars="200"/>
        <w:rPr>
          <w:rFonts w:hint="eastAsia" w:ascii="仿宋_GB2312" w:hAnsi="宋体" w:eastAsia="仿宋_GB2312" w:cs="仿宋_GB2312"/>
          <w:color w:val="000000"/>
          <w:kern w:val="0"/>
          <w:sz w:val="31"/>
          <w:szCs w:val="31"/>
          <w:lang w:bidi="ar"/>
        </w:rPr>
      </w:pPr>
      <w:r>
        <w:rPr>
          <w:rFonts w:hint="eastAsia" w:ascii="仿宋_GB2312" w:hAnsi="仿宋_GB2312" w:eastAsia="仿宋_GB2312" w:cs="仿宋_GB2312"/>
          <w:bCs/>
          <w:sz w:val="32"/>
          <w:szCs w:val="32"/>
        </w:rPr>
        <w:t>为切实做好第十五届全国运动会龙华文体中心竞赛场馆网络及信息系统的网络安全保障与应急处置工作，确保网络与信息系统安全稳定可靠运行，</w:t>
      </w:r>
      <w:r>
        <w:rPr>
          <w:rFonts w:ascii="仿宋_GB2312" w:hAnsi="宋体" w:eastAsia="仿宋_GB2312" w:cs="仿宋_GB2312"/>
          <w:color w:val="000000"/>
          <w:kern w:val="0"/>
          <w:sz w:val="31"/>
          <w:szCs w:val="31"/>
          <w:lang w:bidi="ar"/>
        </w:rPr>
        <w:t>结合深圳赛区网络</w:t>
      </w:r>
      <w:r>
        <w:rPr>
          <w:rFonts w:hint="eastAsia" w:ascii="仿宋_GB2312" w:hAnsi="宋体" w:eastAsia="仿宋_GB2312" w:cs="仿宋_GB2312"/>
          <w:color w:val="000000"/>
          <w:kern w:val="0"/>
          <w:sz w:val="31"/>
          <w:szCs w:val="31"/>
          <w:lang w:bidi="ar"/>
        </w:rPr>
        <w:t>安全保障工作实际，</w:t>
      </w:r>
      <w:r>
        <w:rPr>
          <w:rFonts w:hint="eastAsia" w:ascii="仿宋_GB2312" w:hAnsi="宋体" w:eastAsia="仿宋_GB2312" w:cs="仿宋_GB2312"/>
          <w:color w:val="000000"/>
          <w:kern w:val="0"/>
          <w:sz w:val="31"/>
          <w:szCs w:val="31"/>
          <w:lang w:val="en-US" w:eastAsia="zh-CN" w:bidi="ar"/>
        </w:rPr>
        <w:t>开展</w:t>
      </w:r>
      <w:r>
        <w:rPr>
          <w:rFonts w:hint="eastAsia" w:ascii="仿宋_GB2312" w:hAnsi="宋体" w:eastAsia="仿宋_GB2312" w:cs="仿宋_GB2312"/>
          <w:color w:val="000000"/>
          <w:kern w:val="0"/>
          <w:sz w:val="31"/>
          <w:szCs w:val="31"/>
          <w:lang w:bidi="ar"/>
        </w:rPr>
        <w:t>网络安全服务，有效提高场馆侧信息系统网络安全保障能力。</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二、服务时</w:t>
      </w:r>
      <w:r>
        <w:rPr>
          <w:rFonts w:hint="eastAsia" w:ascii="黑体" w:hAnsi="黑体" w:eastAsia="黑体" w:cs="黑体"/>
          <w:bCs/>
          <w:sz w:val="32"/>
          <w:szCs w:val="32"/>
          <w:lang w:eastAsia="zh-CN"/>
        </w:rPr>
        <w:t>长</w:t>
      </w:r>
    </w:p>
    <w:p>
      <w:pPr>
        <w:tabs>
          <w:tab w:val="left" w:pos="1820"/>
        </w:tabs>
        <w:snapToGrid w:val="0"/>
        <w:spacing w:line="560" w:lineRule="exact"/>
        <w:ind w:firstLine="640" w:firstLineChars="200"/>
        <w:rPr>
          <w:rFonts w:hint="eastAsia" w:ascii="仿宋_GB2312" w:hAnsi="仿宋_GB2312" w:eastAsia="仿宋_GB2312" w:cs="仿宋_GB2312"/>
          <w:color w:val="auto"/>
          <w:sz w:val="32"/>
          <w:szCs w:val="36"/>
          <w:lang w:val="en-US" w:eastAsia="zh-CN"/>
        </w:rPr>
      </w:pPr>
      <w:r>
        <w:rPr>
          <w:rFonts w:hint="eastAsia" w:ascii="仿宋_GB2312" w:hAnsi="仿宋_GB2312" w:eastAsia="仿宋_GB2312" w:cs="仿宋_GB2312"/>
          <w:color w:val="auto"/>
          <w:sz w:val="32"/>
          <w:szCs w:val="36"/>
          <w:lang w:val="en-US" w:eastAsia="zh-CN"/>
        </w:rPr>
        <w:t>2个月</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（一）项目内容</w:t>
      </w:r>
    </w:p>
    <w:p>
      <w:pPr>
        <w:pStyle w:val="5"/>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龙华文体中心竞赛场馆网络安全服务。</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（二）具体要求</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1.供应商必须提供完善资产清单、网络架构图、编制服务方案并输出整理完善后资产清单、网络架构图。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落实省、市执委会网络安全工作要求，检查网络安全风险隐患，并根据资产清单对信息系统（包括视频监控设备、操作系统、数据库、网络设备、主机设备、接口和应用系统等）进行隐患排查和检测扫描并输出漏洞扫描安全评估报告。</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3.安全加固。针对网络扫描发现的弱口令、漏洞等进行验证、修复与复查工作受到未预期的删除、修改或覆盖等。</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4.安排网络安全工程师进行现场值守服务工作，提供现场实时值守监测、分析研判、安全处置和追踪溯源等每日提交安全日志分析报告等。</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5.供应商自备网络安全设备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包括防火墙和态势感知等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做好办公网、设备网和无线网络边界防护</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入侵防范。遵循最小安装的原则，关闭不需要的系统服务、默认共享和高危端口，通过设定终端接入方式或网络地址范围，对通过网络进行管理的管理终端进行限制，应能够发现可能存在的已知漏洞，并在经过充分测试评估后及时修补漏洞</w:t>
      </w:r>
      <w:r>
        <w:rPr>
          <w:rFonts w:hint="eastAsia" w:ascii="仿宋_GB2312" w:hAnsi="仿宋_GB2312" w:eastAsia="仿宋_GB2312" w:cs="仿宋_GB2312"/>
          <w:kern w:val="0"/>
          <w:sz w:val="32"/>
          <w:szCs w:val="32"/>
          <w:lang w:eastAsia="zh-CN"/>
        </w:rPr>
        <w:t>。</w:t>
      </w:r>
    </w:p>
    <w:p>
      <w:pPr>
        <w:tabs>
          <w:tab w:val="left" w:pos="1820"/>
        </w:tabs>
        <w:snapToGrid w:val="0"/>
        <w:spacing w:line="560" w:lineRule="exact"/>
        <w:ind w:firstLine="640" w:firstLineChars="200"/>
        <w:rPr>
          <w:rFonts w:hint="eastAsia" w:ascii="仿宋_GB2312" w:hAnsi="仿宋_GB2312" w:eastAsia="仿宋_GB2312" w:cs="仿宋_GB2312"/>
          <w:color w:val="FF0000"/>
          <w:sz w:val="32"/>
          <w:szCs w:val="32"/>
        </w:rPr>
      </w:pPr>
      <w:r>
        <w:rPr>
          <w:rFonts w:hint="eastAsia" w:ascii="黑体" w:hAnsi="黑体" w:eastAsia="黑体" w:cs="黑体"/>
          <w:bCs/>
          <w:sz w:val="32"/>
          <w:szCs w:val="32"/>
        </w:rPr>
        <w:t>四、报价限额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22.89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6"/>
        </w:rPr>
        <w:t>，</w:t>
      </w:r>
      <w:r>
        <w:rPr>
          <w:rFonts w:hint="eastAsia" w:ascii="仿宋_GB2312" w:hAnsi="仿宋_GB2312" w:eastAsia="仿宋_GB2312" w:cs="仿宋_GB2312"/>
          <w:b/>
          <w:bCs/>
          <w:color w:val="auto"/>
          <w:sz w:val="32"/>
          <w:szCs w:val="32"/>
        </w:rPr>
        <w:t>项目报价表</w:t>
      </w:r>
      <w:r>
        <w:rPr>
          <w:rFonts w:hint="eastAsia" w:ascii="仿宋_GB2312" w:hAnsi="仿宋_GB2312" w:eastAsia="仿宋_GB2312" w:cs="仿宋_GB2312"/>
          <w:color w:val="auto"/>
          <w:sz w:val="32"/>
          <w:szCs w:val="32"/>
        </w:rPr>
        <w:t>需与下表保持一致：</w:t>
      </w:r>
    </w:p>
    <w:tbl>
      <w:tblPr>
        <w:tblStyle w:val="10"/>
        <w:tblW w:w="88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501"/>
        <w:gridCol w:w="4710"/>
        <w:gridCol w:w="900"/>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服务项目</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服务内容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sz w:val="21"/>
                <w:szCs w:val="21"/>
                <w:u w:val="none"/>
              </w:rPr>
            </w:pPr>
            <w:r>
              <w:rPr>
                <w:rFonts w:hint="eastAsia" w:ascii="仿宋_GB2312" w:hAnsi="等线" w:eastAsia="仿宋_GB2312" w:cs="仿宋_GB2312"/>
                <w:b/>
                <w:bCs/>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资产完善服务</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完善资产清单、网络架构图、编制服务方案等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网络扫描服务</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根据资产清单对信息系统（包括视频监控设备、操作系统、数据库、网络设备、主机设备、接口和应用系统等）进行隐患排查和检测扫描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3</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安全加固服务</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针对网络扫描发现的弱口令、漏洞等进行验证、修复与复查工作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4</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办公网、设备网和无线网络进行边界防护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5</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监测预警和入侵防范，对网络攻击行为进行检测、告警、分析和处置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6</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威胁监测与分析风险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7</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辅助对网络攻击进行判断、定位、响应和溯源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8</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基于资产、脆弱性、风险开展整体网络安全评估，出具风险评估报告及整改建议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9</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划分特定的管理区域，部分关键网络设备冗余。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10</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网络安全值守服务</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每天安排2名人员现场值守服务工作</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20</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11</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提供现场实时值守监测、分析研判、安全处置和追踪溯源等</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12</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熟悉防火墙安全策略配置、了解网络安全产品使用</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13</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sz w:val="21"/>
                <w:szCs w:val="21"/>
                <w:u w:val="none"/>
              </w:rPr>
            </w:pPr>
            <w:r>
              <w:rPr>
                <w:rFonts w:hint="eastAsia" w:ascii="仿宋_GB2312" w:hAnsi="等线" w:eastAsia="仿宋_GB2312" w:cs="仿宋_GB2312"/>
                <w:i w:val="0"/>
                <w:iCs w:val="0"/>
                <w:color w:val="auto"/>
                <w:kern w:val="0"/>
                <w:sz w:val="21"/>
                <w:szCs w:val="21"/>
                <w:u w:val="none"/>
                <w:lang w:val="en-US" w:eastAsia="zh-CN" w:bidi="ar"/>
              </w:rPr>
              <w:t>每日输出网络安全值守工作日报</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等线" w:eastAsia="仿宋_GB2312" w:cs="仿宋_GB2312"/>
                <w:i w:val="0"/>
                <w:iCs w:val="0"/>
                <w:color w:val="auto"/>
                <w:sz w:val="21"/>
                <w:szCs w:val="21"/>
                <w:u w:val="none"/>
                <w:lang w:val="en-US" w:eastAsia="zh-CN"/>
              </w:rPr>
            </w:pPr>
            <w:r>
              <w:rPr>
                <w:rFonts w:hint="eastAsia" w:ascii="仿宋_GB2312" w:hAnsi="等线" w:eastAsia="仿宋_GB2312" w:cs="仿宋_GB2312"/>
                <w:i w:val="0"/>
                <w:iCs w:val="0"/>
                <w:color w:val="auto"/>
                <w:sz w:val="21"/>
                <w:szCs w:val="21"/>
                <w:u w:val="none"/>
                <w:lang w:eastAsia="zh-CN"/>
              </w:rPr>
              <w:t>供应商报价：</w:t>
            </w:r>
            <w:r>
              <w:rPr>
                <w:rFonts w:hint="eastAsia" w:ascii="仿宋_GB2312" w:hAnsi="等线" w:eastAsia="仿宋_GB2312" w:cs="仿宋_GB2312"/>
                <w:i w:val="0"/>
                <w:iCs w:val="0"/>
                <w:color w:val="auto"/>
                <w:sz w:val="21"/>
                <w:szCs w:val="21"/>
                <w:u w:val="single"/>
                <w:lang w:val="en-US" w:eastAsia="zh-CN"/>
              </w:rPr>
              <w:t xml:space="preserve">            </w:t>
            </w:r>
            <w:r>
              <w:rPr>
                <w:rFonts w:hint="eastAsia" w:ascii="仿宋_GB2312" w:hAnsi="等线" w:eastAsia="仿宋_GB2312" w:cs="仿宋_GB2312"/>
                <w:i w:val="0"/>
                <w:iCs w:val="0"/>
                <w:color w:val="auto"/>
                <w:sz w:val="21"/>
                <w:szCs w:val="21"/>
                <w:u w:val="none"/>
                <w:lang w:val="en-US" w:eastAsia="zh-CN"/>
              </w:rPr>
              <w:t>元</w:t>
            </w:r>
          </w:p>
        </w:tc>
      </w:tr>
    </w:tbl>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3"/>
        <w:spacing w:line="560" w:lineRule="exact"/>
        <w:ind w:firstLine="640"/>
        <w:rPr>
          <w:rFonts w:ascii="仿宋_GB2312" w:hAnsi="仿宋" w:cs="仿宋"/>
          <w:sz w:val="32"/>
          <w:szCs w:val="32"/>
        </w:rPr>
      </w:pPr>
      <w:r>
        <w:rPr>
          <w:rFonts w:hint="eastAsia" w:ascii="仿宋_GB2312" w:hAnsi="仿宋" w:cs="仿宋"/>
          <w:sz w:val="32"/>
          <w:szCs w:val="32"/>
        </w:rPr>
        <w:t>（一）在中国境内注册的独立法人或其他组织（提供营业执照、事业法人证书、社会团体法人登记证书等扫描件）；</w:t>
      </w:r>
    </w:p>
    <w:p>
      <w:pPr>
        <w:pStyle w:val="13"/>
        <w:spacing w:line="560" w:lineRule="exact"/>
        <w:ind w:firstLine="640"/>
        <w:rPr>
          <w:rFonts w:hint="eastAsia" w:ascii="仿宋_GB2312" w:hAnsi="仿宋" w:eastAsia="仿宋_GB2312" w:cs="仿宋"/>
          <w:sz w:val="32"/>
          <w:szCs w:val="32"/>
          <w:lang w:eastAsia="zh-CN"/>
        </w:rPr>
      </w:pPr>
      <w:r>
        <w:rPr>
          <w:rFonts w:hint="eastAsia" w:ascii="仿宋_GB2312" w:hAnsi="仿宋"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cs="仿宋"/>
          <w:sz w:val="32"/>
          <w:szCs w:val="32"/>
          <w:lang w:eastAsia="zh-CN"/>
        </w:rPr>
        <w:t>；</w:t>
      </w:r>
    </w:p>
    <w:p>
      <w:pPr>
        <w:pStyle w:val="13"/>
        <w:spacing w:line="560" w:lineRule="exact"/>
        <w:ind w:firstLine="640"/>
        <w:rPr>
          <w:rFonts w:hint="eastAsia" w:ascii="仿宋_GB2312" w:hAnsi="仿宋" w:eastAsia="仿宋_GB2312" w:cs="仿宋"/>
          <w:sz w:val="32"/>
          <w:szCs w:val="32"/>
          <w:lang w:eastAsia="zh-CN"/>
        </w:rPr>
      </w:pPr>
      <w:r>
        <w:rPr>
          <w:rFonts w:hint="eastAsia" w:ascii="仿宋_GB2312" w:hAnsi="仿宋" w:cs="仿宋"/>
          <w:sz w:val="32"/>
          <w:szCs w:val="32"/>
        </w:rPr>
        <w:t>（三）不同供应商的法定代表人、主要经营负责人、项目投标授权代表人、项目负责人、主要技术人员不得为同一人、属同一单位或者在同一单位缴纳社会保险；不同投标供应商的投标文件不得由同一单位或者同一人编制</w:t>
      </w:r>
      <w:r>
        <w:rPr>
          <w:rFonts w:hint="eastAsia" w:ascii="仿宋_GB2312" w:hAnsi="仿宋" w:cs="仿宋"/>
          <w:sz w:val="32"/>
          <w:szCs w:val="32"/>
          <w:lang w:eastAsia="zh-CN"/>
        </w:rPr>
        <w:t>；</w:t>
      </w:r>
      <w:r>
        <w:rPr>
          <w:rFonts w:hint="eastAsia" w:ascii="仿宋_GB2312" w:hAnsi="仿宋" w:cs="仿宋"/>
          <w:sz w:val="32"/>
          <w:szCs w:val="32"/>
        </w:rPr>
        <w:t>单位负责人为同一人或者存在直接控股、管理关系的不同供应商，不得同时参加本项目的采购活动</w:t>
      </w:r>
      <w:r>
        <w:rPr>
          <w:rFonts w:hint="eastAsia" w:ascii="仿宋_GB2312" w:hAnsi="仿宋" w:cs="仿宋"/>
          <w:sz w:val="32"/>
          <w:szCs w:val="32"/>
          <w:lang w:eastAsia="zh-CN"/>
        </w:rPr>
        <w:t>。</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六、选定供应商方法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综合评分法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七、评分要求</w:t>
      </w:r>
    </w:p>
    <w:p>
      <w:pPr>
        <w:pStyle w:val="15"/>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5"/>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0"/>
        <w:tblW w:w="8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center"/>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pStyle w:val="15"/>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商务部分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pStyle w:val="15"/>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技术部分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25</w:t>
            </w:r>
            <w:r>
              <w:rPr>
                <w:rFonts w:hint="eastAsia" w:ascii="仿宋_GB2312" w:hAnsi="仿宋_GB2312" w:eastAsia="仿宋_GB2312" w:cs="仿宋_GB2312"/>
                <w:b w:val="0"/>
                <w:bCs/>
                <w:szCs w:val="24"/>
              </w:rPr>
              <w:t>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45</w:t>
            </w:r>
            <w:r>
              <w:rPr>
                <w:rFonts w:hint="eastAsia" w:ascii="仿宋_GB2312" w:hAnsi="仿宋_GB2312" w:eastAsia="仿宋_GB2312" w:cs="仿宋_GB2312"/>
                <w:b w:val="0"/>
                <w:bCs/>
                <w:szCs w:val="24"/>
              </w:rPr>
              <w:t>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15"/>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15"/>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92"/>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31" w:type="dxa"/>
            <w:gridSpan w:val="3"/>
            <w:noWrap w:val="0"/>
            <w:vAlign w:val="center"/>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报价</w:t>
            </w:r>
          </w:p>
          <w:p>
            <w:pP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12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评分因素</w:t>
            </w:r>
          </w:p>
        </w:tc>
        <w:tc>
          <w:tcPr>
            <w:tcW w:w="6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noWrap w:val="0"/>
            <w:vAlign w:val="top"/>
          </w:tcPr>
          <w:p>
            <w:pPr>
              <w:rPr>
                <w:rFonts w:hint="eastAsia" w:ascii="仿宋_GB2312" w:hAnsi="仿宋_GB2312" w:eastAsia="仿宋_GB2312" w:cs="仿宋_GB2312"/>
                <w:sz w:val="24"/>
              </w:rPr>
            </w:pPr>
          </w:p>
        </w:tc>
        <w:tc>
          <w:tcPr>
            <w:tcW w:w="1292" w:type="dxa"/>
            <w:noWrap w:val="0"/>
            <w:vAlign w:val="center"/>
          </w:tcPr>
          <w:p>
            <w:pPr>
              <w:topLinePunct/>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价格</w:t>
            </w:r>
          </w:p>
        </w:tc>
        <w:tc>
          <w:tcPr>
            <w:tcW w:w="6351" w:type="dxa"/>
            <w:noWrap w:val="0"/>
            <w:vAlign w:val="center"/>
          </w:tcPr>
          <w:p>
            <w:pPr>
              <w:topLinePunct/>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31" w:type="dxa"/>
            <w:gridSpan w:val="3"/>
            <w:noWrap w:val="0"/>
            <w:vAlign w:val="top"/>
          </w:tcPr>
          <w:p>
            <w:pPr>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商务</w:t>
            </w:r>
          </w:p>
          <w:p>
            <w:pPr>
              <w:pStyle w:val="5"/>
              <w:jc w:val="center"/>
              <w:rPr>
                <w:rFonts w:hint="eastAsia" w:ascii="仿宋_GB2312" w:hAnsi="仿宋_GB2312" w:eastAsia="仿宋_GB2312" w:cs="仿宋_GB2312"/>
                <w:sz w:val="24"/>
              </w:rPr>
            </w:pPr>
            <w:r>
              <w:rPr>
                <w:rFonts w:hint="eastAsia" w:ascii="仿宋_GB2312" w:hAnsi="仿宋_GB2312" w:eastAsia="仿宋_GB2312" w:cs="仿宋_GB2312"/>
                <w:sz w:val="24"/>
              </w:rPr>
              <w:t>部分</w:t>
            </w:r>
          </w:p>
          <w:p>
            <w:pPr>
              <w:pStyle w:val="5"/>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分）</w:t>
            </w:r>
          </w:p>
        </w:tc>
        <w:tc>
          <w:tcPr>
            <w:tcW w:w="12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评分因素</w:t>
            </w:r>
          </w:p>
        </w:tc>
        <w:tc>
          <w:tcPr>
            <w:tcW w:w="6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noWrap w:val="0"/>
            <w:vAlign w:val="top"/>
          </w:tcPr>
          <w:p>
            <w:pPr>
              <w:rPr>
                <w:rFonts w:hint="eastAsia" w:ascii="仿宋_GB2312" w:hAnsi="仿宋_GB2312" w:eastAsia="仿宋_GB2312" w:cs="仿宋_GB2312"/>
                <w:sz w:val="24"/>
              </w:rPr>
            </w:pPr>
          </w:p>
        </w:tc>
        <w:tc>
          <w:tcPr>
            <w:tcW w:w="12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同类项目经验（10分）</w:t>
            </w:r>
          </w:p>
        </w:tc>
        <w:tc>
          <w:tcPr>
            <w:tcW w:w="6351" w:type="dxa"/>
            <w:noWrap w:val="0"/>
            <w:vAlign w:val="top"/>
          </w:tcPr>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（一）评审内容：</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投标人自2022年1月1日至本项目投标截止日（以合同签订日期为准），每提供一项同类项目业绩得5分，最高得10分。</w:t>
            </w:r>
          </w:p>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（二）评审依据：</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合同关键页（关键信息包括但不仅限于合同的项目名称、服务内容、合同服务的起止时间、合同双方的盖章、签订日期等）；</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noWrap w:val="0"/>
            <w:vAlign w:val="top"/>
          </w:tcPr>
          <w:p>
            <w:pPr>
              <w:rPr>
                <w:rFonts w:hint="eastAsia" w:ascii="仿宋_GB2312" w:hAnsi="仿宋_GB2312" w:eastAsia="仿宋_GB2312" w:cs="仿宋_GB2312"/>
                <w:sz w:val="24"/>
              </w:rPr>
            </w:pPr>
          </w:p>
        </w:tc>
        <w:tc>
          <w:tcPr>
            <w:tcW w:w="1292" w:type="dxa"/>
            <w:noWrap w:val="0"/>
            <w:vAlign w:val="center"/>
          </w:tcPr>
          <w:p>
            <w:pPr>
              <w:topLinePunct/>
              <w:snapToGrid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拟安排项目成员</w:t>
            </w:r>
          </w:p>
          <w:p>
            <w:pPr>
              <w:topLinePunct/>
              <w:snapToGrid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分）</w:t>
            </w:r>
          </w:p>
        </w:tc>
        <w:tc>
          <w:tcPr>
            <w:tcW w:w="6351" w:type="dxa"/>
            <w:noWrap w:val="0"/>
            <w:vAlign w:val="center"/>
          </w:tcPr>
          <w:p>
            <w:pPr>
              <w:numPr>
                <w:ilvl w:val="0"/>
                <w:numId w:val="1"/>
              </w:numPr>
              <w:topLinePunct/>
              <w:snapToGrid w:val="0"/>
              <w:jc w:val="left"/>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评审内容</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投标人拟安排的项目成员均需为投标人自有员工，否则本项不得分，在此基础上：</w:t>
            </w:r>
          </w:p>
          <w:p>
            <w:pPr>
              <w:numPr>
                <w:ilvl w:val="-1"/>
                <w:numId w:val="0"/>
              </w:numP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拟安排</w:t>
            </w:r>
            <w:r>
              <w:rPr>
                <w:rFonts w:hint="eastAsia" w:ascii="仿宋_GB2312" w:hAnsi="仿宋_GB2312" w:eastAsia="仿宋_GB2312" w:cs="仿宋_GB2312"/>
                <w:sz w:val="24"/>
                <w:highlight w:val="none"/>
                <w:lang w:eastAsia="zh-CN"/>
              </w:rPr>
              <w:t>项目团队成员本科或以上得</w:t>
            </w:r>
            <w:r>
              <w:rPr>
                <w:rFonts w:hint="eastAsia" w:ascii="仿宋_GB2312" w:hAnsi="仿宋_GB2312" w:eastAsia="仿宋_GB2312" w:cs="仿宋_GB2312"/>
                <w:sz w:val="24"/>
                <w:highlight w:val="none"/>
                <w:lang w:val="en-US" w:eastAsia="zh-CN"/>
              </w:rPr>
              <w:t>1分；本小项最高2分。</w:t>
            </w:r>
          </w:p>
          <w:p>
            <w:pPr>
              <w:numPr>
                <w:ilvl w:val="-1"/>
                <w:numId w:val="0"/>
              </w:num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具有H3CIE或HCIE高级工程师证书得</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分</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具有HCIP/H3CSE中级证书得1分</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本小项最高得</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分</w:t>
            </w:r>
          </w:p>
          <w:p>
            <w:pPr>
              <w:numPr>
                <w:ilvl w:val="-1"/>
                <w:numId w:val="0"/>
              </w:numPr>
              <w:rPr>
                <w:rFonts w:hint="eastAsia" w:ascii="仿宋_GB2312" w:hAnsi="仿宋_GB2312" w:eastAsia="仿宋_GB2312" w:cs="仿宋_GB2312"/>
                <w:sz w:val="24"/>
                <w:highlight w:val="none"/>
              </w:rPr>
            </w:pPr>
            <w:r>
              <w:rPr>
                <w:rFonts w:hint="eastAsia" w:ascii="仿宋_GB2312" w:hAnsi="仿宋_GB2312" w:eastAsia="仿宋_GB2312" w:cs="仿宋_GB2312"/>
                <w:sz w:val="24"/>
              </w:rPr>
              <w:t>同一人员满足多项要求的，</w:t>
            </w:r>
            <w:r>
              <w:rPr>
                <w:rFonts w:hint="eastAsia" w:ascii="仿宋_GB2312" w:hAnsi="仿宋_GB2312" w:eastAsia="仿宋_GB2312" w:cs="仿宋_GB2312"/>
                <w:sz w:val="24"/>
                <w:lang w:eastAsia="zh-CN"/>
              </w:rPr>
              <w:t>可</w:t>
            </w:r>
            <w:r>
              <w:rPr>
                <w:rFonts w:hint="eastAsia" w:ascii="仿宋_GB2312" w:hAnsi="仿宋_GB2312" w:eastAsia="仿宋_GB2312" w:cs="仿宋_GB2312"/>
                <w:sz w:val="24"/>
              </w:rPr>
              <w:t>重复计分。</w:t>
            </w:r>
          </w:p>
          <w:p>
            <w:pP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（二）评分依据：</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1.【自有员工证明材料】要求提供通过投标人缴纳的近三个月（2025年</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月-2025年</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highlight w:val="none"/>
              </w:rPr>
              <w:t>月）的任意一个月的社保证明作为本单位员工的证明依据。若供应商成立不足一个月或人员入职不足一个月的，需提供情况说明函（格式自拟）证明拟投入的人员为其自有员工，无需提供相关人员社保，亦可得分。</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2.【证明材料】提供人员相关证书扫描件；</w:t>
            </w:r>
          </w:p>
          <w:p>
            <w:pPr>
              <w:topLinePunct/>
              <w:snapToGrid w:val="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3.如未按要求提供证明材料，或所提供的证明材料未能体现上述评分内容的，该证明材料视为无效。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noWrap w:val="0"/>
            <w:vAlign w:val="top"/>
          </w:tcPr>
          <w:p>
            <w:pPr>
              <w:rPr>
                <w:rFonts w:hint="eastAsia" w:ascii="仿宋_GB2312" w:hAnsi="仿宋_GB2312" w:eastAsia="仿宋_GB2312" w:cs="仿宋_GB2312"/>
                <w:sz w:val="24"/>
              </w:rPr>
            </w:pPr>
          </w:p>
        </w:tc>
        <w:tc>
          <w:tcPr>
            <w:tcW w:w="1292" w:type="dxa"/>
            <w:noWrap w:val="0"/>
            <w:vAlign w:val="center"/>
          </w:tcPr>
          <w:p>
            <w:pPr>
              <w:topLinePunct/>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诚信</w:t>
            </w:r>
          </w:p>
          <w:p>
            <w:pPr>
              <w:topLinePunct/>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承诺</w:t>
            </w:r>
          </w:p>
          <w:p>
            <w:pPr>
              <w:topLinePunct/>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6351" w:type="dxa"/>
            <w:noWrap w:val="0"/>
            <w:vAlign w:val="top"/>
          </w:tcPr>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（一）评审内容：</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投标人在参与政府采购活动中出现诚信相关问题且在相关主管部门处理措施实施期限内的本项不得分，否则得满分。</w:t>
            </w:r>
          </w:p>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（二）评审依据：</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投标人需按招标文件格式要求提供《诚信承诺函》，详见附件1，不提供不得分。如被认定提供的陈述与事实不符的，依法追究其责任。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noWrap w:val="0"/>
            <w:vAlign w:val="top"/>
          </w:tcPr>
          <w:p>
            <w:pPr>
              <w:rPr>
                <w:rFonts w:hint="eastAsia" w:ascii="仿宋_GB2312" w:hAnsi="仿宋_GB2312" w:eastAsia="仿宋_GB2312" w:cs="仿宋_GB2312"/>
                <w:sz w:val="24"/>
              </w:rPr>
            </w:pPr>
          </w:p>
        </w:tc>
        <w:tc>
          <w:tcPr>
            <w:tcW w:w="12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违约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承诺</w:t>
            </w:r>
          </w:p>
          <w:p>
            <w:pPr>
              <w:pStyle w:val="5"/>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6351" w:type="dxa"/>
            <w:noWrap w:val="0"/>
            <w:vAlign w:val="top"/>
          </w:tcPr>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（一）评审内容：</w:t>
            </w:r>
          </w:p>
          <w:p>
            <w:pPr>
              <w:rPr>
                <w:rFonts w:hint="eastAsia" w:ascii="仿宋_GB2312" w:hAnsi="仿宋_GB2312" w:eastAsia="仿宋_GB2312" w:cs="仿宋_GB2312"/>
                <w:sz w:val="24"/>
              </w:rPr>
            </w:pPr>
            <w:r>
              <w:rPr>
                <w:rFonts w:hint="eastAsia" w:ascii="仿宋_GB2312" w:hAnsi="仿宋_GB2312" w:eastAsia="仿宋_GB2312" w:cs="仿宋_GB2312"/>
                <w:sz w:val="24"/>
              </w:rPr>
              <w:t>根据针对本项目做出的违约承诺，考察包括但不限于以下内容：</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1.严格按照招标文件及投标承诺履行义务；</w:t>
            </w:r>
          </w:p>
          <w:p>
            <w:pPr>
              <w:rPr>
                <w:rFonts w:hint="eastAsia" w:ascii="仿宋_GB2312" w:hAnsi="仿宋_GB2312" w:eastAsia="仿宋_GB2312" w:cs="仿宋_GB2312"/>
                <w:sz w:val="24"/>
              </w:rPr>
            </w:pPr>
            <w:r>
              <w:rPr>
                <w:rFonts w:hint="eastAsia" w:ascii="仿宋_GB2312" w:hAnsi="仿宋_GB2312" w:eastAsia="仿宋_GB2312" w:cs="仿宋_GB2312"/>
                <w:sz w:val="24"/>
              </w:rPr>
              <w:t>2.合同履行期间如若违约，由此造成的损失由投标人承担。</w:t>
            </w:r>
          </w:p>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（二）评审依据：</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提供违约承诺函（格式自拟）并加盖投标人公章，未提供承诺或承诺内容不满足要求不得分。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1" w:type="dxa"/>
            <w:gridSpan w:val="3"/>
            <w:noWrap w:val="0"/>
            <w:vAlign w:val="top"/>
          </w:tcPr>
          <w:p>
            <w:pPr>
              <w:tabs>
                <w:tab w:val="center" w:pos="4107"/>
                <w:tab w:val="left" w:pos="5892"/>
              </w:tabs>
              <w:jc w:val="left"/>
              <w:rPr>
                <w:rFonts w:hint="eastAsia" w:ascii="仿宋_GB2312" w:hAnsi="仿宋_GB2312" w:eastAsia="仿宋_GB2312" w:cs="仿宋_GB2312"/>
                <w:b/>
                <w:bCs/>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技术部分（4</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p>
        </w:tc>
        <w:tc>
          <w:tcPr>
            <w:tcW w:w="12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实施</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方案</w:t>
            </w:r>
          </w:p>
          <w:p>
            <w:pPr>
              <w:pStyle w:val="5"/>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p>
        </w:tc>
        <w:tc>
          <w:tcPr>
            <w:tcW w:w="6351" w:type="dxa"/>
            <w:noWrap w:val="0"/>
            <w:vAlign w:val="top"/>
          </w:tcPr>
          <w:p>
            <w:pPr>
              <w:numPr>
                <w:ilvl w:val="0"/>
                <w:numId w:val="2"/>
              </w:num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评审内容：</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投标人针对本项目，提供服务方案。包括但不限于：</w:t>
            </w:r>
          </w:p>
          <w:p>
            <w:pPr>
              <w:widowControl/>
              <w:rPr>
                <w:rFonts w:hint="eastAsia" w:ascii="仿宋_GB2312" w:hAnsi="仿宋_GB2312" w:eastAsia="仿宋_GB2312" w:cs="仿宋_GB2312"/>
                <w:sz w:val="24"/>
              </w:rPr>
            </w:pPr>
            <w:r>
              <w:rPr>
                <w:rFonts w:hint="eastAsia" w:ascii="仿宋_GB2312" w:hAnsi="仿宋_GB2312" w:eastAsia="仿宋_GB2312" w:cs="仿宋_GB2312"/>
                <w:sz w:val="24"/>
              </w:rPr>
              <w:t>1.项目概述；</w:t>
            </w:r>
          </w:p>
          <w:p>
            <w:pPr>
              <w:widowControl/>
              <w:rPr>
                <w:rFonts w:hint="eastAsia" w:ascii="仿宋_GB2312" w:hAnsi="仿宋_GB2312" w:eastAsia="仿宋_GB2312" w:cs="仿宋_GB2312"/>
                <w:sz w:val="24"/>
              </w:rPr>
            </w:pPr>
            <w:r>
              <w:rPr>
                <w:rFonts w:hint="eastAsia" w:ascii="仿宋_GB2312" w:hAnsi="仿宋_GB2312" w:eastAsia="仿宋_GB2312" w:cs="仿宋_GB2312"/>
                <w:sz w:val="24"/>
              </w:rPr>
              <w:t>2.工作分析；</w:t>
            </w:r>
          </w:p>
          <w:p>
            <w:pPr>
              <w:widowControl/>
              <w:rPr>
                <w:rFonts w:hint="eastAsia" w:ascii="仿宋_GB2312" w:hAnsi="仿宋_GB2312" w:eastAsia="仿宋_GB2312" w:cs="仿宋_GB2312"/>
                <w:sz w:val="24"/>
              </w:rPr>
            </w:pPr>
            <w:r>
              <w:rPr>
                <w:rFonts w:hint="eastAsia" w:ascii="仿宋_GB2312" w:hAnsi="仿宋_GB2312" w:eastAsia="仿宋_GB2312" w:cs="仿宋_GB2312"/>
                <w:sz w:val="24"/>
              </w:rPr>
              <w:t>3.服务内容；</w:t>
            </w:r>
          </w:p>
          <w:p>
            <w:pPr>
              <w:widowControl/>
              <w:rPr>
                <w:rFonts w:hint="eastAsia" w:ascii="仿宋_GB2312" w:hAnsi="仿宋_GB2312" w:eastAsia="仿宋_GB2312" w:cs="仿宋_GB2312"/>
                <w:sz w:val="24"/>
              </w:rPr>
            </w:pPr>
            <w:r>
              <w:rPr>
                <w:rFonts w:hint="eastAsia" w:ascii="仿宋_GB2312" w:hAnsi="仿宋_GB2312" w:eastAsia="仿宋_GB2312" w:cs="仿宋_GB2312"/>
                <w:sz w:val="24"/>
              </w:rPr>
              <w:t>4.团队安排。</w:t>
            </w:r>
          </w:p>
          <w:p>
            <w:pPr>
              <w:topLinePunct/>
              <w:snapToGrid w:val="0"/>
              <w:jc w:val="left"/>
              <w:rPr>
                <w:rFonts w:hint="eastAsia" w:ascii="仿宋_GB2312" w:hAnsi="仿宋_GB2312" w:eastAsia="仿宋_GB2312" w:cs="仿宋_GB2312"/>
                <w:sz w:val="24"/>
              </w:rPr>
            </w:pPr>
            <w:r>
              <w:rPr>
                <w:rFonts w:hint="eastAsia" w:ascii="仿宋_GB2312" w:hAnsi="仿宋_GB2312" w:eastAsia="仿宋_GB2312" w:cs="仿宋_GB2312"/>
                <w:b/>
                <w:bCs/>
                <w:sz w:val="24"/>
              </w:rPr>
              <w:t>（二）评审依据：</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满足以上任意一项要求得</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分，最高得</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分，在此基础上。根据各供应商的具体响应内容按照量化的评审因素指标进一步评审，设定优、良、中、差四个评分标准：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1.优：项目实施方案内容全面、具体、针对性强、科学合理、可操作性强得</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2.良：项目实施方案内容较全面、较具体、针对性较强、较科学合理、可操作性较强得</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3.中：项目实施方案内容较基本全面、一般具体、针对性一般、一般科学合理、可操作性一般得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noWrap w:val="0"/>
            <w:vAlign w:val="top"/>
          </w:tcPr>
          <w:p>
            <w:pPr>
              <w:rPr>
                <w:rFonts w:hint="eastAsia" w:ascii="仿宋_GB2312" w:hAnsi="仿宋_GB2312" w:eastAsia="仿宋_GB2312" w:cs="仿宋_GB2312"/>
                <w:sz w:val="24"/>
              </w:rPr>
            </w:pPr>
          </w:p>
        </w:tc>
        <w:tc>
          <w:tcPr>
            <w:tcW w:w="1292"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项目重点难点分析、应对措施及相关的合理化建议</w:t>
            </w:r>
          </w:p>
          <w:p>
            <w:pPr>
              <w:rPr>
                <w:rFonts w:hint="eastAsia" w:ascii="仿宋_GB2312" w:hAnsi="仿宋_GB2312" w:eastAsia="仿宋_GB2312" w:cs="仿宋_GB2312"/>
                <w:sz w:val="24"/>
              </w:rPr>
            </w:pPr>
            <w:r>
              <w:rPr>
                <w:rFonts w:hint="eastAsia" w:ascii="仿宋_GB2312" w:hAnsi="仿宋_GB2312" w:eastAsia="仿宋_GB2312" w:cs="仿宋_GB2312"/>
                <w:sz w:val="24"/>
              </w:rPr>
              <w:t>（20分）</w:t>
            </w:r>
          </w:p>
        </w:tc>
        <w:tc>
          <w:tcPr>
            <w:tcW w:w="6351" w:type="dxa"/>
            <w:noWrap w:val="0"/>
            <w:vAlign w:val="top"/>
          </w:tcPr>
          <w:p>
            <w:pPr>
              <w:topLinePunct/>
              <w:snapToGrid w:val="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（一）评审内容：</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对投标人提供的项目重点难点分析、应对措施及相关的合理化建议进行评价，内容包括：</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1.投标人对项目重点难点进行分析；</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2.制定合理有效应对措施并提出相关合理化建议；</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3.熟悉项目工作内容和流程,并针对安全保障、突发事件、应急预案等的应对措施及合理化建议。</w:t>
            </w:r>
          </w:p>
          <w:p>
            <w:pPr>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（二）评审依据：</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满足以上任意一项要求得4分，最高得12分，在此基础上。根据各供应商的具体响应内容按照量化的评审因素指标进一步评审，设定优、良、中、差四个评分标准：：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1.优：方案合理、条理清晰、可操作强的，得8分；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2.良：方案较合理、条理较清晰、可操作较强的，得4分；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3.中：方案一般合理、条理一般、可操作一般的，得2分；</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4.差：方案不合理、条理不清晰、可操作性极差的，得0分。</w:t>
            </w:r>
          </w:p>
        </w:tc>
      </w:tr>
    </w:tbl>
    <w:p>
      <w:pPr>
        <w:pStyle w:val="15"/>
        <w:spacing w:line="5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color w:val="FF0000"/>
          <w:sz w:val="32"/>
          <w:szCs w:val="32"/>
        </w:rPr>
        <w:t>（均需每页加盖公章）</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1.营业执照、事业法人证书、社会团体法人登记证书；</w:t>
      </w:r>
    </w:p>
    <w:p>
      <w:pPr>
        <w:spacing w:line="560" w:lineRule="exact"/>
        <w:ind w:firstLine="640" w:firstLineChars="200"/>
        <w:rPr>
          <w:sz w:val="32"/>
          <w:szCs w:val="32"/>
        </w:rPr>
      </w:pPr>
      <w:r>
        <w:rPr>
          <w:rFonts w:hint="eastAsia" w:ascii="仿宋_GB2312" w:hAnsi="仿宋" w:eastAsia="仿宋_GB2312"/>
          <w:sz w:val="32"/>
          <w:szCs w:val="32"/>
        </w:rPr>
        <w:t>2.法定代表人身份证复印件；</w:t>
      </w:r>
    </w:p>
    <w:p>
      <w:pPr>
        <w:pStyle w:val="7"/>
        <w:spacing w:after="0" w:line="560" w:lineRule="exact"/>
        <w:ind w:left="0" w:leftChars="0" w:right="0" w:rightChars="0" w:firstLine="640"/>
        <w:rPr>
          <w:rFonts w:ascii="仿宋_GB2312" w:hAnsi="仿宋" w:eastAsia="仿宋_GB2312"/>
          <w:sz w:val="32"/>
        </w:rPr>
      </w:pPr>
      <w:r>
        <w:rPr>
          <w:rFonts w:hint="eastAsia" w:ascii="仿宋_GB2312" w:hAnsi="仿宋" w:eastAsia="仿宋_GB2312"/>
          <w:sz w:val="32"/>
        </w:rPr>
        <w:t>3.项目报价表</w:t>
      </w:r>
      <w:r>
        <w:rPr>
          <w:rFonts w:hint="eastAsia" w:ascii="仿宋_GB2312" w:hAnsi="仿宋" w:eastAsia="仿宋_GB2312"/>
          <w:b/>
          <w:bCs/>
          <w:sz w:val="32"/>
        </w:rPr>
        <w:t>（需按格式提供）</w:t>
      </w:r>
      <w:r>
        <w:rPr>
          <w:rFonts w:hint="eastAsia" w:ascii="仿宋_GB2312" w:hAnsi="仿宋" w:eastAsia="仿宋_GB2312"/>
          <w:sz w:val="32"/>
        </w:rPr>
        <w:t>；</w:t>
      </w:r>
    </w:p>
    <w:p>
      <w:pPr>
        <w:pStyle w:val="7"/>
        <w:spacing w:after="0" w:line="560" w:lineRule="exact"/>
        <w:ind w:left="0" w:leftChars="0" w:right="0" w:rightChars="0" w:firstLine="640"/>
        <w:rPr>
          <w:rFonts w:ascii="仿宋_GB2312" w:hAnsi="仿宋" w:eastAsia="仿宋_GB2312"/>
          <w:sz w:val="32"/>
        </w:rPr>
      </w:pPr>
      <w:r>
        <w:rPr>
          <w:rFonts w:hint="eastAsia" w:ascii="仿宋_GB2312" w:hAnsi="仿宋" w:eastAsia="仿宋_GB2312"/>
          <w:sz w:val="32"/>
        </w:rPr>
        <w:t>4.评分规则所需资料（同类业绩证明、方案等）；</w:t>
      </w:r>
    </w:p>
    <w:p>
      <w:pPr>
        <w:pStyle w:val="7"/>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5.填写《供应商基本情况表》（加盖公章，详见附件2）并提供表中涉及人员的近三个月社保缴纳情况，如供应商为新成立企业且成立时间不足</w:t>
      </w:r>
      <w:r>
        <w:rPr>
          <w:rFonts w:hint="eastAsia" w:ascii="仿宋_GB2312" w:hAnsi="仿宋" w:eastAsia="仿宋_GB2312"/>
          <w:sz w:val="32"/>
          <w:lang w:val="en-US" w:eastAsia="zh-CN"/>
        </w:rPr>
        <w:t>3</w:t>
      </w:r>
      <w:r>
        <w:rPr>
          <w:rFonts w:hint="eastAsia" w:ascii="仿宋_GB2312" w:hAnsi="仿宋" w:eastAsia="仿宋_GB2312"/>
          <w:sz w:val="32"/>
        </w:rPr>
        <w:t>个月的，可提供加盖公章的情况说明或其他相关证明材料。</w:t>
      </w:r>
    </w:p>
    <w:p>
      <w:pPr>
        <w:pStyle w:val="7"/>
        <w:spacing w:after="0" w:line="560" w:lineRule="exact"/>
        <w:ind w:left="0" w:leftChars="0" w:right="0" w:rightChars="0" w:firstLine="640"/>
        <w:rPr>
          <w:rFonts w:hint="eastAsia" w:ascii="楷体_GB2312" w:hAnsi="楷体_GB2312" w:eastAsia="楷体_GB2312" w:cs="楷体_GB2312"/>
          <w:sz w:val="32"/>
        </w:rPr>
      </w:pPr>
      <w:r>
        <w:rPr>
          <w:rFonts w:hint="eastAsia" w:ascii="楷体_GB2312" w:hAnsi="楷体_GB2312" w:eastAsia="楷体_GB2312" w:cs="楷体_GB2312"/>
          <w:sz w:val="32"/>
        </w:rPr>
        <w:t>（五）其他注意事项</w:t>
      </w:r>
    </w:p>
    <w:p>
      <w:pPr>
        <w:widowControl/>
        <w:ind w:firstLine="640" w:firstLineChars="200"/>
        <w:rPr>
          <w:rFonts w:hint="eastAsia" w:ascii="仿宋_GB2312" w:hAnsi="仿宋" w:eastAsia="仿宋_GB2312"/>
          <w:sz w:val="32"/>
        </w:rPr>
      </w:pPr>
      <w:r>
        <w:rPr>
          <w:rFonts w:hint="eastAsia" w:ascii="仿宋_GB2312" w:hAnsi="仿宋" w:eastAsia="仿宋_GB2312"/>
          <w:sz w:val="32"/>
        </w:rPr>
        <w:t>1.供应商需</w:t>
      </w:r>
      <w:r>
        <w:rPr>
          <w:rFonts w:ascii="仿宋_GB2312" w:hAnsi="仿宋" w:eastAsia="仿宋_GB2312"/>
          <w:sz w:val="32"/>
        </w:rPr>
        <w:t>深圳政府采购自行采购系统</w:t>
      </w:r>
      <w:r>
        <w:rPr>
          <w:rFonts w:hint="eastAsia" w:ascii="仿宋_GB2312" w:hAnsi="仿宋" w:eastAsia="仿宋_GB2312"/>
          <w:sz w:val="32"/>
        </w:rPr>
        <w:t>完成供应商注册（网址：https://zxcg.szggzy.com/home/index.html），请于本项目投标截止时间前完成注册，否则如中标/成交，可能影响采购结果的发布。</w:t>
      </w:r>
    </w:p>
    <w:p>
      <w:pPr>
        <w:pStyle w:val="7"/>
        <w:spacing w:after="0" w:line="560" w:lineRule="exact"/>
        <w:ind w:left="0" w:leftChars="0" w:right="0" w:rightChars="0" w:firstLine="640"/>
        <w:rPr>
          <w:rFonts w:ascii="仿宋_GB2312" w:hAnsi="仿宋" w:eastAsia="仿宋_GB2312"/>
          <w:sz w:val="32"/>
        </w:rPr>
      </w:pPr>
      <w:r>
        <w:rPr>
          <w:rFonts w:hint="eastAsia" w:ascii="仿宋_GB2312" w:hAnsi="仿宋" w:eastAsia="仿宋_GB2312"/>
          <w:sz w:val="32"/>
        </w:rPr>
        <w:t>2.供应商需以邮寄方式提供7份密封纸质版投标资料至本单位，并在封面备注“</w:t>
      </w:r>
      <w:r>
        <w:rPr>
          <w:rFonts w:hint="eastAsia" w:ascii="仿宋_GB2312" w:hAnsi="仿宋_GB2312" w:eastAsia="仿宋_GB2312" w:cs="仿宋_GB2312"/>
          <w:sz w:val="32"/>
          <w:szCs w:val="32"/>
        </w:rPr>
        <w:t>龙华文体中心竞赛场馆网络安全服务</w:t>
      </w:r>
      <w:r>
        <w:rPr>
          <w:rFonts w:hint="eastAsia" w:ascii="仿宋_GB2312" w:hAnsi="仿宋_GB2312" w:eastAsia="仿宋_GB2312" w:cs="仿宋_GB2312"/>
          <w:color w:val="000000"/>
          <w:kern w:val="0"/>
          <w:sz w:val="32"/>
          <w:szCs w:val="32"/>
        </w:rPr>
        <w:t>项目+公司全称+日期+联系人+联系方式”。</w:t>
      </w:r>
    </w:p>
    <w:p>
      <w:pPr>
        <w:pStyle w:val="7"/>
        <w:spacing w:after="0" w:line="560" w:lineRule="exact"/>
        <w:ind w:left="0" w:leftChars="0" w:right="0" w:rightChars="0" w:firstLine="640" w:firstLineChars="200"/>
        <w:rPr>
          <w:rFonts w:ascii="仿宋_GB2312" w:hAnsi="仿宋" w:eastAsia="仿宋_GB2312"/>
          <w:sz w:val="32"/>
        </w:rPr>
      </w:pPr>
      <w:r>
        <w:rPr>
          <w:rFonts w:hint="eastAsia" w:ascii="仿宋_GB2312" w:hAnsi="仿宋" w:eastAsia="仿宋_GB2312"/>
          <w:sz w:val="32"/>
        </w:rPr>
        <w:t>地址：</w:t>
      </w:r>
      <w:bookmarkStart w:id="1" w:name="OLE_LINK5"/>
      <w:r>
        <w:rPr>
          <w:rFonts w:hint="eastAsia" w:ascii="仿宋_GB2312" w:hAnsi="仿宋" w:eastAsia="仿宋_GB2312"/>
          <w:sz w:val="32"/>
        </w:rPr>
        <w:t>深圳市龙华区龙华街道富康行政服务办公区</w:t>
      </w:r>
      <w:bookmarkEnd w:id="1"/>
    </w:p>
    <w:p>
      <w:pPr>
        <w:pStyle w:val="16"/>
        <w:spacing w:line="560" w:lineRule="exact"/>
        <w:ind w:firstLine="640"/>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hint="eastAsia" w:ascii="仿宋_GB2312" w:hAnsi="仿宋" w:eastAsia="仿宋_GB2312"/>
          <w:sz w:val="32"/>
          <w:szCs w:val="22"/>
        </w:rPr>
      </w:pPr>
      <w:r>
        <w:rPr>
          <w:rFonts w:hint="eastAsia" w:ascii="仿宋_GB2312" w:hAnsi="仿宋" w:eastAsia="仿宋_GB2312"/>
          <w:sz w:val="32"/>
        </w:rPr>
        <w:t>联系方式:</w:t>
      </w:r>
      <w:r>
        <w:rPr>
          <w:rFonts w:hint="eastAsia" w:ascii="仿宋_GB2312" w:hAnsi="仿宋" w:eastAsia="仿宋_GB2312"/>
          <w:sz w:val="32"/>
          <w:szCs w:val="22"/>
        </w:rPr>
        <w:t>0755-23338140</w:t>
      </w:r>
    </w:p>
    <w:p>
      <w:pPr>
        <w:ind w:firstLine="640" w:firstLineChars="200"/>
        <w:rPr>
          <w:rFonts w:hint="eastAsia" w:ascii="仿宋_GB2312" w:hAnsi="仿宋" w:eastAsia="仿宋_GB2312"/>
          <w:sz w:val="32"/>
          <w:szCs w:val="22"/>
        </w:rPr>
      </w:pPr>
    </w:p>
    <w:p>
      <w:pPr>
        <w:ind w:firstLine="0" w:firstLineChars="0"/>
        <w:rPr>
          <w:rFonts w:hint="eastAsia" w:ascii="仿宋_GB2312" w:hAnsi="仿宋_GB2312" w:eastAsia="仿宋_GB2312" w:cs="仿宋_GB2312"/>
          <w:sz w:val="32"/>
          <w:szCs w:val="32"/>
        </w:rPr>
      </w:pPr>
    </w:p>
    <w:p>
      <w:pPr>
        <w:pStyle w:val="16"/>
        <w:spacing w:line="560" w:lineRule="exact"/>
        <w:ind w:firstLine="0" w:firstLineChars="0"/>
        <w:rPr>
          <w:rFonts w:ascii="仿宋_GB2312" w:hAnsi="仿宋" w:eastAsia="仿宋_GB2312" w:cs="Times New Roman"/>
          <w:sz w:val="32"/>
        </w:rPr>
      </w:pPr>
    </w:p>
    <w:p>
      <w:pPr>
        <w:pStyle w:val="16"/>
        <w:spacing w:line="560" w:lineRule="exact"/>
        <w:ind w:firstLine="0" w:firstLineChars="0"/>
        <w:rPr>
          <w:rFonts w:ascii="仿宋_GB2312" w:hAnsi="仿宋" w:eastAsia="仿宋_GB2312" w:cs="Times New Roman"/>
          <w:sz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hint="eastAsia" w:ascii="黑体" w:hAnsi="黑体" w:eastAsia="黑体" w:cs="黑体"/>
          <w:color w:val="000000"/>
          <w:sz w:val="32"/>
          <w:szCs w:val="32"/>
        </w:rPr>
      </w:pPr>
    </w:p>
    <w:p>
      <w:pPr>
        <w:pStyle w:val="16"/>
        <w:spacing w:line="560" w:lineRule="exact"/>
        <w:ind w:firstLine="0" w:firstLineChars="0"/>
        <w:rPr>
          <w:rFonts w:ascii="黑体" w:hAnsi="黑体" w:eastAsia="黑体" w:cs="黑体"/>
          <w:color w:val="000000"/>
          <w:sz w:val="32"/>
          <w:szCs w:val="32"/>
        </w:rPr>
      </w:pPr>
      <w:bookmarkStart w:id="2" w:name="_GoBack"/>
      <w:bookmarkEnd w:id="2"/>
      <w:r>
        <w:rPr>
          <w:rFonts w:hint="eastAsia" w:ascii="黑体" w:hAnsi="黑体" w:eastAsia="黑体" w:cs="黑体"/>
          <w:color w:val="000000"/>
          <w:sz w:val="32"/>
          <w:szCs w:val="32"/>
        </w:rPr>
        <w:t>附件1</w:t>
      </w:r>
    </w:p>
    <w:p>
      <w:pPr>
        <w:pStyle w:val="2"/>
        <w:jc w:val="center"/>
        <w:rPr>
          <w:rFonts w:hint="eastAsia" w:ascii="黑体"/>
          <w:b w:val="0"/>
          <w:kern w:val="0"/>
          <w:sz w:val="24"/>
        </w:rPr>
      </w:pPr>
      <w:r>
        <w:rPr>
          <w:rFonts w:hint="eastAsia" w:ascii="黑体"/>
          <w:b w:val="0"/>
          <w:kern w:val="0"/>
          <w:sz w:val="24"/>
        </w:rPr>
        <w:t>诚信承诺书</w:t>
      </w: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深圳市龙华区文化广电旅游体育局</w:t>
      </w:r>
    </w:p>
    <w:p>
      <w:pPr>
        <w:spacing w:line="400" w:lineRule="exact"/>
        <w:ind w:right="-815" w:firstLine="420" w:firstLineChars="200"/>
        <w:rPr>
          <w:rFonts w:ascii="宋体" w:hAnsi="宋体"/>
          <w:szCs w:val="21"/>
        </w:rPr>
      </w:pPr>
      <w:r>
        <w:rPr>
          <w:rFonts w:hint="eastAsia" w:ascii="宋体" w:hAnsi="宋体"/>
          <w:szCs w:val="21"/>
        </w:rPr>
        <w:t>我单位承诺：</w:t>
      </w:r>
    </w:p>
    <w:p>
      <w:pPr>
        <w:spacing w:line="4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w:t>
      </w:r>
    </w:p>
    <w:p>
      <w:pPr>
        <w:spacing w:line="400" w:lineRule="exact"/>
        <w:ind w:firstLine="420" w:firstLineChars="200"/>
        <w:rPr>
          <w:rFonts w:ascii="宋体" w:hAnsi="宋体"/>
          <w:szCs w:val="21"/>
        </w:rPr>
      </w:pPr>
      <w:r>
        <w:rPr>
          <w:rFonts w:hint="eastAsia" w:ascii="宋体" w:hAnsi="宋体"/>
          <w:szCs w:val="21"/>
        </w:rPr>
        <w:t>2.我单位参与本项目</w:t>
      </w:r>
      <w:r>
        <w:rPr>
          <w:rFonts w:hint="eastAsia"/>
          <w:szCs w:val="21"/>
        </w:rPr>
        <w:t>政府采购活动时不存在被有关部门禁止参与政府采购活动且在有效期内的情况。</w:t>
      </w:r>
    </w:p>
    <w:p>
      <w:pPr>
        <w:spacing w:line="400" w:lineRule="exact"/>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spacing w:line="400" w:lineRule="exact"/>
        <w:ind w:firstLine="420" w:firstLineChars="200"/>
        <w:rPr>
          <w:rFonts w:ascii="宋体" w:hAnsi="宋体"/>
          <w:szCs w:val="21"/>
        </w:rPr>
      </w:pPr>
      <w:r>
        <w:rPr>
          <w:rFonts w:hint="eastAsia" w:ascii="宋体" w:hAnsi="宋体"/>
          <w:szCs w:val="21"/>
        </w:rPr>
        <w:t>4.我单位</w:t>
      </w:r>
      <w:r>
        <w:rPr>
          <w:rFonts w:hint="eastAsia"/>
          <w:szCs w:val="21"/>
        </w:rPr>
        <w:t>未被列入失信被执行人、重大税收违法案件当事人名单、政府采购严重违法失信行为记录名单。</w:t>
      </w:r>
    </w:p>
    <w:p>
      <w:pPr>
        <w:spacing w:line="400" w:lineRule="exact"/>
        <w:ind w:firstLine="420" w:firstLineChars="200"/>
        <w:rPr>
          <w:rFonts w:ascii="宋体" w:hAnsi="宋体"/>
          <w:szCs w:val="21"/>
        </w:rPr>
      </w:pPr>
      <w:r>
        <w:rPr>
          <w:rFonts w:hint="eastAsia" w:ascii="宋体" w:hAnsi="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420" w:firstLineChars="200"/>
        <w:rPr>
          <w:rFonts w:ascii="宋体" w:hAnsi="宋体"/>
          <w:szCs w:val="21"/>
        </w:rPr>
      </w:pPr>
      <w:r>
        <w:rPr>
          <w:rFonts w:hint="eastAsia" w:ascii="宋体" w:hAnsi="宋体"/>
          <w:szCs w:val="21"/>
        </w:rPr>
        <w:t>6.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bCs/>
          <w:szCs w:val="21"/>
        </w:rPr>
      </w:pPr>
      <w:r>
        <w:rPr>
          <w:rFonts w:hint="eastAsia" w:ascii="宋体" w:hAnsi="宋体"/>
          <w:bCs/>
          <w:szCs w:val="21"/>
        </w:rPr>
        <w:t>7.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spacing w:line="400" w:lineRule="exact"/>
        <w:ind w:firstLine="421" w:firstLineChars="200"/>
        <w:rPr>
          <w:rFonts w:ascii="宋体" w:hAnsi="宋体"/>
          <w:szCs w:val="21"/>
        </w:rPr>
      </w:pPr>
      <w:r>
        <w:rPr>
          <w:rFonts w:hint="eastAsia" w:ascii="宋体" w:hAnsi="宋体"/>
          <w:b/>
          <w:szCs w:val="21"/>
        </w:rPr>
        <w:t>8.我单位清楚，如存在违反投标承诺行为情节严重的，将根据《深圳市财政局关于印发&lt;深圳市财政局政府采购供应商信用信息管理办法&gt;的通知》，依法被列入失信信息。</w:t>
      </w:r>
    </w:p>
    <w:p>
      <w:pPr>
        <w:spacing w:line="400" w:lineRule="exact"/>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line="400" w:lineRule="exact"/>
        <w:ind w:firstLine="5460" w:firstLineChars="2600"/>
        <w:rPr>
          <w:rFonts w:hint="eastAsia" w:ascii="宋体" w:hAnsi="宋体"/>
          <w:szCs w:val="21"/>
        </w:rPr>
      </w:pPr>
    </w:p>
    <w:p>
      <w:pPr>
        <w:spacing w:before="78" w:beforeLines="25" w:after="78" w:afterLines="25" w:line="400" w:lineRule="exact"/>
        <w:ind w:firstLine="5460" w:firstLineChars="2600"/>
        <w:rPr>
          <w:rFonts w:ascii="宋体" w:hAnsi="宋体"/>
          <w:szCs w:val="21"/>
        </w:rPr>
      </w:pPr>
      <w:r>
        <w:rPr>
          <w:rFonts w:hint="eastAsia" w:ascii="宋体" w:hAnsi="宋体"/>
          <w:szCs w:val="21"/>
        </w:rPr>
        <w:t xml:space="preserve">                                    </w:t>
      </w:r>
    </w:p>
    <w:p>
      <w:pPr>
        <w:spacing w:before="78" w:beforeLines="25" w:after="78" w:afterLines="25" w:line="400" w:lineRule="exact"/>
        <w:ind w:firstLine="5460" w:firstLineChars="2600"/>
        <w:rPr>
          <w:szCs w:val="21"/>
        </w:rPr>
      </w:pPr>
      <w:r>
        <w:rPr>
          <w:rFonts w:hint="eastAsia"/>
          <w:szCs w:val="21"/>
        </w:rPr>
        <w:t>投标人：</w:t>
      </w:r>
      <w:r>
        <w:rPr>
          <w:rFonts w:hint="eastAsia"/>
          <w:szCs w:val="21"/>
          <w:u w:val="single"/>
        </w:rPr>
        <w:t xml:space="preserve">              </w:t>
      </w:r>
    </w:p>
    <w:p>
      <w:pPr>
        <w:spacing w:line="400" w:lineRule="exact"/>
        <w:ind w:firstLine="645"/>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
      <w:pPr>
        <w:pStyle w:val="5"/>
      </w:pPr>
    </w:p>
    <w:p>
      <w:pPr>
        <w:pStyle w:val="5"/>
      </w:pPr>
    </w:p>
    <w:p>
      <w:pPr>
        <w:pStyle w:val="16"/>
        <w:spacing w:line="560" w:lineRule="exact"/>
        <w:ind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0"/>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3"/>
              <w:snapToGrid w:val="0"/>
              <w:ind w:firstLine="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984A9"/>
    <w:multiLevelType w:val="singleLevel"/>
    <w:tmpl w:val="8F4984A9"/>
    <w:lvl w:ilvl="0" w:tentative="0">
      <w:start w:val="1"/>
      <w:numFmt w:val="chineseCounting"/>
      <w:suff w:val="nothing"/>
      <w:lvlText w:val="（%1）"/>
      <w:lvlJc w:val="left"/>
      <w:rPr>
        <w:rFonts w:hint="eastAsia"/>
      </w:rPr>
    </w:lvl>
  </w:abstractNum>
  <w:abstractNum w:abstractNumId="1">
    <w:nsid w:val="00F6F424"/>
    <w:multiLevelType w:val="singleLevel"/>
    <w:tmpl w:val="00F6F42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6E1AF"/>
    <w:rsid w:val="000C454F"/>
    <w:rsid w:val="001201F9"/>
    <w:rsid w:val="00174932"/>
    <w:rsid w:val="003E4E34"/>
    <w:rsid w:val="004373BE"/>
    <w:rsid w:val="00705ECF"/>
    <w:rsid w:val="00797B64"/>
    <w:rsid w:val="00B77560"/>
    <w:rsid w:val="00B8321B"/>
    <w:rsid w:val="00C135B7"/>
    <w:rsid w:val="0426409F"/>
    <w:rsid w:val="06405FC3"/>
    <w:rsid w:val="067A3258"/>
    <w:rsid w:val="0DDA3736"/>
    <w:rsid w:val="0E93727A"/>
    <w:rsid w:val="104B6BCD"/>
    <w:rsid w:val="11F187E1"/>
    <w:rsid w:val="166C59B5"/>
    <w:rsid w:val="1833416F"/>
    <w:rsid w:val="19D750A3"/>
    <w:rsid w:val="1BC7354C"/>
    <w:rsid w:val="1F136AA8"/>
    <w:rsid w:val="21A4626C"/>
    <w:rsid w:val="227628BC"/>
    <w:rsid w:val="23A75A11"/>
    <w:rsid w:val="23B26890"/>
    <w:rsid w:val="23F30C56"/>
    <w:rsid w:val="28A40E58"/>
    <w:rsid w:val="2BFE5B3C"/>
    <w:rsid w:val="2C78619D"/>
    <w:rsid w:val="2EE730FB"/>
    <w:rsid w:val="37FA2784"/>
    <w:rsid w:val="3F8564EE"/>
    <w:rsid w:val="41F71AFF"/>
    <w:rsid w:val="45DB41E6"/>
    <w:rsid w:val="46A91B53"/>
    <w:rsid w:val="47FD7357"/>
    <w:rsid w:val="4AEB42B2"/>
    <w:rsid w:val="4D111FCA"/>
    <w:rsid w:val="4DB77BA5"/>
    <w:rsid w:val="4FF534DD"/>
    <w:rsid w:val="5380626A"/>
    <w:rsid w:val="555A4C1B"/>
    <w:rsid w:val="57D52571"/>
    <w:rsid w:val="59EE791A"/>
    <w:rsid w:val="5A8E6DB3"/>
    <w:rsid w:val="5B432EA5"/>
    <w:rsid w:val="5C3731F4"/>
    <w:rsid w:val="5CD2273C"/>
    <w:rsid w:val="5D5AC2AB"/>
    <w:rsid w:val="5E7B1B04"/>
    <w:rsid w:val="5F2BE56A"/>
    <w:rsid w:val="5FFF7AFB"/>
    <w:rsid w:val="60A57B09"/>
    <w:rsid w:val="60E05AE3"/>
    <w:rsid w:val="624C5926"/>
    <w:rsid w:val="63426159"/>
    <w:rsid w:val="64867506"/>
    <w:rsid w:val="66E64663"/>
    <w:rsid w:val="67FD56E0"/>
    <w:rsid w:val="693B5FAC"/>
    <w:rsid w:val="6ED03876"/>
    <w:rsid w:val="71FE401B"/>
    <w:rsid w:val="736FE0D6"/>
    <w:rsid w:val="73FFDF0B"/>
    <w:rsid w:val="75097980"/>
    <w:rsid w:val="787B4E10"/>
    <w:rsid w:val="7B3750F3"/>
    <w:rsid w:val="7B7DC32D"/>
    <w:rsid w:val="7D9F3A20"/>
    <w:rsid w:val="7DD39989"/>
    <w:rsid w:val="7E7DAC40"/>
    <w:rsid w:val="7E840F6F"/>
    <w:rsid w:val="7F3A3F81"/>
    <w:rsid w:val="BBFF548B"/>
    <w:rsid w:val="DFFF69F1"/>
    <w:rsid w:val="E376E1AF"/>
    <w:rsid w:val="F5FFE28E"/>
    <w:rsid w:val="FFEF2F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5">
    <w:name w:val="Body Text"/>
    <w:basedOn w:val="1"/>
    <w:next w:val="6"/>
    <w:qFormat/>
    <w:uiPriority w:val="0"/>
    <w:pPr>
      <w:spacing w:after="120"/>
    </w:pPr>
  </w:style>
  <w:style w:type="paragraph" w:styleId="6">
    <w:name w:val="Body Text 2"/>
    <w:basedOn w:val="1"/>
    <w:qFormat/>
    <w:uiPriority w:val="0"/>
    <w:pPr>
      <w:spacing w:line="360" w:lineRule="auto"/>
    </w:pPr>
    <w:rPr>
      <w:sz w:val="24"/>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unhideWhenUsed/>
    <w:qFormat/>
    <w:uiPriority w:val="99"/>
    <w:rPr>
      <w:rFonts w:ascii="宋体" w:hAnsi="Calibri" w:cs="Courier New"/>
      <w:szCs w:val="21"/>
    </w:rPr>
  </w:style>
  <w:style w:type="paragraph" w:styleId="9">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4"/>
    <w:qFormat/>
    <w:uiPriority w:val="34"/>
    <w:pPr>
      <w:ind w:firstLine="420" w:firstLineChars="200"/>
    </w:pPr>
  </w:style>
  <w:style w:type="paragraph" w:customStyle="1" w:styleId="14">
    <w:name w:val="星耀正文"/>
    <w:basedOn w:val="1"/>
    <w:qFormat/>
    <w:uiPriority w:val="3"/>
    <w:pPr>
      <w:ind w:firstLine="422" w:firstLineChars="200"/>
    </w:pPr>
    <w:rPr>
      <w:rFonts w:ascii="宋体" w:hAnsi="宋体" w:eastAsia="仿宋_GB2312"/>
      <w:bCs/>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7">
    <w:name w:val="_Style 3"/>
    <w:basedOn w:val="1"/>
    <w:next w:val="1"/>
    <w:qFormat/>
    <w:uiPriority w:val="99"/>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4018</Words>
  <Characters>4163</Characters>
  <Lines>231</Lines>
  <Paragraphs>228</Paragraphs>
  <TotalTime>0</TotalTime>
  <ScaleCrop>false</ScaleCrop>
  <LinksUpToDate>false</LinksUpToDate>
  <CharactersWithSpaces>4296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2025-09-12T17:18:00Z</dcterms:created>
  <dc:creator>yang</dc:creator>
  <cp:lastModifiedBy>lxy</cp:lastModifiedBy>
  <dcterms:modified xsi:type="dcterms:W3CDTF">2025-09-26T17:15:19Z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CC8E05AF8C26892C4E39D6684D3C0212</vt:lpwstr>
  </property>
  <property fmtid="{D5CDD505-2E9C-101B-9397-08002B2CF9AE}" pid="4" name="KSOTemplateDocerSaveRecord">
    <vt:lpwstr>eyJoZGlkIjoiOGUyZmE4NjA3YTA4MTczMThkZDIyMTRjNDI0MWMwYTEiLCJ1c2VySWQiOiIzMTU1Mjk3MjEifQ==</vt:lpwstr>
  </property>
</Properties>
</file>