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龙华区第七届诗词大会项目需求书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highlight w:val="none"/>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spacing w:line="560" w:lineRule="exact"/>
        <w:ind w:firstLine="420" w:firstLineChars="200"/>
        <w:rPr>
          <w:rFonts w:hint="default" w:ascii="仿宋_GB2312" w:hAnsi="仿宋_GB2312" w:eastAsia="仿宋_GB2312" w:cs="仿宋_GB2312"/>
          <w:sz w:val="32"/>
          <w:szCs w:val="32"/>
          <w:lang w:val="en" w:eastAsia="zh-CN"/>
        </w:rPr>
      </w:pPr>
      <w:r>
        <w:rPr>
          <w:rFonts w:hint="default"/>
          <w:highlight w:val="none"/>
          <w:lang w:val="en" w:eastAsia="zh-CN"/>
        </w:rPr>
        <w:t xml:space="preserve">  </w:t>
      </w: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rPr>
        <w:t>诗词大会以弘扬中华优秀传统文化为</w:t>
      </w:r>
      <w:r>
        <w:rPr>
          <w:rFonts w:hint="eastAsia" w:ascii="仿宋_GB2312" w:hAnsi="仿宋_GB2312" w:eastAsia="仿宋_GB2312" w:cs="仿宋_GB2312"/>
          <w:sz w:val="32"/>
          <w:szCs w:val="32"/>
          <w:lang w:val="en-US" w:eastAsia="zh-CN"/>
        </w:rPr>
        <w:t>己任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打造具有龙华特色的诗词阅读文化盛会为目的，</w:t>
      </w:r>
      <w:r>
        <w:rPr>
          <w:rFonts w:hint="eastAsia" w:ascii="仿宋_GB2312" w:hAnsi="仿宋_GB2312" w:eastAsia="仿宋_GB2312" w:cs="仿宋_GB2312"/>
          <w:sz w:val="32"/>
          <w:szCs w:val="32"/>
          <w:lang w:val="en-US" w:eastAsia="zh-CN"/>
        </w:rPr>
        <w:t>自2019年以来，已成功举办了六届。为持续打造龙华区阅读品牌IP，</w:t>
      </w:r>
      <w:r>
        <w:rPr>
          <w:rFonts w:hint="eastAsia" w:ascii="仿宋_GB2312" w:hAnsi="仿宋_GB2312" w:eastAsia="仿宋_GB2312" w:cs="仿宋_GB2312"/>
          <w:sz w:val="32"/>
          <w:szCs w:val="32"/>
        </w:rPr>
        <w:t>扩大</w:t>
      </w: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rPr>
        <w:t>诗词大会的影响力，</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传播和弘扬中华</w:t>
      </w:r>
      <w:r>
        <w:rPr>
          <w:rFonts w:hint="eastAsia" w:ascii="仿宋_GB2312" w:hAnsi="仿宋_GB2312" w:eastAsia="仿宋_GB2312" w:cs="仿宋_GB2312"/>
          <w:sz w:val="32"/>
          <w:szCs w:val="32"/>
          <w:lang w:val="en-US" w:eastAsia="zh-CN"/>
        </w:rPr>
        <w:t>优秀传统文化，</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于11月深圳读书月期间</w:t>
      </w:r>
      <w:r>
        <w:rPr>
          <w:rFonts w:hint="eastAsia" w:ascii="仿宋_GB2312" w:hAnsi="仿宋_GB2312" w:eastAsia="仿宋_GB2312" w:cs="仿宋_GB2312"/>
          <w:sz w:val="32"/>
          <w:szCs w:val="32"/>
        </w:rPr>
        <w:t>开展龙华区第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届诗词大会。</w:t>
      </w: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val="en-US" w:eastAsia="zh-CN"/>
        </w:rPr>
        <w:t>服务</w:t>
      </w:r>
      <w:r>
        <w:rPr>
          <w:rFonts w:hint="eastAsia" w:ascii="黑体" w:hAnsi="黑体" w:eastAsia="黑体" w:cs="黑体"/>
          <w:bCs/>
          <w:sz w:val="32"/>
          <w:szCs w:val="32"/>
          <w:highlight w:val="none"/>
        </w:rPr>
        <w:t>时间</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default"/>
          <w:highlight w:val="none"/>
          <w:lang w:val="en-US"/>
        </w:rPr>
      </w:pPr>
      <w:r>
        <w:rPr>
          <w:rFonts w:hint="eastAsia" w:ascii="仿宋_GB2312" w:hAnsi="宋体" w:eastAsia="仿宋_GB2312"/>
          <w:sz w:val="32"/>
          <w:szCs w:val="32"/>
          <w:highlight w:val="none"/>
          <w:lang w:val="en-US" w:eastAsia="zh-CN"/>
        </w:rPr>
        <w:t>2025年11月</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w:t>
      </w: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pStyle w:val="20"/>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楷体_GB2312" w:hAnsi="仿宋" w:eastAsia="楷体_GB2312" w:cs="宋体"/>
          <w:color w:val="000000"/>
          <w:kern w:val="0"/>
          <w:sz w:val="32"/>
          <w:szCs w:val="32"/>
          <w:highlight w:val="none"/>
          <w:lang w:val="en-US" w:eastAsia="zh-CN" w:bidi="ar-SA"/>
        </w:rPr>
      </w:pPr>
      <w:r>
        <w:rPr>
          <w:rFonts w:hint="eastAsia" w:ascii="楷体_GB2312" w:hAnsi="仿宋" w:eastAsia="楷体_GB2312" w:cs="宋体"/>
          <w:color w:val="000000"/>
          <w:kern w:val="0"/>
          <w:sz w:val="32"/>
          <w:szCs w:val="32"/>
          <w:highlight w:val="none"/>
          <w:lang w:val="en-US" w:eastAsia="zh-CN" w:bidi="ar-SA"/>
        </w:rPr>
        <w:t>（一）项目内容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活动分为</w:t>
      </w:r>
      <w:r>
        <w:rPr>
          <w:rFonts w:hint="eastAsia" w:ascii="仿宋_GB2312" w:hAnsi="仿宋_GB2312" w:eastAsia="仿宋_GB2312" w:cs="仿宋_GB2312"/>
          <w:sz w:val="32"/>
          <w:szCs w:val="32"/>
          <w:highlight w:val="none"/>
          <w:lang w:val="en-US" w:eastAsia="zh-CN"/>
        </w:rPr>
        <w:t>线上互动、</w:t>
      </w:r>
      <w:r>
        <w:rPr>
          <w:rFonts w:hint="default" w:ascii="仿宋_GB2312" w:hAnsi="仿宋_GB2312" w:eastAsia="仿宋_GB2312" w:cs="仿宋_GB2312"/>
          <w:sz w:val="32"/>
          <w:szCs w:val="32"/>
          <w:highlight w:val="none"/>
          <w:lang w:val="en"/>
        </w:rPr>
        <w:t>报名、初赛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rPr>
        <w:t>总决赛</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诗词游园会五</w:t>
      </w:r>
      <w:r>
        <w:rPr>
          <w:rFonts w:hint="default" w:ascii="仿宋_GB2312" w:hAnsi="仿宋_GB2312" w:eastAsia="仿宋_GB2312" w:cs="仿宋_GB2312"/>
          <w:sz w:val="32"/>
          <w:szCs w:val="32"/>
          <w:lang w:val="en" w:eastAsia="zh-CN"/>
        </w:rPr>
        <w:t>个部分</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highlight w:val="none"/>
        </w:rPr>
      </w:pPr>
      <w:r>
        <w:rPr>
          <w:rFonts w:hint="eastAsia" w:ascii="楷体" w:hAnsi="楷体" w:eastAsia="楷体" w:cs="楷体"/>
          <w:color w:val="000000"/>
          <w:kern w:val="0"/>
          <w:sz w:val="31"/>
          <w:szCs w:val="31"/>
          <w:lang w:val="en-US" w:eastAsia="zh-CN" w:bidi="ar"/>
        </w:rPr>
        <w:t>1.</w:t>
      </w:r>
      <w:r>
        <w:rPr>
          <w:rFonts w:ascii="楷体" w:hAnsi="楷体" w:eastAsia="楷体" w:cs="楷体"/>
          <w:color w:val="000000"/>
          <w:kern w:val="0"/>
          <w:sz w:val="31"/>
          <w:szCs w:val="31"/>
          <w:highlight w:val="none"/>
          <w:lang w:val="en-US" w:eastAsia="zh-CN" w:bidi="ar"/>
        </w:rPr>
        <w:t>线上互动</w:t>
      </w:r>
    </w:p>
    <w:p>
      <w:pPr>
        <w:spacing w:line="56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在大赛报名开始前，制作推出为期一周的诗词文化类线上互动H5，参与即有机会抽取红包奖励。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2.报名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活动面向广大诗词爱好者开放，报名分为青少年组(18周岁以下）、成年组（18周岁以上）两个组别开展。活动相关信息及报名公告通过</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mp.weixin.qq.com/s?search_click_id=12586086201867279323-1694509870307-4685606464&amp;__biz=Mzg2NTU3MzU3NA==&amp;mid=2247531138&amp;idx=1&amp;sn=65e4762126fdd352b33c3e22febb585d&amp;chksm=ce5a352bf92dbc3dd8e27dbf0df3bdfae763b1b412092a7f14286bad1be16fd60c15c7b0d7d4&amp;key=3a4fa5a1383611c44e9cd77216a413de1eb5b8d0c099e8bd770943c1a31783c6c978509664e7919efb3580320494e241a4c018597f2ff54ea606e2f1c9c8aeb74b0e8af9539fda7de0af57cbf0ad32de52597343e017e8d2c80962163283a64bf007726a03136c7a31f6445b828e00e5bd4ca0fd01ba2cf7d77f892571a151b5&amp;ascene=0&amp;uin=MjA4NzEyNzAwMg==&amp;devicetype=Windows+11+x64&amp;version=6309021a&amp;lang=zh_CN&amp;countrycode=CN&amp;exportkey=n_ChQIAhIQiG96It+6P9I/qeKIGxKRGBLgAQIE97dBBAEAAAAAAGpFI4J4u3oAAAAOpnltbLcz9gKNyK89dVj0St1pk907er8bhlCBCde7pfeivHlK9hm4keBGEUUww6yLxOhH2Jvj5G05AltsmdQXV78pL0lXEZQx6e7hAHWwjBNjaBvrR4WfMPq2fDu673E8OA3tzSjELDwiBghVJ6LzM1gHIKAknY23Lpn4GSZ/sepi+wU8WIz1Ea7xkMKCKY3X5OYadbQ4wZHE59AKNDbVgIvFd1ubLz82nswwdLLA/kvlhbMBgHdofigWbJI2K7BuxfnYdEy0pN5X&amp;acctmode=0&amp;pass_ticket=m9uiA6/zF7h2+Uhoc7apNwKNUrlAJZQiCjompK/IzWzrZeBbVKTB6SLUOAgTKz9u&amp;wx_header=1&amp;fasttmpl_type=0&amp;fasttmpl_fullversion=6851911-zh_CN-zip&amp;fasttmpl_flag=1"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龙华文体云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微信</w:t>
      </w:r>
      <w:r>
        <w:rPr>
          <w:rFonts w:hint="default" w:ascii="仿宋_GB2312" w:hAnsi="仿宋_GB2312" w:eastAsia="仿宋_GB2312" w:cs="仿宋_GB2312"/>
          <w:sz w:val="32"/>
          <w:szCs w:val="32"/>
          <w:lang w:val="en-US" w:eastAsia="zh-CN"/>
        </w:rPr>
        <w:t>公众号</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“深圳市龙华区图书馆”微信公众号等渠道公布。也欢迎深圳市内外各中小学校及单位组织集中推举优秀种子选手报名参加。</w:t>
      </w:r>
    </w:p>
    <w:p>
      <w:pPr>
        <w:keepNext w:val="0"/>
        <w:keepLines w:val="0"/>
        <w:pageBreakBefore w:val="0"/>
        <w:widowControl w:val="0"/>
        <w:numPr>
          <w:ilvl w:val="0"/>
          <w:numId w:val="0"/>
        </w:numPr>
        <w:kinsoku/>
        <w:wordWrap/>
        <w:overflowPunct/>
        <w:topLinePunct w:val="0"/>
        <w:autoSpaceDE/>
        <w:autoSpaceDN/>
        <w:bidi w:val="0"/>
        <w:spacing w:line="560" w:lineRule="exact"/>
        <w:ind w:left="640" w:leftChars="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3.初赛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常规开展青少年及成年组个人赛选拔，该环节由笔试环节+面试环节两部分组成。</w:t>
      </w:r>
    </w:p>
    <w:p>
      <w:pPr>
        <w:ind w:firstLine="640" w:firstLineChars="200"/>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4.总决赛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sz w:val="32"/>
          <w:szCs w:val="32"/>
          <w:highlight w:val="none"/>
          <w:lang w:val="en-US" w:eastAsia="zh-CN"/>
        </w:rPr>
        <w:t>活动拟走进商圈/景区/公园，线上线下同步开展，评选出优秀选手。同步在现场铺设互动游园会，动态呈现诗词文化魅力</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宋体"/>
          <w:bCs/>
          <w:color w:val="000000"/>
          <w:kern w:val="0"/>
          <w:sz w:val="32"/>
          <w:szCs w:val="32"/>
          <w:highlight w:val="none"/>
          <w:lang w:val="en-US" w:eastAsia="zh-CN" w:bidi="ar-SA"/>
        </w:rPr>
      </w:pPr>
      <w:r>
        <w:rPr>
          <w:rFonts w:hint="eastAsia" w:ascii="楷体_GB2312" w:hAnsi="仿宋" w:eastAsia="楷体_GB2312" w:cs="宋体"/>
          <w:bCs/>
          <w:color w:val="000000"/>
          <w:kern w:val="0"/>
          <w:sz w:val="32"/>
          <w:szCs w:val="32"/>
          <w:highlight w:val="none"/>
          <w:lang w:val="en-US" w:eastAsia="zh-CN" w:bidi="ar-SA"/>
        </w:rPr>
        <w:t>5.诗词游园会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firstLineChars="200"/>
        <w:textAlignment w:val="auto"/>
        <w:rPr>
          <w:rFonts w:hint="default"/>
          <w:highlight w:val="none"/>
          <w:lang w:val="en-US" w:eastAsia="zh-CN"/>
        </w:rPr>
      </w:pPr>
      <w:r>
        <w:rPr>
          <w:rFonts w:hint="eastAsia"/>
          <w:highlight w:val="none"/>
          <w:lang w:val="en-US" w:eastAsia="zh-CN"/>
        </w:rPr>
        <w:t xml:space="preserve">  </w:t>
      </w:r>
      <w:r>
        <w:rPr>
          <w:rFonts w:hint="eastAsia" w:ascii="仿宋_GB2312" w:hAnsi="仿宋_GB2312" w:eastAsia="仿宋_GB2312" w:cs="仿宋_GB2312"/>
          <w:sz w:val="32"/>
          <w:szCs w:val="32"/>
          <w:highlight w:val="none"/>
        </w:rPr>
        <w:t>让诗词走出书本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以诗词</w:t>
      </w:r>
      <w:r>
        <w:rPr>
          <w:rFonts w:hint="eastAsia" w:ascii="仿宋_GB2312" w:hAnsi="仿宋_GB2312" w:eastAsia="仿宋_GB2312" w:cs="仿宋_GB2312"/>
          <w:sz w:val="32"/>
          <w:szCs w:val="32"/>
          <w:highlight w:val="none"/>
          <w:lang w:val="en-US" w:eastAsia="zh-CN"/>
        </w:rPr>
        <w:t>文化为脉络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于户外商圈或景区</w:t>
      </w:r>
      <w:r>
        <w:rPr>
          <w:rFonts w:hint="eastAsia" w:ascii="仿宋_GB2312" w:hAnsi="仿宋_GB2312" w:eastAsia="仿宋_GB2312" w:cs="仿宋_GB2312"/>
          <w:sz w:val="32"/>
          <w:szCs w:val="32"/>
          <w:highlight w:val="none"/>
        </w:rPr>
        <w:t>设置古风</w:t>
      </w:r>
      <w:r>
        <w:rPr>
          <w:rFonts w:hint="eastAsia" w:ascii="仿宋_GB2312" w:hAnsi="仿宋_GB2312" w:eastAsia="仿宋_GB2312" w:cs="仿宋_GB2312"/>
          <w:sz w:val="32"/>
          <w:szCs w:val="32"/>
          <w:highlight w:val="none"/>
          <w:lang w:val="en-US" w:eastAsia="zh-CN"/>
        </w:rPr>
        <w:t>美陈，打造沉浸式诗词</w:t>
      </w:r>
      <w:r>
        <w:rPr>
          <w:rFonts w:hint="eastAsia" w:ascii="仿宋_GB2312" w:hAnsi="仿宋_GB2312" w:eastAsia="仿宋_GB2312" w:cs="仿宋_GB2312"/>
          <w:sz w:val="32"/>
          <w:szCs w:val="32"/>
          <w:highlight w:val="none"/>
        </w:rPr>
        <w:t>游园会</w:t>
      </w:r>
      <w:r>
        <w:rPr>
          <w:rFonts w:hint="eastAsia" w:ascii="仿宋_GB2312" w:hAnsi="仿宋_GB2312" w:eastAsia="仿宋_GB2312" w:cs="仿宋_GB2312"/>
          <w:sz w:val="32"/>
          <w:szCs w:val="32"/>
          <w:highlight w:val="none"/>
          <w:lang w:val="en-US" w:eastAsia="zh-CN"/>
        </w:rPr>
        <w:t>场景，设置一系列有趣好玩的</w:t>
      </w:r>
      <w:r>
        <w:rPr>
          <w:rFonts w:hint="eastAsia" w:ascii="仿宋_GB2312" w:hAnsi="仿宋_GB2312" w:eastAsia="仿宋_GB2312" w:cs="仿宋_GB2312"/>
          <w:sz w:val="32"/>
          <w:szCs w:val="32"/>
          <w:highlight w:val="none"/>
        </w:rPr>
        <w:t>互动游戏，</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rPr>
        <w:t>“飞花令擂台”“诗词灯谜”“墨宝临帖”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投壶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射箭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诗人NPC”对诗挑战等，</w:t>
      </w:r>
      <w:r>
        <w:rPr>
          <w:rFonts w:hint="eastAsia" w:ascii="仿宋_GB2312" w:hAnsi="仿宋_GB2312" w:eastAsia="仿宋_GB2312" w:cs="仿宋_GB2312"/>
          <w:sz w:val="32"/>
          <w:szCs w:val="32"/>
          <w:highlight w:val="none"/>
        </w:rPr>
        <w:t>打造一场穿越时空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可游、可玩、可品的沉浸式诗词游园会。</w:t>
      </w:r>
    </w:p>
    <w:p>
      <w:pPr>
        <w:pStyle w:val="20"/>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楷体_GB2312" w:hAnsi="仿宋" w:eastAsia="楷体_GB2312" w:cs="宋体"/>
          <w:color w:val="000000"/>
          <w:kern w:val="0"/>
          <w:sz w:val="32"/>
          <w:szCs w:val="32"/>
          <w:lang w:val="en-US" w:eastAsia="zh-CN" w:bidi="ar-SA"/>
        </w:rPr>
      </w:pPr>
      <w:r>
        <w:rPr>
          <w:rFonts w:hint="eastAsia" w:ascii="楷体_GB2312" w:hAnsi="仿宋" w:eastAsia="楷体_GB2312" w:cs="宋体"/>
          <w:color w:val="000000"/>
          <w:kern w:val="0"/>
          <w:sz w:val="32"/>
          <w:szCs w:val="32"/>
          <w:lang w:val="en-US" w:eastAsia="zh-CN" w:bidi="ar-SA"/>
        </w:rPr>
        <w:t>（二）具体需求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highlight w:val="none"/>
          <w:lang w:val="en-US" w:eastAsia="zh-CN"/>
        </w:rPr>
        <w:t>高度重视活动的文化价值与教育意义，充分理解活动对弘扬中华优秀传统文化、推动素质教育全面实施的重要作用，并在执行过程中切实体现该宗旨。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 负责制定项目的整体执行策划方案，确保活动形式新颖、具备亮点。方案应包含：设计科学合理的赛事赛制，并组织为期两天的沉浸式诗词游园会。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val="en-US" w:eastAsia="zh-CN"/>
        </w:rPr>
        <w:t>负责赛事题库的开发与维护，具体包括初赛及决赛环节所需的诗词理论知识梳理、试题编写、题型与题目内容设计、考点分类及</w:t>
      </w:r>
      <w:r>
        <w:rPr>
          <w:rFonts w:hint="eastAsia" w:ascii="仿宋_GB2312" w:hAnsi="仿宋_GB2312" w:eastAsia="仿宋_GB2312" w:cs="仿宋_GB2312"/>
          <w:color w:val="auto"/>
          <w:kern w:val="0"/>
          <w:sz w:val="32"/>
          <w:szCs w:val="32"/>
          <w:lang w:val="en-US" w:eastAsia="zh-CN"/>
        </w:rPr>
        <w:t>答案</w:t>
      </w:r>
      <w:r>
        <w:rPr>
          <w:rFonts w:hint="default" w:ascii="仿宋_GB2312" w:hAnsi="仿宋_GB2312" w:eastAsia="仿宋_GB2312" w:cs="仿宋_GB2312"/>
          <w:color w:val="auto"/>
          <w:kern w:val="0"/>
          <w:sz w:val="32"/>
          <w:szCs w:val="32"/>
          <w:lang w:val="en-US" w:eastAsia="zh-CN"/>
        </w:rPr>
        <w:t>解析等工作。需剔除往届旧主题与旧题型，拓展题库内容的深度与广度，确保题目兼具创新性与区分度。其中，决赛部分需重点创新题型设计，统筹制作如音乐题、沙画题等创意型考题，以丰富命题形式、提升赛事表现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4.负责线上互动环节H5程序的开发与实现，具体包括云端题库系统搭建、前端页面设计与实现、互动奖品模块集成，以及每日后台维护、数据更新、汇总和上报等工作。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5.负</w:t>
      </w:r>
      <w:r>
        <w:rPr>
          <w:rFonts w:hint="eastAsia" w:ascii="仿宋_GB2312" w:hAnsi="仿宋" w:eastAsia="仿宋_GB2312" w:cs="仿宋"/>
          <w:sz w:val="32"/>
          <w:szCs w:val="32"/>
          <w:highlight w:val="none"/>
          <w:lang w:val="en-US" w:eastAsia="zh-CN"/>
        </w:rPr>
        <w:t>责活动全程的招募宣传与推广，鼓励运用创新宣传方式，活跃气氛，提升热度，扩大影响；并按阶段撰写活动通稿。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 w:eastAsia="仿宋_GB2312" w:cs="仿宋"/>
          <w:sz w:val="32"/>
          <w:szCs w:val="32"/>
          <w:highlight w:val="none"/>
          <w:lang w:val="en-US" w:eastAsia="zh-CN"/>
        </w:rPr>
        <w:t>6.负责活动期间的摄影摄像及影像整理，涵盖初赛、总决赛及诗词游园会的实时照片直播、视频剪辑回顾，以及总决赛现场多机位视频直播。总决赛须确保不少于双机位，并负责外部直播平台对接与现场控台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7.</w:t>
      </w:r>
      <w:r>
        <w:rPr>
          <w:rFonts w:hint="eastAsia" w:ascii="仿宋_GB2312" w:hAnsi="仿宋" w:eastAsia="仿宋_GB2312" w:cs="仿宋"/>
          <w:sz w:val="32"/>
          <w:szCs w:val="32"/>
          <w:highlight w:val="none"/>
          <w:lang w:val="en-US" w:eastAsia="zh-CN"/>
        </w:rPr>
        <w:t>负责活动所有视觉设计工作，包括活动海报、各阶段物料与美陈设计。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 w:eastAsia="仿宋_GB2312" w:cs="仿宋"/>
          <w:sz w:val="32"/>
          <w:szCs w:val="32"/>
          <w:highlight w:val="none"/>
          <w:lang w:val="en-US" w:eastAsia="zh-CN"/>
        </w:rPr>
        <w:t>负责活动所需物料的制作，如线下推广物料、指引标识、展架、座位贴、笔试试卷、参赛证书等。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 w:eastAsia="仿宋_GB2312" w:cs="仿宋"/>
          <w:sz w:val="32"/>
          <w:szCs w:val="32"/>
          <w:highlight w:val="none"/>
          <w:lang w:val="en-US" w:eastAsia="zh-CN"/>
        </w:rPr>
        <w:t>负责制作本届比赛规则介绍视频。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10.负责配备赛事期间活动现场所需的各类专业设备，包括但不限于音响设备、答题系统等，具体按照各赛段所需提供。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 w:eastAsia="仿宋_GB2312" w:cs="仿宋"/>
          <w:sz w:val="32"/>
          <w:szCs w:val="32"/>
          <w:highlight w:val="none"/>
          <w:lang w:val="en-US" w:eastAsia="zh-CN"/>
        </w:rPr>
        <w:t>负责提供赛事现场对应的物料、舞美布置、舞台包装、搭建与撤场清洁工作，以及物料与设备运输。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SA"/>
        </w:rPr>
        <w:t>12.</w:t>
      </w:r>
      <w:r>
        <w:rPr>
          <w:rFonts w:hint="eastAsia" w:ascii="仿宋_GB2312" w:hAnsi="仿宋" w:eastAsia="仿宋_GB2312" w:cs="仿宋"/>
          <w:sz w:val="32"/>
          <w:szCs w:val="32"/>
          <w:highlight w:val="none"/>
          <w:lang w:val="en-US" w:eastAsia="zh-CN"/>
        </w:rPr>
        <w:t>负责初赛及总决赛的导师邀请与相关安排。导师费用按400元/课时执行，邀请不少于6人，最终人数可结合报名情况调整。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13.</w:t>
      </w:r>
      <w:r>
        <w:rPr>
          <w:rFonts w:hint="eastAsia" w:ascii="仿宋_GB2312" w:hAnsi="仿宋" w:eastAsia="仿宋_GB2312" w:cs="仿宋"/>
          <w:sz w:val="32"/>
          <w:szCs w:val="32"/>
          <w:highlight w:val="none"/>
          <w:lang w:val="en-US" w:eastAsia="zh-CN"/>
        </w:rPr>
        <w:t>负责赛事主持人的邀请，以及总决赛阶段主持人、导师与选手的化妆造型安排。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14.</w:t>
      </w:r>
      <w:r>
        <w:rPr>
          <w:rFonts w:hint="eastAsia" w:ascii="仿宋_GB2312" w:hAnsi="仿宋" w:eastAsia="仿宋_GB2312" w:cs="仿宋"/>
          <w:sz w:val="32"/>
          <w:szCs w:val="32"/>
          <w:highlight w:val="none"/>
          <w:lang w:val="en-US" w:eastAsia="zh-CN"/>
        </w:rPr>
        <w:t>负责策划诗词游园会的互动体验环节，包括但不限于飞花令、NPC诗词互动、蹴鞠、投壶等传统游戏体验，以及其他创新活动形式。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15.</w:t>
      </w:r>
      <w:r>
        <w:rPr>
          <w:rFonts w:hint="eastAsia" w:ascii="仿宋_GB2312" w:hAnsi="仿宋" w:eastAsia="仿宋_GB2312" w:cs="仿宋"/>
          <w:sz w:val="32"/>
          <w:szCs w:val="32"/>
          <w:highlight w:val="none"/>
          <w:lang w:val="en-US" w:eastAsia="zh-CN"/>
        </w:rPr>
        <w:t>负责获奖证书的设计制作与奖品采购。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w:t>
      </w:r>
      <w:r>
        <w:rPr>
          <w:rFonts w:hint="eastAsia" w:ascii="仿宋_GB2312" w:hAnsi="仿宋" w:eastAsia="仿宋_GB2312" w:cs="仿宋"/>
          <w:sz w:val="32"/>
          <w:szCs w:val="32"/>
          <w:highlight w:val="none"/>
          <w:lang w:val="en-US" w:eastAsia="zh-CN"/>
        </w:rPr>
        <w:t>负责现场后勤保障，包括工作人员及相关参与人员的用餐、饮水等安排。</w:t>
      </w:r>
    </w:p>
    <w:p>
      <w:pPr>
        <w:pStyle w:val="4"/>
        <w:ind w:firstLine="642"/>
        <w:rPr>
          <w:rFonts w:hint="eastAsia" w:ascii="仿宋_GB2312" w:hAnsi="仿宋" w:eastAsia="仿宋_GB2312" w:cs="仿宋"/>
          <w:b w:val="0"/>
          <w:bCs w:val="0"/>
          <w:kern w:val="2"/>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17.</w:t>
      </w:r>
      <w:r>
        <w:rPr>
          <w:rFonts w:hint="eastAsia" w:ascii="仿宋_GB2312" w:hAnsi="仿宋" w:eastAsia="仿宋_GB2312" w:cs="仿宋"/>
          <w:b w:val="0"/>
          <w:bCs w:val="0"/>
          <w:kern w:val="2"/>
          <w:sz w:val="32"/>
          <w:szCs w:val="32"/>
          <w:highlight w:val="none"/>
          <w:lang w:val="en-US" w:eastAsia="zh-CN" w:bidi="ar-SA"/>
        </w:rPr>
        <w:t>负责所有参赛选手及相关人员的统筹与组织管理。</w:t>
      </w:r>
    </w:p>
    <w:p>
      <w:pPr>
        <w:pStyle w:val="4"/>
        <w:ind w:firstLine="642"/>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18.负责赛事期间的安全保障工作，包括安保人员邀请及活动保险，高度重视安全工作，确保活动有序开展；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19.</w:t>
      </w:r>
      <w:r>
        <w:rPr>
          <w:rFonts w:hint="eastAsia" w:ascii="仿宋_GB2312" w:hAnsi="仿宋" w:eastAsia="仿宋_GB2312" w:cs="仿宋"/>
          <w:sz w:val="32"/>
          <w:szCs w:val="32"/>
          <w:highlight w:val="none"/>
          <w:lang w:val="en-US" w:eastAsia="zh-CN"/>
        </w:rPr>
        <w:t>坚持公平、公正原则，杜绝徇私舞弊。活动以学习与弘扬传统文化为宗旨，所有选手须严格遵守竞赛规则。</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20.活动所有文字、图片、视频等资料的版权归主办方所有</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21.由于供应商原因造成活动物料质量低劣，不能满足采购方要求时，供应商应继续完善直至达，其相关费用由供应商承担；</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22.由于不可抗力因素、场地或人员安排冲突等原因导致活动改期，供应商应积极配合，并提供最优解决方案；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23.完成采购方要求的其他相关工作，保证活动高质量完成。</w:t>
      </w:r>
    </w:p>
    <w:p>
      <w:pPr>
        <w:pStyle w:val="5"/>
        <w:ind w:left="0" w:leftChars="0" w:firstLine="0" w:firstLineChars="0"/>
        <w:rPr>
          <w:rFonts w:hint="default" w:eastAsia="仿宋_GB2312"/>
          <w:lang w:val="en-US" w:eastAsia="zh-CN"/>
        </w:rPr>
      </w:pPr>
    </w:p>
    <w:p>
      <w:pPr>
        <w:numPr>
          <w:ilvl w:val="0"/>
          <w:numId w:val="2"/>
        </w:numPr>
        <w:tabs>
          <w:tab w:val="left" w:pos="1820"/>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6"/>
          <w:lang w:val="en-US" w:eastAsia="zh-CN"/>
        </w:rPr>
        <w:t>18万元</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b/>
          <w:bCs/>
          <w:sz w:val="32"/>
          <w:szCs w:val="32"/>
          <w:lang w:eastAsia="zh-CN"/>
        </w:rPr>
        <w:t>项目报价表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r>
        <w:rPr>
          <w:rFonts w:hint="eastAsia" w:ascii="仿宋_GB2312" w:hAnsi="仿宋_GB2312" w:eastAsia="仿宋_GB2312" w:cs="仿宋_GB2312"/>
          <w:kern w:val="2"/>
          <w:sz w:val="32"/>
          <w:szCs w:val="32"/>
          <w:highlight w:val="none"/>
          <w:lang w:val="en-US" w:eastAsia="zh-CN" w:bidi="ar-SA"/>
        </w:rPr>
        <w:t>。</w:t>
      </w:r>
    </w:p>
    <w:tbl>
      <w:tblPr>
        <w:tblStyle w:val="10"/>
        <w:tblW w:w="8528"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2"/>
        <w:gridCol w:w="2309"/>
        <w:gridCol w:w="2292"/>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22" w:type="dxa"/>
            <w:tcBorders>
              <w:top w:val="single" w:color="auto" w:sz="4" w:space="0"/>
              <w:left w:val="single" w:color="000000" w:sz="4" w:space="0"/>
              <w:right w:val="single" w:color="000000" w:sz="4" w:space="0"/>
            </w:tcBorders>
            <w:shd w:val="clear" w:color="auto" w:fill="auto"/>
            <w:noWrap/>
            <w:vAlign w:val="top"/>
          </w:tcPr>
          <w:p>
            <w:pPr>
              <w:pStyle w:val="5"/>
              <w:spacing w:after="0" w:line="560" w:lineRule="exact"/>
              <w:ind w:left="0" w:leftChars="0" w:right="0" w:righ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序号</w:t>
            </w:r>
          </w:p>
        </w:tc>
        <w:tc>
          <w:tcPr>
            <w:tcW w:w="2309" w:type="dxa"/>
            <w:tcBorders>
              <w:top w:val="single" w:color="auto" w:sz="4" w:space="0"/>
              <w:left w:val="single" w:color="000000" w:sz="4" w:space="0"/>
              <w:bottom w:val="single" w:color="000000" w:sz="4" w:space="0"/>
              <w:right w:val="single" w:color="000000" w:sz="4" w:space="0"/>
            </w:tcBorders>
            <w:shd w:val="clear" w:color="auto" w:fill="auto"/>
            <w:noWrap/>
            <w:vAlign w:val="top"/>
          </w:tcPr>
          <w:p>
            <w:pPr>
              <w:pStyle w:val="5"/>
              <w:spacing w:after="0" w:line="560" w:lineRule="exact"/>
              <w:ind w:left="0" w:leftChars="0" w:right="0" w:righ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项目</w:t>
            </w:r>
            <w:r>
              <w:rPr>
                <w:rFonts w:hint="eastAsia" w:ascii="仿宋_GB2312" w:hAnsi="仿宋_GB2312" w:eastAsia="仿宋_GB2312" w:cs="仿宋_GB2312"/>
                <w:sz w:val="32"/>
                <w:szCs w:val="32"/>
                <w:vertAlign w:val="baseline"/>
                <w:lang w:val="en-US" w:eastAsia="zh-CN"/>
              </w:rPr>
              <w:t>/内容</w:t>
            </w:r>
          </w:p>
        </w:tc>
        <w:tc>
          <w:tcPr>
            <w:tcW w:w="2292" w:type="dxa"/>
            <w:tcBorders>
              <w:top w:val="single" w:color="auto" w:sz="4" w:space="0"/>
              <w:left w:val="single" w:color="000000" w:sz="4" w:space="0"/>
              <w:bottom w:val="single" w:color="000000" w:sz="4" w:space="0"/>
              <w:right w:val="single" w:color="000000" w:sz="4" w:space="0"/>
            </w:tcBorders>
            <w:shd w:val="clear" w:color="auto" w:fill="auto"/>
            <w:noWrap/>
            <w:vAlign w:val="top"/>
          </w:tcPr>
          <w:p>
            <w:pPr>
              <w:pStyle w:val="5"/>
              <w:spacing w:after="0" w:line="560" w:lineRule="exact"/>
              <w:ind w:left="0" w:leftChars="0" w:right="0" w:righ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单位</w:t>
            </w:r>
          </w:p>
        </w:tc>
        <w:tc>
          <w:tcPr>
            <w:tcW w:w="2005" w:type="dxa"/>
            <w:tcBorders>
              <w:top w:val="single" w:color="auto" w:sz="4" w:space="0"/>
              <w:left w:val="single" w:color="000000" w:sz="4" w:space="0"/>
              <w:bottom w:val="single" w:color="000000" w:sz="4" w:space="0"/>
              <w:right w:val="single" w:color="000000" w:sz="4" w:space="0"/>
            </w:tcBorders>
            <w:shd w:val="clear" w:color="auto" w:fill="auto"/>
            <w:noWrap/>
            <w:vAlign w:val="top"/>
          </w:tcPr>
          <w:p>
            <w:pPr>
              <w:pStyle w:val="5"/>
              <w:spacing w:after="0" w:line="560" w:lineRule="exact"/>
              <w:ind w:left="0" w:leftChars="0" w:right="0" w:rightChars="0" w:firstLine="0" w:firstLineChars="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92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2"/>
                <w:sz w:val="18"/>
                <w:szCs w:val="18"/>
                <w:u w:val="none"/>
                <w:lang w:val="en-US" w:eastAsia="zh-CN" w:bidi="ar-SA"/>
              </w:rPr>
              <w:t>1</w:t>
            </w:r>
          </w:p>
        </w:tc>
        <w:tc>
          <w:tcPr>
            <w:tcW w:w="230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题库开发</w:t>
            </w:r>
          </w:p>
        </w:tc>
        <w:tc>
          <w:tcPr>
            <w:tcW w:w="22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照片直播及视频剪辑</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922"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ascii="微软雅黑" w:hAnsi="微软雅黑" w:eastAsia="微软雅黑" w:cs="微软雅黑"/>
                <w:i w:val="0"/>
                <w:iCs w:val="0"/>
                <w:color w:val="000000"/>
                <w:kern w:val="0"/>
                <w:sz w:val="18"/>
                <w:szCs w:val="18"/>
                <w:u w:val="none"/>
                <w:lang w:val="en-US" w:eastAsia="zh-CN" w:bidi="ar"/>
              </w:rPr>
              <w:t>视频直播</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活动物料</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活动策划</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6</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活动设计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7</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活动设备运输</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8</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比赛规则视频制作</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9</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安全保障</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9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10</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后勤保障</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9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11</w:t>
            </w:r>
          </w:p>
        </w:tc>
        <w:tc>
          <w:tcPr>
            <w:tcW w:w="230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线上</w:t>
            </w:r>
            <w:r>
              <w:rPr>
                <w:rFonts w:hint="default" w:ascii="微软雅黑" w:hAnsi="微软雅黑" w:eastAsia="微软雅黑" w:cs="微软雅黑"/>
                <w:i w:val="0"/>
                <w:iCs w:val="0"/>
                <w:color w:val="000000"/>
                <w:kern w:val="0"/>
                <w:sz w:val="18"/>
                <w:szCs w:val="18"/>
                <w:u w:val="none"/>
                <w:lang w:val="en-US" w:eastAsia="zh-CN" w:bidi="ar"/>
              </w:rPr>
              <w:t>互动H5</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12</w:t>
            </w:r>
          </w:p>
        </w:tc>
        <w:tc>
          <w:tcPr>
            <w:tcW w:w="230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音响设备</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92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13</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人员劳务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192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14</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舞美布置及清理</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92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15</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游园会互动体验</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8528"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供应商报价（元）：____________________</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2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20"/>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cs="仿宋"/>
          <w:sz w:val="32"/>
          <w:szCs w:val="32"/>
          <w:lang w:eastAsia="zh-CN"/>
        </w:rPr>
        <w:t>；</w:t>
      </w:r>
    </w:p>
    <w:p>
      <w:pPr>
        <w:pStyle w:val="20"/>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（三）</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cs="仿宋"/>
          <w:sz w:val="32"/>
          <w:szCs w:val="32"/>
          <w:highlight w:val="none"/>
          <w:lang w:eastAsia="zh-CN"/>
        </w:rPr>
        <w:t>。</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22"/>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采取综合评分标准，平均分最高的投标人为本项目中标人。</w:t>
      </w:r>
    </w:p>
    <w:p>
      <w:pPr>
        <w:pStyle w:val="22"/>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0"/>
        <w:tblW w:w="8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技术</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22"/>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70"/>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报价</w:t>
            </w:r>
          </w:p>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30分</w:t>
            </w:r>
            <w:r>
              <w:rPr>
                <w:rFonts w:hint="eastAsia" w:ascii="仿宋_GB2312" w:hAnsi="仿宋_GB2312" w:eastAsia="仿宋_GB2312" w:cs="仿宋_GB2312"/>
                <w:sz w:val="24"/>
                <w:szCs w:val="24"/>
                <w:vertAlign w:val="baseline"/>
                <w:lang w:eastAsia="zh-CN"/>
              </w:rPr>
              <w:t>）</w:t>
            </w:r>
          </w:p>
        </w:tc>
        <w:tc>
          <w:tcPr>
            <w:tcW w:w="1170" w:type="dxa"/>
            <w:noWrap w:val="0"/>
            <w:vAlign w:val="top"/>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w:t>
            </w:r>
          </w:p>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因素</w:t>
            </w:r>
          </w:p>
        </w:tc>
        <w:tc>
          <w:tcPr>
            <w:tcW w:w="6143" w:type="dxa"/>
            <w:noWrap w:val="0"/>
            <w:vAlign w:val="center"/>
          </w:tcPr>
          <w:p>
            <w:pPr>
              <w:spacing w:line="560" w:lineRule="exact"/>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topLinePunct/>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w:t>
            </w:r>
          </w:p>
        </w:tc>
        <w:tc>
          <w:tcPr>
            <w:tcW w:w="6143" w:type="dxa"/>
            <w:noWrap w:val="0"/>
            <w:vAlign w:val="center"/>
          </w:tcPr>
          <w:p>
            <w:pPr>
              <w:topLinePunct/>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1" w:type="dxa"/>
            <w:gridSpan w:val="3"/>
            <w:noWrap w:val="0"/>
            <w:vAlign w:val="top"/>
          </w:tcPr>
          <w:p>
            <w:pPr>
              <w:spacing w:line="560" w:lineRule="exact"/>
              <w:jc w:val="lef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8"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商务</w:t>
            </w:r>
          </w:p>
          <w:p>
            <w:pPr>
              <w:pStyle w:val="4"/>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部分</w:t>
            </w:r>
          </w:p>
          <w:p>
            <w:pPr>
              <w:pStyle w:val="4"/>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25分</w:t>
            </w:r>
            <w:r>
              <w:rPr>
                <w:rFonts w:hint="eastAsia" w:ascii="仿宋_GB2312" w:hAnsi="仿宋_GB2312" w:eastAsia="仿宋_GB2312" w:cs="仿宋_GB2312"/>
                <w:sz w:val="24"/>
                <w:szCs w:val="24"/>
                <w:vertAlign w:val="baseline"/>
                <w:lang w:eastAsia="zh-CN"/>
              </w:rPr>
              <w:t>）</w:t>
            </w:r>
          </w:p>
        </w:tc>
        <w:tc>
          <w:tcPr>
            <w:tcW w:w="1170" w:type="dxa"/>
            <w:noWrap w:val="0"/>
            <w:vAlign w:val="top"/>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w:t>
            </w:r>
          </w:p>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因素</w:t>
            </w:r>
          </w:p>
        </w:tc>
        <w:tc>
          <w:tcPr>
            <w:tcW w:w="6143" w:type="dxa"/>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同类项目经验（</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p>
        </w:tc>
        <w:tc>
          <w:tcPr>
            <w:tcW w:w="6143" w:type="dxa"/>
            <w:noWrap w:val="0"/>
            <w:vAlign w:val="top"/>
          </w:tcPr>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topLinePunct/>
              <w:snapToGrid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投标人自202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年1月1日至本项目投标截止日（以合同签订日期为准），</w:t>
            </w:r>
            <w:r>
              <w:rPr>
                <w:rFonts w:hint="eastAsia" w:ascii="仿宋_GB2312" w:hAnsi="仿宋_GB2312" w:eastAsia="仿宋_GB2312" w:cs="仿宋_GB2312"/>
                <w:sz w:val="24"/>
                <w:szCs w:val="24"/>
                <w:lang w:val="en-US" w:eastAsia="zh-CN"/>
              </w:rPr>
              <w:t>每提供一项文化活动</w:t>
            </w:r>
            <w:r>
              <w:rPr>
                <w:rFonts w:hint="eastAsia" w:ascii="仿宋_GB2312" w:hAnsi="仿宋_GB2312" w:eastAsia="仿宋_GB2312" w:cs="仿宋_GB2312"/>
                <w:sz w:val="24"/>
                <w:szCs w:val="24"/>
                <w:lang w:eastAsia="zh-CN"/>
              </w:rPr>
              <w:t>项目业绩得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lang w:val="en-US" w:eastAsia="zh-CN"/>
              </w:rPr>
              <w:t>。</w:t>
            </w:r>
          </w:p>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1、每项业绩按以下要求提供完整准确的证明文件，一个合同计算一个业绩，一年一签的续签合同只计算一个业绩：</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合同关键页（关键信息包括但不仅限于合同的项目名称、服务内容、合同服务的起止时间、合同双方的盖章、签订日期等）；</w:t>
            </w:r>
          </w:p>
          <w:p>
            <w:pPr>
              <w:topLinePunct/>
              <w:snapToGrid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拟安排项目团队成员</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（5分）</w:t>
            </w:r>
          </w:p>
        </w:tc>
        <w:tc>
          <w:tcPr>
            <w:tcW w:w="6143" w:type="dxa"/>
            <w:noWrap w:val="0"/>
            <w:vAlign w:val="center"/>
          </w:tcPr>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拟安排的项目团队成员情况：</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1、具有本科（或以上）学历，每提供</w:t>
            </w:r>
            <w:r>
              <w:rPr>
                <w:rFonts w:hint="eastAsia" w:ascii="仿宋_GB2312" w:hAnsi="仿宋_GB2312" w:eastAsia="仿宋_GB2312" w:cs="仿宋_GB2312"/>
                <w:sz w:val="24"/>
                <w:szCs w:val="24"/>
                <w:lang w:val="en-US" w:eastAsia="zh-CN"/>
              </w:rPr>
              <w:t>一个</w:t>
            </w:r>
            <w:r>
              <w:rPr>
                <w:rFonts w:hint="eastAsia" w:ascii="仿宋_GB2312" w:hAnsi="仿宋_GB2312" w:eastAsia="仿宋_GB2312" w:cs="仿宋_GB2312"/>
                <w:sz w:val="24"/>
                <w:szCs w:val="24"/>
                <w:lang w:eastAsia="zh-CN"/>
              </w:rPr>
              <w:t>上述学历的得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分（注：提供重复学历的其他人员不累计分值。）；</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、具有</w:t>
            </w:r>
            <w:r>
              <w:rPr>
                <w:rFonts w:hint="eastAsia" w:ascii="仿宋_GB2312" w:hAnsi="仿宋_GB2312" w:eastAsia="仿宋_GB2312" w:cs="仿宋_GB2312"/>
                <w:sz w:val="24"/>
                <w:szCs w:val="24"/>
                <w:lang w:val="en-US" w:eastAsia="zh-CN"/>
              </w:rPr>
              <w:t>文化活动</w:t>
            </w:r>
            <w:r>
              <w:rPr>
                <w:rFonts w:hint="eastAsia" w:ascii="仿宋_GB2312" w:hAnsi="仿宋_GB2312" w:eastAsia="仿宋_GB2312" w:cs="仿宋_GB2312"/>
                <w:sz w:val="24"/>
                <w:szCs w:val="24"/>
                <w:lang w:eastAsia="zh-CN"/>
              </w:rPr>
              <w:t>有关工作经验，每提供一人得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分，最高得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同一人具备1至</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项情况的可</w:t>
            </w:r>
            <w:r>
              <w:rPr>
                <w:rFonts w:hint="eastAsia" w:ascii="仿宋_GB2312" w:hAnsi="仿宋_GB2312" w:eastAsia="仿宋_GB2312" w:cs="仿宋_GB2312"/>
                <w:sz w:val="24"/>
                <w:szCs w:val="24"/>
                <w:lang w:val="en-US" w:eastAsia="zh-CN"/>
              </w:rPr>
              <w:t>重复得</w:t>
            </w:r>
            <w:r>
              <w:rPr>
                <w:rFonts w:hint="eastAsia" w:ascii="仿宋_GB2312" w:hAnsi="仿宋_GB2312" w:eastAsia="仿宋_GB2312" w:cs="仿宋_GB2312"/>
                <w:sz w:val="24"/>
                <w:szCs w:val="24"/>
                <w:lang w:eastAsia="zh-CN"/>
              </w:rPr>
              <w:t>分，本项最高得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w:t>
            </w:r>
          </w:p>
          <w:p>
            <w:pPr>
              <w:topLinePunct/>
              <w:snapToGrid w:val="0"/>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topLinePunct/>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提供学位或学历证书以及学信网查询记录。</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工作经验</w:t>
            </w:r>
            <w:r>
              <w:rPr>
                <w:rFonts w:hint="eastAsia" w:ascii="仿宋_GB2312" w:hAnsi="仿宋_GB2312" w:eastAsia="仿宋_GB2312" w:cs="仿宋_GB2312"/>
                <w:sz w:val="24"/>
                <w:szCs w:val="24"/>
              </w:rPr>
              <w:t>需提供合同关键页或其他可以证明的材料；合同关键（关键信息包括但不仅限于合同的项目名称、</w:t>
            </w:r>
            <w:r>
              <w:rPr>
                <w:rFonts w:hint="eastAsia" w:ascii="仿宋_GB2312" w:hAnsi="仿宋_GB2312" w:eastAsia="仿宋_GB2312" w:cs="仿宋_GB2312"/>
                <w:sz w:val="24"/>
                <w:szCs w:val="24"/>
                <w:lang w:val="en-US" w:eastAsia="zh-CN"/>
              </w:rPr>
              <w:t>项目负责人/团队成员名字、</w:t>
            </w:r>
            <w:r>
              <w:rPr>
                <w:rFonts w:hint="eastAsia" w:ascii="仿宋_GB2312" w:hAnsi="仿宋_GB2312" w:eastAsia="仿宋_GB2312" w:cs="仿宋_GB2312"/>
                <w:sz w:val="24"/>
                <w:szCs w:val="24"/>
              </w:rPr>
              <w:t>服务内容、</w:t>
            </w:r>
            <w:r>
              <w:rPr>
                <w:rFonts w:hint="eastAsia" w:ascii="仿宋_GB2312" w:hAnsi="仿宋_GB2312" w:eastAsia="仿宋_GB2312" w:cs="仿宋_GB2312"/>
                <w:sz w:val="24"/>
                <w:szCs w:val="24"/>
                <w:lang w:val="en-US" w:eastAsia="zh-CN"/>
              </w:rPr>
              <w:t>合同双方盖章页</w:t>
            </w:r>
            <w:r>
              <w:rPr>
                <w:rFonts w:hint="eastAsia" w:ascii="仿宋_GB2312" w:hAnsi="仿宋_GB2312" w:eastAsia="仿宋_GB2312" w:cs="仿宋_GB2312"/>
                <w:sz w:val="24"/>
                <w:szCs w:val="24"/>
              </w:rPr>
              <w:t>），以及满足评分要求的服务内容。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诚信</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承诺</w:t>
            </w:r>
          </w:p>
          <w:p>
            <w:pPr>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（5分）</w:t>
            </w:r>
          </w:p>
        </w:tc>
        <w:tc>
          <w:tcPr>
            <w:tcW w:w="6143" w:type="dxa"/>
            <w:noWrap w:val="0"/>
            <w:vAlign w:val="top"/>
          </w:tcPr>
          <w:p>
            <w:pPr>
              <w:topLinePunct/>
              <w:snapToGrid w:val="0"/>
              <w:jc w:val="lef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（一）评审内容：</w:t>
            </w:r>
          </w:p>
          <w:p>
            <w:pPr>
              <w:topLinePunct/>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投标人在参与政府采购活动中出现诚信相关问题且在相关主管部门处理措施实施期限内的本项不得分，否则得满分。</w:t>
            </w:r>
          </w:p>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（二）评审依据：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投标人需按招标文件格式要求提供《诚信承诺函》，</w:t>
            </w:r>
            <w:r>
              <w:rPr>
                <w:rFonts w:hint="eastAsia" w:ascii="仿宋_GB2312" w:hAnsi="仿宋_GB2312" w:eastAsia="仿宋_GB2312" w:cs="仿宋_GB2312"/>
                <w:sz w:val="24"/>
                <w:szCs w:val="24"/>
                <w:lang w:eastAsia="zh-CN"/>
              </w:rPr>
              <w:t>详见附件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违约</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承诺</w:t>
            </w:r>
          </w:p>
          <w:p>
            <w:pPr>
              <w:spacing w:line="560" w:lineRule="exact"/>
              <w:jc w:val="center"/>
              <w:rPr>
                <w:rFonts w:hint="eastAsia"/>
                <w:lang w:eastAsia="zh-CN"/>
              </w:rPr>
            </w:pPr>
            <w:r>
              <w:rPr>
                <w:rFonts w:hint="eastAsia" w:ascii="仿宋_GB2312" w:hAnsi="仿宋_GB2312" w:eastAsia="仿宋_GB2312" w:cs="仿宋_GB2312"/>
                <w:sz w:val="24"/>
                <w:szCs w:val="24"/>
                <w:lang w:val="en-US" w:eastAsia="zh-CN"/>
              </w:rPr>
              <w:t>（5分）</w:t>
            </w:r>
          </w:p>
        </w:tc>
        <w:tc>
          <w:tcPr>
            <w:tcW w:w="6143"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spacing w:line="324" w:lineRule="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根据针对本项目做出的违约承诺，考察包括但不限于以下内容：</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sz w:val="24"/>
                <w:szCs w:val="24"/>
              </w:rPr>
              <w:t>1.严格按照招标文件及投标承诺履行义务；</w:t>
            </w:r>
          </w:p>
          <w:p>
            <w:pPr>
              <w:spacing w:line="324"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2.合同履行期间如若违约，由此造成的损失由投标人承担；</w:t>
            </w:r>
          </w:p>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topLinePunct/>
              <w:snapToGrid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违约</w:t>
            </w:r>
            <w:r>
              <w:rPr>
                <w:rFonts w:hint="eastAsia" w:ascii="仿宋_GB2312" w:hAnsi="仿宋_GB2312" w:eastAsia="仿宋_GB2312" w:cs="仿宋_GB2312"/>
                <w:sz w:val="24"/>
                <w:szCs w:val="24"/>
              </w:rPr>
              <w:t>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技术部分（45分）</w:t>
            </w:r>
          </w:p>
        </w:tc>
        <w:tc>
          <w:tcPr>
            <w:tcW w:w="1170" w:type="dxa"/>
            <w:noWrap w:val="0"/>
            <w:vAlign w:val="center"/>
          </w:tcPr>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实</w:t>
            </w:r>
            <w:r>
              <w:rPr>
                <w:rFonts w:hint="eastAsia" w:ascii="仿宋_GB2312" w:hAnsi="仿宋_GB2312" w:eastAsia="仿宋_GB2312" w:cs="仿宋_GB2312"/>
                <w:sz w:val="24"/>
                <w:szCs w:val="24"/>
                <w:lang w:val="en-US" w:eastAsia="zh-CN"/>
              </w:rPr>
              <w:t>施</w:t>
            </w:r>
          </w:p>
          <w:p>
            <w:pPr>
              <w:spacing w:line="5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方案</w:t>
            </w:r>
          </w:p>
          <w:p>
            <w:pPr>
              <w:spacing w:line="560" w:lineRule="exact"/>
              <w:jc w:val="center"/>
              <w:rPr>
                <w:rFonts w:hint="eastAsia"/>
                <w:lang w:eastAsia="zh-CN"/>
              </w:rPr>
            </w:pPr>
            <w:r>
              <w:rPr>
                <w:rFonts w:hint="eastAsia" w:ascii="仿宋_GB2312" w:hAnsi="仿宋_GB2312" w:eastAsia="仿宋_GB2312" w:cs="仿宋_GB2312"/>
                <w:sz w:val="24"/>
                <w:szCs w:val="24"/>
                <w:lang w:val="en-US" w:eastAsia="zh-CN"/>
              </w:rPr>
              <w:t>（25分）</w:t>
            </w:r>
          </w:p>
        </w:tc>
        <w:tc>
          <w:tcPr>
            <w:tcW w:w="6143"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根据投标人提供的实施方案，考察包括但不限于：</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1.对项目需求的认识和理解；</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2.项目目标和成果；</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3.组织架构和人员管理；</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4.工作思路和流程。</w:t>
            </w:r>
          </w:p>
          <w:p>
            <w:pPr>
              <w:topLinePunct/>
              <w:snapToGrid w:val="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满足以上任意一项要求得4分，最高得16分，在此基础上。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1.优：项目实施方案内容全面、具体、针对性强、科学合理、可操作性强得9分；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2.良：项目实施方案内容较全面、较具体、针对性较强、较科学合理、可操作性较强得6分；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3.中：项目实施方案内容较基本全面、一般具体、针对性一般、一般科学合理、可操作性一般得3分；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highlight w:val="none"/>
                <w:lang w:val="en-US" w:eastAsia="zh-CN"/>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spacing w:line="560" w:lineRule="exact"/>
              <w:rPr>
                <w:rFonts w:hint="eastAsia" w:ascii="仿宋_GB2312" w:hAnsi="仿宋_GB2312" w:eastAsia="仿宋_GB2312" w:cs="仿宋_GB2312"/>
                <w:sz w:val="24"/>
                <w:szCs w:val="24"/>
                <w:vertAlign w:val="baseline"/>
                <w:lang w:val="en-US" w:eastAsia="zh-CN"/>
              </w:rPr>
            </w:pPr>
          </w:p>
        </w:tc>
        <w:tc>
          <w:tcPr>
            <w:tcW w:w="1170" w:type="dxa"/>
            <w:noWrap w:val="0"/>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项目重点难点分析、应对措施及相关的合理化建议</w:t>
            </w:r>
          </w:p>
          <w:p>
            <w:pPr>
              <w:spacing w:line="560" w:lineRule="exact"/>
              <w:jc w:val="center"/>
              <w:rPr>
                <w:rFonts w:hint="eastAsia"/>
                <w:lang w:eastAsia="zh-CN"/>
              </w:rPr>
            </w:pPr>
            <w:r>
              <w:rPr>
                <w:rFonts w:hint="eastAsia" w:ascii="仿宋_GB2312" w:hAnsi="仿宋_GB2312" w:eastAsia="仿宋_GB2312" w:cs="仿宋_GB2312"/>
                <w:sz w:val="24"/>
                <w:szCs w:val="24"/>
                <w:vertAlign w:val="baseline"/>
                <w:lang w:val="en-US" w:eastAsia="zh-CN"/>
              </w:rPr>
              <w:t>（20分）</w:t>
            </w:r>
          </w:p>
        </w:tc>
        <w:tc>
          <w:tcPr>
            <w:tcW w:w="6143" w:type="dxa"/>
            <w:noWrap w:val="0"/>
            <w:vAlign w:val="top"/>
          </w:tcPr>
          <w:p>
            <w:pPr>
              <w:topLinePunct/>
              <w:snapToGrid w:val="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考察对项目工作量、可完成度等重点难点问题的识别和分析能力，并就识别出的重点难点提出可行的应对措施及合理化建议。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包括但不限于以下内容：</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1.详细阐述本项目存在的重难点问题；</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2.根据项目重难点，详细阐述对应的应对措施；</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3.向招标方提出项目实施及与其他建设项目协调的具体建议。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满足以上任意一项要求得4分，最高得12分，在此基础上。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优：以上项目重点难点分析、应对措施及相关的合理化建议的三点内容全面具体、针对性强、可操作性强，加</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良：以上项目重点难点分析、应对措施及相关的合理化建议的三点内容较全面、针对性较强、可操作性较强，加</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中：以上项目重点难点分析、应对措施及相关的合理化建议的三点内容完整性、针对性、可操作性均一般，加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pPr>
              <w:keepNext w:val="0"/>
              <w:keepLines w:val="0"/>
              <w:pageBreakBefore w:val="0"/>
              <w:widowControl w:val="0"/>
              <w:snapToGrid/>
              <w:spacing w:line="276" w:lineRule="auto"/>
              <w:ind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差：</w:t>
            </w:r>
            <w:r>
              <w:rPr>
                <w:rFonts w:hint="eastAsia" w:ascii="仿宋_GB2312" w:hAnsi="仿宋_GB2312" w:eastAsia="仿宋_GB2312" w:cs="仿宋_GB2312"/>
                <w:color w:val="auto"/>
                <w:sz w:val="24"/>
                <w:szCs w:val="24"/>
                <w:highlight w:val="none"/>
                <w:lang w:val="en-US" w:eastAsia="zh-CN"/>
              </w:rPr>
              <w:t>其它情况不得分。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22"/>
        <w:spacing w:line="56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b/>
          <w:bCs w:val="0"/>
          <w:color w:val="FF0000"/>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5"/>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5"/>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5"/>
        <w:spacing w:after="0" w:line="560" w:lineRule="exact"/>
        <w:ind w:left="0" w:leftChars="0" w:right="0" w:rightChars="0" w:firstLine="640"/>
        <w:rPr>
          <w:rFonts w:hint="eastAsia" w:ascii="仿宋_GB2312" w:hAnsi="仿宋" w:eastAsia="仿宋_GB2312" w:cs="Times New Roman"/>
          <w:sz w:val="32"/>
        </w:rPr>
      </w:pPr>
      <w:r>
        <w:rPr>
          <w:rFonts w:hint="eastAsia" w:ascii="仿宋_GB2312" w:hAnsi="仿宋" w:eastAsia="仿宋_GB2312" w:cs="Times New Roman"/>
          <w:sz w:val="32"/>
        </w:rPr>
        <w:t>5</w:t>
      </w:r>
      <w:r>
        <w:rPr>
          <w:rFonts w:hint="eastAsia" w:ascii="仿宋_GB2312" w:hAnsi="仿宋" w:eastAsia="仿宋_GB2312" w:cs="Times New Roman"/>
          <w:sz w:val="32"/>
          <w:highlight w:val="none"/>
        </w:rPr>
        <w:t>.</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）并提供表中投标（响应）供应商相关人员的近三个月社保缴纳情况，若本月社保未能提供，则提供前三个月的社保情况，如供应商为新成立企业且成立时间不足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5"/>
        <w:spacing w:after="0" w:line="560" w:lineRule="exact"/>
        <w:ind w:left="0" w:leftChars="0" w:right="0" w:rightChars="0" w:firstLine="640"/>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2"/>
          <w:highlight w:val="none"/>
          <w:lang w:val="en-US" w:eastAsia="zh-CN" w:bidi="ar-SA"/>
        </w:rPr>
        <w:t>1.供应商需</w:t>
      </w:r>
      <w:r>
        <w:rPr>
          <w:rFonts w:hint="default" w:ascii="仿宋_GB2312" w:hAnsi="仿宋" w:eastAsia="仿宋_GB2312" w:cs="Times New Roman"/>
          <w:kern w:val="2"/>
          <w:sz w:val="32"/>
          <w:szCs w:val="22"/>
          <w:highlight w:val="none"/>
          <w:lang w:val="en-US" w:eastAsia="zh-CN" w:bidi="ar-SA"/>
        </w:rPr>
        <w:t>深圳政府采购自行采购系统</w:t>
      </w:r>
      <w:r>
        <w:rPr>
          <w:rFonts w:hint="eastAsia" w:ascii="仿宋_GB2312" w:hAnsi="仿宋" w:eastAsia="仿宋_GB2312" w:cs="Times New Roman"/>
          <w:kern w:val="2"/>
          <w:sz w:val="32"/>
          <w:szCs w:val="22"/>
          <w:highlight w:val="none"/>
          <w:lang w:val="en-US" w:eastAsia="zh-CN" w:bidi="ar-SA"/>
        </w:rPr>
        <w:t>完成供应商注册（网址：https://zxcg.szggzy.com/home/index.html），请于本项目投标截止时间前完成注册，否则如中标/成交，可能影响采购结果的发布。</w:t>
      </w:r>
    </w:p>
    <w:p>
      <w:pPr>
        <w:pStyle w:val="5"/>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highlight w:val="none"/>
          <w:lang w:val="en-US" w:eastAsia="zh-CN"/>
        </w:rPr>
        <w:t>5</w:t>
      </w:r>
      <w:r>
        <w:rPr>
          <w:rFonts w:hint="eastAsia" w:ascii="仿宋_GB2312" w:hAnsi="仿宋" w:eastAsia="仿宋_GB2312" w:cs="Times New Roman"/>
          <w:sz w:val="32"/>
        </w:rPr>
        <w:t>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并在封面备注“龙华区第七届诗词大会</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5"/>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25"/>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pStyle w:val="25"/>
        <w:spacing w:line="560" w:lineRule="exact"/>
        <w:ind w:firstLine="0" w:firstLineChars="0"/>
        <w:rPr>
          <w:rFonts w:ascii="仿宋_GB2312" w:hAnsi="仿宋" w:eastAsia="仿宋_GB2312" w:cs="Times New Roman"/>
          <w:sz w:val="32"/>
        </w:rPr>
      </w:pPr>
      <w:r>
        <w:rPr>
          <w:rFonts w:ascii="仿宋_GB2312" w:hAnsi="仿宋" w:eastAsia="仿宋_GB2312" w:cs="Times New Roman"/>
          <w:sz w:val="32"/>
        </w:rPr>
        <w:br w:type="page"/>
      </w:r>
    </w:p>
    <w:p>
      <w:pPr>
        <w:pStyle w:val="25"/>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4"/>
        <w:rPr>
          <w:rFonts w:hint="default"/>
          <w:lang w:val="en-US" w:eastAsia="zh-CN"/>
        </w:rPr>
      </w:pPr>
    </w:p>
    <w:p>
      <w:pPr>
        <w:pStyle w:val="25"/>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1"/>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3"/>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pStyle w:val="5"/>
        <w:ind w:left="0" w:leftChars="0" w:firstLine="0" w:firstLineChars="0"/>
        <w:rPr>
          <w:rFonts w:hint="default" w:ascii="仿宋_GB2312" w:hAnsi="仿宋" w:eastAsia="仿宋_GB2312" w:cs="仿宋"/>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32EE"/>
    <w:multiLevelType w:val="singleLevel"/>
    <w:tmpl w:val="D5CF32EE"/>
    <w:lvl w:ilvl="0" w:tentative="0">
      <w:start w:val="4"/>
      <w:numFmt w:val="chineseCounting"/>
      <w:suff w:val="nothing"/>
      <w:lvlText w:val="%1、"/>
      <w:lvlJc w:val="left"/>
      <w:rPr>
        <w:rFonts w:hint="eastAsia"/>
      </w:rPr>
    </w:lvl>
  </w:abstractNum>
  <w:abstractNum w:abstractNumId="1">
    <w:nsid w:val="5EF6273B"/>
    <w:multiLevelType w:val="singleLevel"/>
    <w:tmpl w:val="5EF6273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ZTE4YWMwMjkxODhmM2VjNjk2ZGQ1OTgyNTFmYTcifQ=="/>
  </w:docVars>
  <w:rsids>
    <w:rsidRoot w:val="00000000"/>
    <w:rsid w:val="000A70F5"/>
    <w:rsid w:val="000F762B"/>
    <w:rsid w:val="00FD4358"/>
    <w:rsid w:val="0299365C"/>
    <w:rsid w:val="02A14404"/>
    <w:rsid w:val="02ED4ABC"/>
    <w:rsid w:val="037261DA"/>
    <w:rsid w:val="03806CB0"/>
    <w:rsid w:val="03BA7C4F"/>
    <w:rsid w:val="04F94B0A"/>
    <w:rsid w:val="04FF4024"/>
    <w:rsid w:val="05701B1B"/>
    <w:rsid w:val="06272FC8"/>
    <w:rsid w:val="07E6528B"/>
    <w:rsid w:val="081C21BA"/>
    <w:rsid w:val="082A6214"/>
    <w:rsid w:val="086E178C"/>
    <w:rsid w:val="0B1A5ABE"/>
    <w:rsid w:val="0D4A4E59"/>
    <w:rsid w:val="0D8B0100"/>
    <w:rsid w:val="0E336732"/>
    <w:rsid w:val="0F385370"/>
    <w:rsid w:val="0F942AAF"/>
    <w:rsid w:val="10152737"/>
    <w:rsid w:val="10B75584"/>
    <w:rsid w:val="112315AA"/>
    <w:rsid w:val="12274BF2"/>
    <w:rsid w:val="130D1888"/>
    <w:rsid w:val="13662464"/>
    <w:rsid w:val="144942F4"/>
    <w:rsid w:val="1517333D"/>
    <w:rsid w:val="15873393"/>
    <w:rsid w:val="15DE511D"/>
    <w:rsid w:val="17115D70"/>
    <w:rsid w:val="180C63B2"/>
    <w:rsid w:val="18462EE2"/>
    <w:rsid w:val="18A269AB"/>
    <w:rsid w:val="1CD21D63"/>
    <w:rsid w:val="1D23268B"/>
    <w:rsid w:val="1DEA08D0"/>
    <w:rsid w:val="1F012782"/>
    <w:rsid w:val="1FA45CB2"/>
    <w:rsid w:val="1FFB7A1A"/>
    <w:rsid w:val="22230EE0"/>
    <w:rsid w:val="235D47F0"/>
    <w:rsid w:val="236849F0"/>
    <w:rsid w:val="238B4897"/>
    <w:rsid w:val="23FA4A23"/>
    <w:rsid w:val="264E265F"/>
    <w:rsid w:val="2704160A"/>
    <w:rsid w:val="28EC0F86"/>
    <w:rsid w:val="29065AE1"/>
    <w:rsid w:val="29B7781F"/>
    <w:rsid w:val="2AAD1FBB"/>
    <w:rsid w:val="2AD30AC6"/>
    <w:rsid w:val="2B3A4917"/>
    <w:rsid w:val="2B49205D"/>
    <w:rsid w:val="2BC813F8"/>
    <w:rsid w:val="2BCA72ED"/>
    <w:rsid w:val="2DE10DF9"/>
    <w:rsid w:val="2E5F739F"/>
    <w:rsid w:val="2ED950C8"/>
    <w:rsid w:val="306A153F"/>
    <w:rsid w:val="321111A9"/>
    <w:rsid w:val="3245497B"/>
    <w:rsid w:val="32D24F5E"/>
    <w:rsid w:val="34185F52"/>
    <w:rsid w:val="348113C1"/>
    <w:rsid w:val="35A47850"/>
    <w:rsid w:val="35D92994"/>
    <w:rsid w:val="361735D6"/>
    <w:rsid w:val="3715010C"/>
    <w:rsid w:val="37ED0DFC"/>
    <w:rsid w:val="389D7E6F"/>
    <w:rsid w:val="38FF1191"/>
    <w:rsid w:val="395170EE"/>
    <w:rsid w:val="395C4529"/>
    <w:rsid w:val="3A6B5A80"/>
    <w:rsid w:val="3C4115E4"/>
    <w:rsid w:val="3C6B36A0"/>
    <w:rsid w:val="3CC41D19"/>
    <w:rsid w:val="3D413CB5"/>
    <w:rsid w:val="3D6B2252"/>
    <w:rsid w:val="3DBD16A1"/>
    <w:rsid w:val="3E350BC9"/>
    <w:rsid w:val="3EA7797A"/>
    <w:rsid w:val="3F1F1C2A"/>
    <w:rsid w:val="3F743193"/>
    <w:rsid w:val="3FAA29DA"/>
    <w:rsid w:val="404A7B24"/>
    <w:rsid w:val="406412D2"/>
    <w:rsid w:val="40810C79"/>
    <w:rsid w:val="408D7917"/>
    <w:rsid w:val="41B27AF0"/>
    <w:rsid w:val="42126DD2"/>
    <w:rsid w:val="42DA2D11"/>
    <w:rsid w:val="4314461B"/>
    <w:rsid w:val="43523264"/>
    <w:rsid w:val="43897CE6"/>
    <w:rsid w:val="43F459FD"/>
    <w:rsid w:val="441B263E"/>
    <w:rsid w:val="45A901E2"/>
    <w:rsid w:val="46190247"/>
    <w:rsid w:val="46E56473"/>
    <w:rsid w:val="47271AF0"/>
    <w:rsid w:val="47AC489C"/>
    <w:rsid w:val="48D10989"/>
    <w:rsid w:val="4902618C"/>
    <w:rsid w:val="492E4865"/>
    <w:rsid w:val="497175BD"/>
    <w:rsid w:val="4A274EC8"/>
    <w:rsid w:val="4B77788B"/>
    <w:rsid w:val="4C484939"/>
    <w:rsid w:val="4C5A74AA"/>
    <w:rsid w:val="4C8C268C"/>
    <w:rsid w:val="4CF107F4"/>
    <w:rsid w:val="4D5C222A"/>
    <w:rsid w:val="5118124A"/>
    <w:rsid w:val="52D07D28"/>
    <w:rsid w:val="548036DC"/>
    <w:rsid w:val="55AB2248"/>
    <w:rsid w:val="57097A1B"/>
    <w:rsid w:val="57A529EE"/>
    <w:rsid w:val="57F465D9"/>
    <w:rsid w:val="58AA5BB8"/>
    <w:rsid w:val="5AB61E7E"/>
    <w:rsid w:val="5AD70930"/>
    <w:rsid w:val="5B814F45"/>
    <w:rsid w:val="5BA21406"/>
    <w:rsid w:val="5BD30C4D"/>
    <w:rsid w:val="5C835040"/>
    <w:rsid w:val="5FAB74EB"/>
    <w:rsid w:val="607D789C"/>
    <w:rsid w:val="614A0BAC"/>
    <w:rsid w:val="617C5F6F"/>
    <w:rsid w:val="61F51B69"/>
    <w:rsid w:val="626369F4"/>
    <w:rsid w:val="638D15C2"/>
    <w:rsid w:val="64350004"/>
    <w:rsid w:val="64FA66DF"/>
    <w:rsid w:val="65AE3591"/>
    <w:rsid w:val="65C632AB"/>
    <w:rsid w:val="65F12D66"/>
    <w:rsid w:val="6784413C"/>
    <w:rsid w:val="687D6787"/>
    <w:rsid w:val="68D5305B"/>
    <w:rsid w:val="68EB27CB"/>
    <w:rsid w:val="6A4F2125"/>
    <w:rsid w:val="6AAB47C0"/>
    <w:rsid w:val="6AEB0FDA"/>
    <w:rsid w:val="6B074887"/>
    <w:rsid w:val="6BDF2477"/>
    <w:rsid w:val="6CD20997"/>
    <w:rsid w:val="6CEE0D82"/>
    <w:rsid w:val="6DE24AAE"/>
    <w:rsid w:val="6EA474E2"/>
    <w:rsid w:val="6F7E3BBE"/>
    <w:rsid w:val="6F9D36EB"/>
    <w:rsid w:val="70D0566F"/>
    <w:rsid w:val="724D226A"/>
    <w:rsid w:val="725463B1"/>
    <w:rsid w:val="725B63EC"/>
    <w:rsid w:val="73783C1A"/>
    <w:rsid w:val="7465342F"/>
    <w:rsid w:val="74A2331F"/>
    <w:rsid w:val="780274A2"/>
    <w:rsid w:val="79FD5361"/>
    <w:rsid w:val="7A0B1741"/>
    <w:rsid w:val="7AB13CAF"/>
    <w:rsid w:val="7AED2394"/>
    <w:rsid w:val="7D0F06E0"/>
    <w:rsid w:val="7D932127"/>
    <w:rsid w:val="7D9C4C8E"/>
    <w:rsid w:val="7DCB037F"/>
    <w:rsid w:val="7DE71854"/>
    <w:rsid w:val="7E59029A"/>
    <w:rsid w:val="7EBE183D"/>
    <w:rsid w:val="AF9740A1"/>
    <w:rsid w:val="DCBF53B3"/>
    <w:rsid w:val="F7FDC0E0"/>
    <w:rsid w:val="FBF3EC06"/>
    <w:rsid w:val="FDFC2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spacing w:line="360" w:lineRule="auto"/>
    </w:pPr>
    <w:rPr>
      <w:b/>
      <w:bCs/>
      <w:kern w:val="2"/>
    </w:r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000000"/>
      <w:u w:val="none"/>
    </w:rPr>
  </w:style>
  <w:style w:type="character" w:styleId="14">
    <w:name w:val="Emphasis"/>
    <w:basedOn w:val="12"/>
    <w:qFormat/>
    <w:uiPriority w:val="0"/>
    <w:rPr>
      <w:sz w:val="22"/>
      <w:szCs w:val="22"/>
    </w:rPr>
  </w:style>
  <w:style w:type="character" w:styleId="15">
    <w:name w:val="Hyperlink"/>
    <w:basedOn w:val="12"/>
    <w:qFormat/>
    <w:uiPriority w:val="0"/>
    <w:rPr>
      <w:color w:val="000000"/>
      <w:u w:val="none"/>
    </w:rPr>
  </w:style>
  <w:style w:type="character" w:customStyle="1" w:styleId="16">
    <w:name w:val="hover48"/>
    <w:basedOn w:val="12"/>
    <w:qFormat/>
    <w:uiPriority w:val="0"/>
    <w:rPr>
      <w:color w:val="FFFFFF"/>
      <w:shd w:val="clear" w:color="auto" w:fill="1091DB"/>
    </w:rPr>
  </w:style>
  <w:style w:type="character" w:customStyle="1" w:styleId="17">
    <w:name w:val="hover50"/>
    <w:basedOn w:val="12"/>
    <w:qFormat/>
    <w:uiPriority w:val="0"/>
    <w:rPr>
      <w:sz w:val="21"/>
      <w:szCs w:val="21"/>
    </w:rPr>
  </w:style>
  <w:style w:type="character" w:customStyle="1" w:styleId="18">
    <w:name w:val="hover49"/>
    <w:basedOn w:val="12"/>
    <w:qFormat/>
    <w:uiPriority w:val="0"/>
    <w:rPr>
      <w:color w:val="FFFFFF"/>
      <w:shd w:val="clear" w:color="auto" w:fill="1091DB"/>
    </w:rPr>
  </w:style>
  <w:style w:type="character" w:customStyle="1" w:styleId="19">
    <w:name w:val="treeicon"/>
    <w:basedOn w:val="12"/>
    <w:qFormat/>
    <w:uiPriority w:val="0"/>
  </w:style>
  <w:style w:type="paragraph" w:styleId="20">
    <w:name w:val="List Paragraph"/>
    <w:basedOn w:val="21"/>
    <w:qFormat/>
    <w:uiPriority w:val="99"/>
    <w:pPr>
      <w:ind w:firstLine="420" w:firstLineChars="200"/>
    </w:pPr>
  </w:style>
  <w:style w:type="paragraph" w:customStyle="1" w:styleId="21">
    <w:name w:val="星耀正文"/>
    <w:basedOn w:val="1"/>
    <w:qFormat/>
    <w:uiPriority w:val="3"/>
    <w:pPr>
      <w:ind w:firstLine="422" w:firstLineChars="200"/>
    </w:pPr>
    <w:rPr>
      <w:rFonts w:ascii="宋体" w:hAnsi="宋体" w:eastAsia="仿宋_GB2312"/>
      <w:bCs/>
    </w:rPr>
  </w:style>
  <w:style w:type="paragraph" w:customStyle="1" w:styleId="22">
    <w:name w:val="USE 1"/>
    <w:basedOn w:val="1"/>
    <w:qFormat/>
    <w:uiPriority w:val="0"/>
    <w:pPr>
      <w:spacing w:line="200" w:lineRule="atLeast"/>
      <w:jc w:val="left"/>
    </w:pPr>
    <w:rPr>
      <w:rFonts w:ascii="宋体" w:hAnsi="宋体"/>
      <w:b/>
      <w:sz w:val="24"/>
      <w:szCs w:val="28"/>
    </w:rPr>
  </w:style>
  <w:style w:type="character" w:customStyle="1" w:styleId="23">
    <w:name w:val="font31"/>
    <w:basedOn w:val="12"/>
    <w:qFormat/>
    <w:uiPriority w:val="0"/>
    <w:rPr>
      <w:rFonts w:hint="eastAsia" w:ascii="微软雅黑" w:hAnsi="微软雅黑" w:eastAsia="微软雅黑" w:cs="微软雅黑"/>
      <w:color w:val="000000"/>
      <w:sz w:val="18"/>
      <w:szCs w:val="18"/>
      <w:u w:val="none"/>
    </w:rPr>
  </w:style>
  <w:style w:type="character" w:customStyle="1" w:styleId="24">
    <w:name w:val="font21"/>
    <w:basedOn w:val="12"/>
    <w:qFormat/>
    <w:uiPriority w:val="0"/>
    <w:rPr>
      <w:rFonts w:hint="eastAsia" w:ascii="微软雅黑" w:hAnsi="微软雅黑" w:eastAsia="微软雅黑" w:cs="微软雅黑"/>
      <w:color w:val="000000"/>
      <w:sz w:val="18"/>
      <w:szCs w:val="18"/>
      <w:u w:val="none"/>
    </w:rPr>
  </w:style>
  <w:style w:type="paragraph" w:customStyle="1" w:styleId="25">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5055</Words>
  <Characters>5247</Characters>
  <Lines>0</Lines>
  <Paragraphs>0</Paragraphs>
  <TotalTime>22</TotalTime>
  <ScaleCrop>false</ScaleCrop>
  <LinksUpToDate>false</LinksUpToDate>
  <CharactersWithSpaces>5374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2021-06-11T16:59:00Z</dcterms:created>
  <dc:creator>006</dc:creator>
  <cp:lastModifiedBy>lxy</cp:lastModifiedBy>
  <cp:lastPrinted>2024-07-04T15:49:00Z</cp:lastPrinted>
  <dcterms:modified xsi:type="dcterms:W3CDTF">2025-09-26T17:19:12Z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A375662639E6447391087F3422CE1462_13</vt:lpwstr>
  </property>
  <property fmtid="{D5CDD505-2E9C-101B-9397-08002B2CF9AE}" pid="4" name="KSOTemplateDocerSaveRecord">
    <vt:lpwstr>eyJoZGlkIjoiNTExYTZhNzU3MGRkMmVjN2Y0MjMyMWQwNGU0YTdlNWMiLCJ1c2VySWQiOiIxMjQwMTIxMjYxIn0=</vt:lpwstr>
  </property>
</Properties>
</file>