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after="0" w:line="560" w:lineRule="exact"/>
        <w:ind w:firstLine="880" w:firstLineChars="200"/>
        <w:jc w:val="both"/>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default" w:ascii="方正小标宋简体" w:hAnsi="方正小标宋简体" w:eastAsia="方正小标宋简体" w:cs="方正小标宋简体"/>
          <w:b w:val="0"/>
          <w:bCs w:val="0"/>
          <w:sz w:val="44"/>
          <w:szCs w:val="44"/>
          <w:lang w:val="en" w:eastAsia="zh-CN"/>
        </w:rPr>
        <w:t>5</w:t>
      </w:r>
      <w:r>
        <w:rPr>
          <w:rFonts w:hint="eastAsia" w:ascii="方正小标宋简体" w:hAnsi="方正小标宋简体" w:eastAsia="方正小标宋简体" w:cs="方正小标宋简体"/>
          <w:b w:val="0"/>
          <w:bCs w:val="0"/>
          <w:sz w:val="44"/>
          <w:szCs w:val="44"/>
        </w:rPr>
        <w:t>年固定资产管理服务项目需求书</w:t>
      </w:r>
    </w:p>
    <w:p>
      <w:pPr>
        <w:tabs>
          <w:tab w:val="left" w:pos="1820"/>
        </w:tabs>
        <w:snapToGrid w:val="0"/>
        <w:spacing w:line="560" w:lineRule="exact"/>
        <w:rPr>
          <w:rFonts w:hint="eastAsia" w:ascii="黑体" w:hAnsi="黑体" w:eastAsia="黑体" w:cs="黑体"/>
          <w:bCs/>
          <w:sz w:val="32"/>
          <w:szCs w:val="32"/>
        </w:rPr>
      </w:pPr>
    </w:p>
    <w:p>
      <w:pPr>
        <w:tabs>
          <w:tab w:val="left" w:pos="1820"/>
        </w:tabs>
        <w:snapToGrid w:val="0"/>
        <w:spacing w:line="560" w:lineRule="exact"/>
        <w:ind w:left="640"/>
        <w:rPr>
          <w:rFonts w:hint="eastAsia" w:ascii="黑体" w:hAnsi="黑体" w:eastAsia="黑体" w:cs="黑体"/>
          <w:bCs/>
          <w:sz w:val="32"/>
          <w:szCs w:val="32"/>
        </w:rPr>
      </w:pPr>
      <w:r>
        <w:rPr>
          <w:rFonts w:hint="eastAsia" w:ascii="黑体" w:hAnsi="黑体" w:eastAsia="黑体" w:cs="黑体"/>
          <w:bCs/>
          <w:sz w:val="32"/>
          <w:szCs w:val="32"/>
        </w:rPr>
        <w:t>一、项目目标</w:t>
      </w:r>
    </w:p>
    <w:p>
      <w:pPr>
        <w:widowControl/>
        <w:tabs>
          <w:tab w:val="left" w:pos="1820"/>
        </w:tabs>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随着我局固定资产的规模日益增长，</w:t>
      </w:r>
      <w:r>
        <w:rPr>
          <w:rFonts w:hint="eastAsia" w:ascii="仿宋_GB2312" w:eastAsia="仿宋_GB2312"/>
          <w:sz w:val="32"/>
          <w:szCs w:val="32"/>
        </w:rPr>
        <w:t>为进一步加强我局固定资产的管理，</w:t>
      </w:r>
      <w:r>
        <w:rPr>
          <w:rFonts w:hint="eastAsia" w:ascii="仿宋_GB2312" w:eastAsia="仿宋_GB2312"/>
          <w:sz w:val="32"/>
          <w:szCs w:val="32"/>
          <w:lang w:eastAsia="zh-CN"/>
        </w:rPr>
        <w:t>加大固定资产的盘点力度，</w:t>
      </w:r>
      <w:r>
        <w:rPr>
          <w:rFonts w:hint="eastAsia" w:ascii="仿宋_GB2312" w:eastAsia="仿宋_GB2312"/>
          <w:sz w:val="32"/>
          <w:szCs w:val="32"/>
        </w:rPr>
        <w:t>合理统筹固定资产的使用，做到固定资产账账对应，账实相符，确保固定资产能够达到“一物一卡一条码”的管理要求</w:t>
      </w:r>
      <w:r>
        <w:rPr>
          <w:rFonts w:hint="eastAsia" w:ascii="仿宋_GB2312" w:eastAsia="仿宋_GB2312"/>
          <w:sz w:val="32"/>
          <w:szCs w:val="32"/>
          <w:lang w:eastAsia="zh-CN"/>
        </w:rPr>
        <w:t>，</w:t>
      </w:r>
      <w:r>
        <w:rPr>
          <w:rFonts w:hint="eastAsia" w:ascii="仿宋_GB2312" w:eastAsia="仿宋_GB2312"/>
          <w:sz w:val="32"/>
          <w:szCs w:val="32"/>
        </w:rPr>
        <w:t>目前我局需购买用于固定资产管理相关服务</w:t>
      </w:r>
      <w:r>
        <w:rPr>
          <w:rFonts w:hint="eastAsia" w:ascii="仿宋_GB2312" w:eastAsia="仿宋_GB2312"/>
          <w:sz w:val="32"/>
          <w:szCs w:val="32"/>
          <w:lang w:eastAsia="zh-CN"/>
        </w:rPr>
        <w:t>。</w:t>
      </w:r>
    </w:p>
    <w:p>
      <w:pPr>
        <w:widowControl/>
        <w:tabs>
          <w:tab w:val="left" w:pos="1820"/>
        </w:tabs>
        <w:adjustRightInd w:val="0"/>
        <w:snapToGri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二、时间安排</w:t>
      </w:r>
    </w:p>
    <w:p>
      <w:pPr>
        <w:tabs>
          <w:tab w:val="left" w:pos="1820"/>
        </w:tabs>
        <w:snapToGrid w:val="0"/>
        <w:spacing w:line="560" w:lineRule="exact"/>
        <w:ind w:left="64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服务期</w:t>
      </w:r>
      <w:r>
        <w:rPr>
          <w:rFonts w:hint="eastAsia" w:ascii="仿宋_GB2312" w:hAnsi="仿宋_GB2312" w:eastAsia="仿宋_GB2312" w:cs="仿宋_GB2312"/>
          <w:bCs/>
          <w:sz w:val="32"/>
          <w:szCs w:val="32"/>
          <w:lang w:val="en-US" w:eastAsia="zh-CN"/>
        </w:rPr>
        <w:t>1年。</w:t>
      </w:r>
    </w:p>
    <w:p>
      <w:pPr>
        <w:tabs>
          <w:tab w:val="left" w:pos="1820"/>
        </w:tabs>
        <w:snapToGrid w:val="0"/>
        <w:spacing w:line="560" w:lineRule="exact"/>
        <w:ind w:left="640"/>
        <w:rPr>
          <w:rFonts w:hint="eastAsia" w:ascii="黑体" w:hAnsi="黑体" w:eastAsia="黑体" w:cs="黑体"/>
          <w:bCs/>
          <w:sz w:val="32"/>
          <w:szCs w:val="32"/>
          <w:lang w:eastAsia="zh-CN"/>
        </w:rPr>
      </w:pPr>
      <w:r>
        <w:rPr>
          <w:rFonts w:hint="eastAsia" w:ascii="黑体" w:hAnsi="黑体" w:eastAsia="黑体" w:cs="黑体"/>
          <w:bCs/>
          <w:sz w:val="32"/>
          <w:szCs w:val="32"/>
        </w:rPr>
        <w:t>三、项目内容及要求</w:t>
      </w:r>
    </w:p>
    <w:tbl>
      <w:tblPr>
        <w:tblStyle w:val="10"/>
        <w:tblpPr w:leftFromText="180" w:rightFromText="180" w:vertAnchor="text" w:horzAnchor="page" w:tblpX="1359" w:tblpY="1148"/>
        <w:tblOverlap w:val="never"/>
        <w:tblW w:w="84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73"/>
        <w:gridCol w:w="1079"/>
        <w:gridCol w:w="6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序号</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项目</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6" w:hRule="atLeast"/>
        </w:trPr>
        <w:tc>
          <w:tcPr>
            <w:tcW w:w="4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Style w:val="21"/>
                <w:rFonts w:hint="eastAsia" w:ascii="仿宋_GB2312" w:hAnsi="仿宋_GB2312" w:eastAsia="仿宋_GB2312" w:cs="仿宋_GB2312"/>
                <w:sz w:val="24"/>
                <w:szCs w:val="24"/>
                <w:lang w:val="en-US" w:eastAsia="zh-CN" w:bidi="ar"/>
              </w:rPr>
              <w:t>固定资产系统日常管理</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将新增资产信息录入固定资产管理系统，粘贴标签、打印入库单并拍照上传。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trPr>
        <w:tc>
          <w:tcPr>
            <w:tcW w:w="4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p>
        </w:tc>
        <w:tc>
          <w:tcPr>
            <w:tcW w:w="6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Style w:val="21"/>
                <w:rFonts w:hint="eastAsia" w:ascii="仿宋_GB2312" w:hAnsi="仿宋_GB2312" w:eastAsia="仿宋_GB2312" w:cs="仿宋_GB2312"/>
                <w:sz w:val="24"/>
                <w:szCs w:val="24"/>
                <w:lang w:val="en-US" w:eastAsia="zh-CN" w:bidi="ar"/>
              </w:rPr>
              <w:t>做好单位固定资产管理系统日常维护工作。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6" w:hRule="atLeast"/>
        </w:trPr>
        <w:tc>
          <w:tcPr>
            <w:tcW w:w="4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p>
        </w:tc>
        <w:tc>
          <w:tcPr>
            <w:tcW w:w="6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Style w:val="21"/>
                <w:rFonts w:hint="eastAsia" w:ascii="仿宋_GB2312" w:hAnsi="仿宋_GB2312" w:eastAsia="仿宋_GB2312" w:cs="仿宋_GB2312"/>
                <w:sz w:val="24"/>
                <w:szCs w:val="24"/>
                <w:lang w:val="en-US" w:eastAsia="zh-CN" w:bidi="ar"/>
              </w:rPr>
              <w:t>对单位需要调拨的资产，完成系统流程，协助单位整理相关表格。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6" w:hRule="atLeast"/>
        </w:trPr>
        <w:tc>
          <w:tcPr>
            <w:tcW w:w="4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p>
        </w:tc>
        <w:tc>
          <w:tcPr>
            <w:tcW w:w="6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Style w:val="21"/>
                <w:rFonts w:hint="eastAsia" w:ascii="仿宋_GB2312" w:hAnsi="仿宋_GB2312" w:eastAsia="仿宋_GB2312" w:cs="仿宋_GB2312"/>
                <w:sz w:val="24"/>
                <w:szCs w:val="24"/>
                <w:lang w:val="en-US" w:eastAsia="zh-CN" w:bidi="ar"/>
              </w:rPr>
              <w:t>每月核对一次资产账与实物账，保持账实一致。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trPr>
        <w:tc>
          <w:tcPr>
            <w:tcW w:w="4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p>
        </w:tc>
        <w:tc>
          <w:tcPr>
            <w:tcW w:w="6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Style w:val="21"/>
                <w:rFonts w:hint="eastAsia" w:ascii="仿宋_GB2312" w:hAnsi="仿宋_GB2312" w:eastAsia="仿宋_GB2312" w:cs="仿宋_GB2312"/>
                <w:sz w:val="24"/>
                <w:szCs w:val="24"/>
                <w:lang w:val="en-US" w:eastAsia="zh-CN" w:bidi="ar"/>
              </w:rPr>
              <w:t>涉及固定资产管理系统其他操作。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固定资产折旧</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将核实之后的固定资产数据在系统计提折旧然后将折旧数据反馈至区会计核算中心，并同核算中心就数量、单价、金额的准确性。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4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Style w:val="21"/>
                <w:rFonts w:hint="eastAsia" w:ascii="仿宋_GB2312" w:hAnsi="仿宋_GB2312" w:eastAsia="仿宋_GB2312" w:cs="仿宋_GB2312"/>
                <w:sz w:val="24"/>
                <w:szCs w:val="24"/>
                <w:lang w:val="en-US" w:eastAsia="zh-CN" w:bidi="ar"/>
              </w:rPr>
              <w:t>资产处置报废</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Style w:val="21"/>
                <w:rFonts w:hint="eastAsia" w:ascii="仿宋_GB2312" w:hAnsi="仿宋_GB2312" w:eastAsia="仿宋_GB2312" w:cs="仿宋_GB2312"/>
                <w:sz w:val="24"/>
                <w:szCs w:val="24"/>
                <w:lang w:val="en-US" w:eastAsia="zh-CN" w:bidi="ar"/>
              </w:rPr>
              <w:t>整理报废资产清单并编制处置申请表。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trPr>
        <w:tc>
          <w:tcPr>
            <w:tcW w:w="4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p>
        </w:tc>
        <w:tc>
          <w:tcPr>
            <w:tcW w:w="6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Style w:val="21"/>
                <w:rFonts w:hint="eastAsia" w:ascii="仿宋_GB2312" w:hAnsi="仿宋_GB2312" w:eastAsia="仿宋_GB2312" w:cs="仿宋_GB2312"/>
                <w:sz w:val="24"/>
                <w:szCs w:val="24"/>
                <w:lang w:val="en-US" w:eastAsia="zh-CN" w:bidi="ar"/>
              </w:rPr>
              <w:t>提交报废资料，协助跟进报废资产流程。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6" w:hRule="atLeast"/>
        </w:trPr>
        <w:tc>
          <w:tcPr>
            <w:tcW w:w="4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国有资产报告编报</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1"/>
                <w:rFonts w:hint="eastAsia" w:ascii="仿宋_GB2312" w:hAnsi="仿宋_GB2312" w:eastAsia="仿宋_GB2312" w:cs="仿宋_GB2312"/>
                <w:sz w:val="24"/>
                <w:szCs w:val="24"/>
                <w:lang w:val="en-US" w:eastAsia="zh-CN" w:bidi="ar"/>
              </w:rPr>
              <w:t>每月按区财政局要求完成国有资产月度报告编报工作。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6" w:hRule="atLeast"/>
        </w:trPr>
        <w:tc>
          <w:tcPr>
            <w:tcW w:w="4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p>
        </w:tc>
        <w:tc>
          <w:tcPr>
            <w:tcW w:w="6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1"/>
                <w:rFonts w:hint="eastAsia" w:ascii="仿宋_GB2312" w:hAnsi="仿宋_GB2312" w:eastAsia="仿宋_GB2312" w:cs="仿宋_GB2312"/>
                <w:sz w:val="24"/>
                <w:szCs w:val="24"/>
                <w:lang w:val="en-US" w:eastAsia="zh-CN" w:bidi="ar"/>
              </w:rPr>
              <w:t>按区财政局要求完成国有资产年度报告编报工作。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90" w:hRule="atLeast"/>
        </w:trPr>
        <w:tc>
          <w:tcPr>
            <w:tcW w:w="4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Style w:val="22"/>
                <w:rFonts w:hint="eastAsia" w:ascii="仿宋_GB2312" w:hAnsi="仿宋_GB2312" w:eastAsia="仿宋_GB2312" w:cs="仿宋_GB2312"/>
                <w:sz w:val="24"/>
                <w:szCs w:val="24"/>
                <w:lang w:val="en-US" w:eastAsia="zh-CN" w:bidi="ar"/>
              </w:rPr>
              <w:t>年中</w:t>
            </w:r>
            <w:r>
              <w:rPr>
                <w:rStyle w:val="23"/>
                <w:rFonts w:hint="eastAsia" w:ascii="仿宋_GB2312" w:hAnsi="仿宋_GB2312" w:eastAsia="仿宋_GB2312" w:cs="仿宋_GB2312"/>
                <w:sz w:val="24"/>
                <w:szCs w:val="24"/>
                <w:lang w:val="en-US" w:eastAsia="zh-CN" w:bidi="ar"/>
              </w:rPr>
              <w:t>/</w:t>
            </w:r>
            <w:r>
              <w:rPr>
                <w:rStyle w:val="22"/>
                <w:rFonts w:hint="eastAsia" w:ascii="仿宋_GB2312" w:hAnsi="仿宋_GB2312" w:eastAsia="仿宋_GB2312" w:cs="仿宋_GB2312"/>
                <w:sz w:val="24"/>
                <w:szCs w:val="24"/>
                <w:lang w:val="en-US" w:eastAsia="zh-CN" w:bidi="ar"/>
              </w:rPr>
              <w:t>年终全面清查盘点</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对单位办公场所的固定资产进行全面的盘点，登记资产名称、规格型号、使用部门、使用人等资产信息，并对实物进行拍照存档。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trPr>
        <w:tc>
          <w:tcPr>
            <w:tcW w:w="4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p>
        </w:tc>
        <w:tc>
          <w:tcPr>
            <w:tcW w:w="6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1"/>
                <w:rFonts w:hint="eastAsia" w:ascii="仿宋_GB2312" w:hAnsi="仿宋_GB2312" w:eastAsia="仿宋_GB2312" w:cs="仿宋_GB2312"/>
                <w:sz w:val="24"/>
                <w:szCs w:val="24"/>
                <w:lang w:val="en-US" w:eastAsia="zh-CN" w:bidi="ar"/>
              </w:rPr>
              <w:t>整理出资产实物清单。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trPr>
        <w:tc>
          <w:tcPr>
            <w:tcW w:w="4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p>
        </w:tc>
        <w:tc>
          <w:tcPr>
            <w:tcW w:w="6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1"/>
                <w:rFonts w:hint="eastAsia" w:ascii="仿宋_GB2312" w:hAnsi="仿宋_GB2312" w:eastAsia="仿宋_GB2312" w:cs="仿宋_GB2312"/>
                <w:sz w:val="24"/>
                <w:szCs w:val="24"/>
                <w:lang w:val="en-US" w:eastAsia="zh-CN" w:bidi="ar"/>
              </w:rPr>
              <w:t>资产粘贴标签，实现标签化管理。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6" w:hRule="atLeast"/>
        </w:trPr>
        <w:tc>
          <w:tcPr>
            <w:tcW w:w="4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p>
        </w:tc>
        <w:tc>
          <w:tcPr>
            <w:tcW w:w="6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于年中/终进行全面清盘，以做到账账相符，相实相符。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8" w:hRule="atLeast"/>
        </w:trPr>
        <w:tc>
          <w:tcPr>
            <w:tcW w:w="4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p>
        </w:tc>
        <w:tc>
          <w:tcPr>
            <w:tcW w:w="6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根据清查结果编制资产清查报告。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0"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每月抽查盘点</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Style w:val="22"/>
                <w:rFonts w:hint="eastAsia" w:ascii="仿宋_GB2312" w:hAnsi="仿宋_GB2312" w:eastAsia="仿宋_GB2312" w:cs="仿宋_GB2312"/>
                <w:sz w:val="24"/>
                <w:szCs w:val="24"/>
                <w:lang w:val="en-US" w:eastAsia="zh-CN" w:bidi="ar"/>
              </w:rPr>
              <w:t>每月根据变动较多或随机抽查</w:t>
            </w:r>
            <w:r>
              <w:rPr>
                <w:rStyle w:val="23"/>
                <w:rFonts w:hint="eastAsia" w:ascii="仿宋_GB2312" w:hAnsi="仿宋_GB2312" w:eastAsia="仿宋_GB2312" w:cs="仿宋_GB2312"/>
                <w:sz w:val="24"/>
                <w:szCs w:val="24"/>
                <w:lang w:val="en-US" w:eastAsia="zh-CN" w:bidi="ar"/>
              </w:rPr>
              <w:t>20</w:t>
            </w:r>
            <w:r>
              <w:rPr>
                <w:rStyle w:val="22"/>
                <w:rFonts w:hint="eastAsia" w:ascii="仿宋_GB2312" w:hAnsi="仿宋_GB2312" w:eastAsia="仿宋_GB2312" w:cs="仿宋_GB2312"/>
                <w:sz w:val="24"/>
                <w:szCs w:val="24"/>
                <w:lang w:val="en-US" w:eastAsia="zh-CN" w:bidi="ar"/>
              </w:rPr>
              <w:t>个办公场所的固定资产进行盘点，核对资产名称、规格型号、使用部门、使用人等资产信息是否正确。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3"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文体场馆盘点</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对文体场馆的固定资产进行全面的盘点，登记资产名称、规格型号、使用部门、使用人等资产信息，并对实物进行拍照存档。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6"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07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体育器械盘点</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Style w:val="22"/>
                <w:rFonts w:hint="eastAsia" w:ascii="仿宋_GB2312" w:hAnsi="仿宋_GB2312" w:eastAsia="仿宋_GB2312" w:cs="仿宋_GB2312"/>
                <w:sz w:val="24"/>
                <w:szCs w:val="24"/>
                <w:lang w:val="en-US" w:eastAsia="zh-CN" w:bidi="ar"/>
              </w:rPr>
              <w:t>每季度对体育器械进行不少于</w:t>
            </w:r>
            <w:r>
              <w:rPr>
                <w:rStyle w:val="23"/>
                <w:rFonts w:hint="eastAsia" w:ascii="仿宋_GB2312" w:hAnsi="仿宋_GB2312" w:eastAsia="仿宋_GB2312" w:cs="仿宋_GB2312"/>
                <w:sz w:val="24"/>
                <w:szCs w:val="24"/>
                <w:lang w:val="en-US" w:eastAsia="zh-CN" w:bidi="ar"/>
              </w:rPr>
              <w:t>10</w:t>
            </w:r>
            <w:r>
              <w:rPr>
                <w:rStyle w:val="22"/>
                <w:rFonts w:hint="eastAsia" w:ascii="仿宋_GB2312" w:hAnsi="仿宋_GB2312" w:eastAsia="仿宋_GB2312" w:cs="仿宋_GB2312"/>
                <w:sz w:val="24"/>
                <w:szCs w:val="24"/>
                <w:lang w:val="en-US" w:eastAsia="zh-CN" w:bidi="ar"/>
              </w:rPr>
              <w:t>个点的实地盘点。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6"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07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图书文物盘点</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对各书房存放图书每月进行滚动式盘点。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bookmarkStart w:id="1" w:name="_GoBack"/>
            <w:bookmarkEnd w:id="1"/>
            <w:r>
              <w:rPr>
                <w:rFonts w:hint="eastAsia" w:ascii="仿宋_GB2312" w:hAnsi="仿宋_GB2312" w:eastAsia="仿宋_GB2312" w:cs="仿宋_GB2312"/>
                <w:i w:val="0"/>
                <w:color w:val="000000"/>
                <w:kern w:val="0"/>
                <w:sz w:val="24"/>
                <w:szCs w:val="24"/>
                <w:u w:val="none"/>
                <w:lang w:val="en-US" w:eastAsia="zh-CN" w:bidi="ar"/>
              </w:rPr>
              <w:t>标签纸、耗材等</w:t>
            </w:r>
          </w:p>
        </w:tc>
      </w:tr>
    </w:tbl>
    <w:p>
      <w:pPr>
        <w:spacing w:line="560" w:lineRule="exact"/>
        <w:ind w:firstLine="640" w:firstLineChars="200"/>
        <w:rPr>
          <w:rFonts w:hint="eastAsia" w:ascii="仿宋_GB2312" w:hAnsi="Calibri" w:eastAsia="仿宋_GB2312" w:cs="仿宋_GB2312"/>
          <w:sz w:val="32"/>
          <w:szCs w:val="32"/>
          <w:lang w:eastAsia="zh-CN" w:bidi="ar"/>
        </w:rPr>
      </w:pPr>
    </w:p>
    <w:p>
      <w:pPr>
        <w:pStyle w:val="5"/>
        <w:rPr>
          <w:rFonts w:hint="eastAsia" w:ascii="仿宋_GB2312" w:hAnsi="Calibri" w:eastAsia="仿宋_GB2312" w:cs="仿宋_GB2312"/>
          <w:sz w:val="32"/>
          <w:szCs w:val="32"/>
          <w:lang w:eastAsia="zh-CN" w:bidi="ar"/>
        </w:rPr>
      </w:pPr>
    </w:p>
    <w:p>
      <w:pPr>
        <w:pStyle w:val="5"/>
        <w:rPr>
          <w:rFonts w:hint="eastAsia" w:ascii="仿宋_GB2312" w:hAnsi="Calibri" w:eastAsia="仿宋_GB2312" w:cs="仿宋_GB2312"/>
          <w:sz w:val="32"/>
          <w:szCs w:val="32"/>
          <w:lang w:eastAsia="zh-CN" w:bidi="ar"/>
        </w:rPr>
      </w:pPr>
    </w:p>
    <w:p>
      <w:pPr>
        <w:pStyle w:val="5"/>
        <w:rPr>
          <w:rFonts w:hint="eastAsia" w:ascii="仿宋_GB2312" w:hAnsi="Calibri" w:eastAsia="仿宋_GB2312" w:cs="仿宋_GB2312"/>
          <w:sz w:val="32"/>
          <w:szCs w:val="32"/>
          <w:lang w:eastAsia="zh-CN" w:bidi="ar"/>
        </w:rPr>
      </w:pPr>
    </w:p>
    <w:p>
      <w:pPr>
        <w:pStyle w:val="5"/>
        <w:rPr>
          <w:rFonts w:hint="eastAsia" w:ascii="仿宋_GB2312" w:hAnsi="Calibri" w:eastAsia="仿宋_GB2312" w:cs="仿宋_GB2312"/>
          <w:sz w:val="32"/>
          <w:szCs w:val="32"/>
          <w:lang w:eastAsia="zh-CN" w:bidi="ar"/>
        </w:rPr>
      </w:pPr>
    </w:p>
    <w:p>
      <w:pPr>
        <w:pStyle w:val="5"/>
        <w:rPr>
          <w:rFonts w:hint="eastAsia" w:ascii="仿宋_GB2312" w:hAnsi="Calibri" w:eastAsia="仿宋_GB2312" w:cs="仿宋_GB2312"/>
          <w:sz w:val="32"/>
          <w:szCs w:val="32"/>
          <w:lang w:eastAsia="zh-CN" w:bidi="ar"/>
        </w:rPr>
      </w:pPr>
    </w:p>
    <w:p>
      <w:pPr>
        <w:pStyle w:val="5"/>
        <w:rPr>
          <w:rFonts w:hint="eastAsia" w:ascii="仿宋_GB2312" w:hAnsi="Calibri" w:eastAsia="仿宋_GB2312" w:cs="仿宋_GB2312"/>
          <w:sz w:val="32"/>
          <w:szCs w:val="32"/>
          <w:lang w:eastAsia="zh-CN" w:bidi="ar"/>
        </w:rPr>
      </w:pPr>
    </w:p>
    <w:p>
      <w:pPr>
        <w:pStyle w:val="5"/>
        <w:rPr>
          <w:rFonts w:hint="eastAsia" w:ascii="仿宋_GB2312" w:hAnsi="Calibri" w:eastAsia="仿宋_GB2312" w:cs="仿宋_GB2312"/>
          <w:sz w:val="32"/>
          <w:szCs w:val="32"/>
          <w:lang w:eastAsia="zh-CN" w:bidi="ar"/>
        </w:rPr>
      </w:pPr>
    </w:p>
    <w:p>
      <w:pPr>
        <w:pStyle w:val="5"/>
        <w:rPr>
          <w:rFonts w:hint="eastAsia" w:ascii="仿宋_GB2312" w:hAnsi="Calibri" w:eastAsia="仿宋_GB2312" w:cs="仿宋_GB2312"/>
          <w:sz w:val="32"/>
          <w:szCs w:val="32"/>
          <w:lang w:eastAsia="zh-CN" w:bidi="ar"/>
        </w:rPr>
      </w:pPr>
    </w:p>
    <w:p>
      <w:pPr>
        <w:pStyle w:val="5"/>
        <w:rPr>
          <w:rFonts w:hint="eastAsia" w:ascii="仿宋_GB2312" w:hAnsi="Calibri" w:eastAsia="仿宋_GB2312" w:cs="仿宋_GB2312"/>
          <w:sz w:val="32"/>
          <w:szCs w:val="32"/>
          <w:lang w:eastAsia="zh-CN" w:bidi="ar"/>
        </w:rPr>
      </w:pPr>
    </w:p>
    <w:p>
      <w:pPr>
        <w:pStyle w:val="5"/>
        <w:rPr>
          <w:rFonts w:hint="eastAsia" w:ascii="仿宋_GB2312" w:hAnsi="Calibri" w:eastAsia="仿宋_GB2312" w:cs="仿宋_GB2312"/>
          <w:sz w:val="32"/>
          <w:szCs w:val="32"/>
          <w:lang w:eastAsia="zh-CN" w:bidi="ar"/>
        </w:rPr>
      </w:pPr>
    </w:p>
    <w:p>
      <w:pPr>
        <w:pStyle w:val="5"/>
        <w:rPr>
          <w:rFonts w:hint="eastAsia" w:ascii="仿宋_GB2312" w:hAnsi="Calibri" w:eastAsia="仿宋_GB2312" w:cs="仿宋_GB2312"/>
          <w:sz w:val="32"/>
          <w:szCs w:val="32"/>
          <w:lang w:eastAsia="zh-CN" w:bidi="ar"/>
        </w:rPr>
      </w:pPr>
    </w:p>
    <w:p>
      <w:pPr>
        <w:pStyle w:val="5"/>
        <w:rPr>
          <w:rFonts w:hint="eastAsia" w:ascii="仿宋_GB2312" w:hAnsi="Calibri" w:eastAsia="仿宋_GB2312" w:cs="仿宋_GB2312"/>
          <w:sz w:val="32"/>
          <w:szCs w:val="32"/>
          <w:lang w:eastAsia="zh-CN" w:bidi="ar"/>
        </w:rPr>
      </w:pPr>
    </w:p>
    <w:p>
      <w:pPr>
        <w:pStyle w:val="5"/>
        <w:rPr>
          <w:rFonts w:hint="eastAsia" w:ascii="仿宋_GB2312" w:hAnsi="Calibri" w:eastAsia="仿宋_GB2312" w:cs="仿宋_GB2312"/>
          <w:sz w:val="32"/>
          <w:szCs w:val="32"/>
          <w:lang w:eastAsia="zh-CN" w:bidi="ar"/>
        </w:rPr>
      </w:pPr>
    </w:p>
    <w:p>
      <w:pPr>
        <w:pStyle w:val="5"/>
        <w:rPr>
          <w:rFonts w:hint="eastAsia" w:ascii="仿宋_GB2312" w:hAnsi="Calibri" w:eastAsia="仿宋_GB2312" w:cs="仿宋_GB2312"/>
          <w:sz w:val="32"/>
          <w:szCs w:val="32"/>
          <w:lang w:eastAsia="zh-CN" w:bidi="ar"/>
        </w:rPr>
      </w:pPr>
    </w:p>
    <w:p>
      <w:pPr>
        <w:pStyle w:val="5"/>
        <w:rPr>
          <w:rFonts w:hint="eastAsia" w:ascii="仿宋_GB2312" w:hAnsi="Calibri" w:eastAsia="仿宋_GB2312" w:cs="仿宋_GB2312"/>
          <w:sz w:val="32"/>
          <w:szCs w:val="32"/>
          <w:lang w:eastAsia="zh-CN" w:bidi="ar"/>
        </w:rPr>
      </w:pPr>
    </w:p>
    <w:p>
      <w:pPr>
        <w:pStyle w:val="5"/>
        <w:rPr>
          <w:rFonts w:hint="eastAsia" w:ascii="仿宋_GB2312" w:hAnsi="Calibri" w:eastAsia="仿宋_GB2312" w:cs="仿宋_GB2312"/>
          <w:sz w:val="32"/>
          <w:szCs w:val="32"/>
          <w:lang w:eastAsia="zh-CN" w:bidi="ar"/>
        </w:rPr>
      </w:pPr>
    </w:p>
    <w:p>
      <w:pPr>
        <w:tabs>
          <w:tab w:val="left" w:pos="1820"/>
        </w:tabs>
        <w:adjustRightInd w:val="0"/>
        <w:snapToGrid w:val="0"/>
        <w:spacing w:line="560" w:lineRule="exact"/>
        <w:ind w:left="640"/>
        <w:rPr>
          <w:rFonts w:hint="eastAsia" w:ascii="黑体" w:hAnsi="黑体" w:eastAsia="黑体" w:cs="黑体"/>
          <w:sz w:val="32"/>
          <w:szCs w:val="32"/>
        </w:rPr>
      </w:pPr>
      <w:r>
        <w:rPr>
          <w:rFonts w:hint="eastAsia" w:ascii="黑体" w:hAnsi="黑体" w:eastAsia="黑体" w:cs="黑体"/>
          <w:sz w:val="32"/>
          <w:szCs w:val="32"/>
        </w:rPr>
        <w:t>四、报价限额</w:t>
      </w:r>
    </w:p>
    <w:p>
      <w:pPr>
        <w:pStyle w:val="5"/>
        <w:spacing w:line="560" w:lineRule="exact"/>
        <w:ind w:left="0" w:leftChars="0" w:right="1470"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万元</w:t>
      </w:r>
      <w:r>
        <w:rPr>
          <w:rFonts w:hint="default" w:ascii="仿宋_GB2312" w:hAnsi="仿宋" w:eastAsia="仿宋_GB2312" w:cs="仿宋"/>
          <w:sz w:val="32"/>
          <w:szCs w:val="32"/>
          <w:lang w:val="en-US"/>
        </w:rPr>
        <w:t>,</w:t>
      </w:r>
      <w:r>
        <w:rPr>
          <w:rFonts w:hint="eastAsia" w:ascii="仿宋_GB2312" w:hAnsi="仿宋" w:eastAsia="仿宋_GB2312" w:cs="仿宋"/>
          <w:sz w:val="32"/>
          <w:szCs w:val="32"/>
          <w:lang w:val="en-US" w:eastAsia="zh-CN"/>
        </w:rPr>
        <w:t>报价单需要下表保持一致</w:t>
      </w:r>
    </w:p>
    <w:tbl>
      <w:tblPr>
        <w:tblStyle w:val="10"/>
        <w:tblW w:w="88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3781"/>
        <w:gridCol w:w="2010"/>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固定资产系统日常管理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固定资产折旧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3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资产处置报废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国有资产报告编报</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年中/年终全面清查盘点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3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每月抽查盘点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3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文体场馆盘点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3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体育器械盘点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季</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3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图书文物盘点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3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color w:val="000000"/>
                <w:kern w:val="0"/>
                <w:sz w:val="24"/>
                <w:szCs w:val="24"/>
                <w:highlight w:val="none"/>
                <w:u w:val="none"/>
                <w:lang w:bidi="ar"/>
              </w:rPr>
              <w:t>标签纸、耗材等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6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供应报价（元）__________</w:t>
            </w:r>
          </w:p>
        </w:tc>
      </w:tr>
    </w:tbl>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五、</w:t>
      </w:r>
      <w:r>
        <w:rPr>
          <w:rFonts w:hint="eastAsia" w:ascii="黑体" w:hAnsi="黑体" w:eastAsia="黑体" w:cs="黑体"/>
          <w:sz w:val="32"/>
          <w:szCs w:val="32"/>
        </w:rPr>
        <w:t>供应商的资质要求</w:t>
      </w:r>
    </w:p>
    <w:p>
      <w:pPr>
        <w:spacing w:line="560" w:lineRule="exact"/>
        <w:ind w:firstLine="640" w:firstLineChars="200"/>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w:t>
      </w:r>
      <w:r>
        <w:rPr>
          <w:rFonts w:hint="eastAsia" w:ascii="仿宋_GB2312" w:hAnsi="仿宋" w:eastAsia="仿宋_GB2312" w:cs="仿宋"/>
          <w:sz w:val="32"/>
          <w:szCs w:val="32"/>
        </w:rPr>
        <w:t>在中国境内注册的独立法人或其他组织（提供营业执照、事业法人证书、社会团体法人登记证书等扫描件）；</w:t>
      </w:r>
    </w:p>
    <w:p>
      <w:pPr>
        <w:spacing w:line="560" w:lineRule="exact"/>
        <w:ind w:firstLine="640" w:firstLineChars="200"/>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（2）</w:t>
      </w:r>
      <w:r>
        <w:rPr>
          <w:rFonts w:hint="eastAsia" w:ascii="仿宋_GB2312" w:hAnsi="仿宋" w:eastAsia="仿宋_GB2312" w:cs="仿宋"/>
          <w:sz w:val="32"/>
          <w:szCs w:val="32"/>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sz w:val="32"/>
          <w:szCs w:val="32"/>
          <w:lang w:eastAsia="zh-CN"/>
        </w:rPr>
        <w:t>；</w:t>
      </w:r>
    </w:p>
    <w:p>
      <w:pPr>
        <w:pStyle w:val="26"/>
        <w:spacing w:line="560" w:lineRule="exact"/>
        <w:ind w:firstLine="640"/>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（3）</w:t>
      </w:r>
      <w:r>
        <w:rPr>
          <w:rFonts w:hint="eastAsia" w:ascii="仿宋_GB2312" w:hAnsi="仿宋" w:eastAsia="仿宋_GB2312" w:cs="仿宋"/>
          <w:bCs/>
          <w:kern w:val="2"/>
          <w:sz w:val="32"/>
          <w:szCs w:val="32"/>
          <w:highlight w:val="none"/>
          <w:lang w:val="en-US" w:eastAsia="zh-CN" w:bidi="ar-SA"/>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w:t>
      </w:r>
      <w:r>
        <w:rPr>
          <w:rFonts w:hint="eastAsia" w:ascii="仿宋_GB2312" w:hAnsi="仿宋" w:eastAsia="仿宋_GB2312" w:cs="仿宋"/>
          <w:sz w:val="32"/>
          <w:szCs w:val="32"/>
          <w:highlight w:val="none"/>
        </w:rPr>
        <w:t>，不得同时参加本项目的采购活动</w:t>
      </w:r>
      <w:r>
        <w:rPr>
          <w:rFonts w:hint="eastAsia" w:ascii="仿宋_GB2312" w:hAnsi="仿宋" w:cs="仿宋"/>
          <w:sz w:val="32"/>
          <w:szCs w:val="32"/>
          <w:highlight w:val="none"/>
          <w:lang w:eastAsia="zh-CN"/>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六、选定供应商方法</w:t>
      </w:r>
    </w:p>
    <w:p>
      <w:pPr>
        <w:tabs>
          <w:tab w:val="left" w:pos="1820"/>
        </w:tabs>
        <w:adjustRightInd w:val="0"/>
        <w:snapToGrid w:val="0"/>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综合评分法</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七、评分要求</w:t>
      </w:r>
    </w:p>
    <w:p>
      <w:pPr>
        <w:pStyle w:val="20"/>
        <w:spacing w:line="560" w:lineRule="exact"/>
        <w:ind w:firstLine="640" w:firstLineChars="200"/>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（一）评分规则</w:t>
      </w:r>
    </w:p>
    <w:p>
      <w:pPr>
        <w:spacing w:line="560" w:lineRule="exact"/>
        <w:ind w:firstLine="640" w:firstLineChars="200"/>
        <w:rPr>
          <w:rFonts w:hint="eastAsia" w:ascii="黑体" w:hAnsi="黑体" w:eastAsia="黑体" w:cs="仿宋_GB2312"/>
          <w:bCs/>
          <w:color w:val="000000"/>
          <w:sz w:val="32"/>
          <w:szCs w:val="32"/>
        </w:rPr>
      </w:pPr>
      <w:r>
        <w:rPr>
          <w:rFonts w:hint="eastAsia" w:ascii="仿宋_GB2312" w:eastAsia="仿宋_GB2312"/>
          <w:color w:val="000000"/>
          <w:sz w:val="32"/>
          <w:szCs w:val="32"/>
        </w:rPr>
        <w:t>采取综合评分标准，平均分最高的投标人为本项目中标人。</w:t>
      </w:r>
    </w:p>
    <w:p>
      <w:pPr>
        <w:pStyle w:val="20"/>
        <w:spacing w:line="560" w:lineRule="exact"/>
        <w:ind w:firstLine="640" w:firstLineChars="200"/>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（二）评分权重</w:t>
      </w:r>
    </w:p>
    <w:tbl>
      <w:tblPr>
        <w:tblStyle w:val="10"/>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2281"/>
        <w:gridCol w:w="214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73" w:type="dxa"/>
            <w:noWrap w:val="0"/>
            <w:vAlign w:val="top"/>
          </w:tcPr>
          <w:p>
            <w:pPr>
              <w:pStyle w:val="20"/>
              <w:spacing w:line="560" w:lineRule="exact"/>
              <w:jc w:val="center"/>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rPr>
              <w:t>评分内容</w:t>
            </w:r>
          </w:p>
        </w:tc>
        <w:tc>
          <w:tcPr>
            <w:tcW w:w="2281" w:type="dxa"/>
            <w:noWrap w:val="0"/>
            <w:vAlign w:val="top"/>
          </w:tcPr>
          <w:p>
            <w:pPr>
              <w:pStyle w:val="20"/>
              <w:spacing w:line="560" w:lineRule="exact"/>
              <w:jc w:val="center"/>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rPr>
              <w:t>商务能力</w:t>
            </w:r>
          </w:p>
        </w:tc>
        <w:tc>
          <w:tcPr>
            <w:tcW w:w="2145" w:type="dxa"/>
            <w:noWrap w:val="0"/>
            <w:vAlign w:val="top"/>
          </w:tcPr>
          <w:p>
            <w:pPr>
              <w:pStyle w:val="20"/>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技术能力</w:t>
            </w:r>
          </w:p>
        </w:tc>
        <w:tc>
          <w:tcPr>
            <w:tcW w:w="2160" w:type="dxa"/>
            <w:noWrap w:val="0"/>
            <w:vAlign w:val="top"/>
          </w:tcPr>
          <w:p>
            <w:pPr>
              <w:pStyle w:val="20"/>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noWrap w:val="0"/>
            <w:vAlign w:val="top"/>
          </w:tcPr>
          <w:p>
            <w:pPr>
              <w:pStyle w:val="20"/>
              <w:spacing w:line="560" w:lineRule="exact"/>
              <w:jc w:val="center"/>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rPr>
              <w:t>分值</w:t>
            </w:r>
          </w:p>
        </w:tc>
        <w:tc>
          <w:tcPr>
            <w:tcW w:w="2281" w:type="dxa"/>
            <w:noWrap w:val="0"/>
            <w:vAlign w:val="top"/>
          </w:tcPr>
          <w:p>
            <w:pPr>
              <w:pStyle w:val="20"/>
              <w:spacing w:line="560" w:lineRule="exact"/>
              <w:jc w:val="center"/>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lang w:val="en-US" w:eastAsia="zh-CN"/>
              </w:rPr>
              <w:t>20</w:t>
            </w:r>
            <w:r>
              <w:rPr>
                <w:rFonts w:hint="eastAsia" w:ascii="仿宋_GB2312" w:hAnsi="仿宋_GB2312" w:eastAsia="仿宋_GB2312" w:cs="仿宋_GB2312"/>
                <w:b w:val="0"/>
                <w:bCs/>
                <w:szCs w:val="24"/>
              </w:rPr>
              <w:t>分</w:t>
            </w:r>
          </w:p>
        </w:tc>
        <w:tc>
          <w:tcPr>
            <w:tcW w:w="2145" w:type="dxa"/>
            <w:noWrap w:val="0"/>
            <w:vAlign w:val="top"/>
          </w:tcPr>
          <w:p>
            <w:pPr>
              <w:pStyle w:val="20"/>
              <w:spacing w:line="560" w:lineRule="exact"/>
              <w:jc w:val="center"/>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lang w:val="en-US" w:eastAsia="zh-CN"/>
              </w:rPr>
              <w:t>50</w:t>
            </w:r>
            <w:r>
              <w:rPr>
                <w:rFonts w:hint="eastAsia" w:ascii="仿宋_GB2312" w:hAnsi="仿宋_GB2312" w:eastAsia="仿宋_GB2312" w:cs="仿宋_GB2312"/>
                <w:b w:val="0"/>
                <w:bCs/>
                <w:szCs w:val="24"/>
              </w:rPr>
              <w:t>分</w:t>
            </w:r>
          </w:p>
        </w:tc>
        <w:tc>
          <w:tcPr>
            <w:tcW w:w="2160" w:type="dxa"/>
            <w:noWrap w:val="0"/>
            <w:vAlign w:val="top"/>
          </w:tcPr>
          <w:p>
            <w:pPr>
              <w:pStyle w:val="20"/>
              <w:spacing w:line="560" w:lineRule="exact"/>
              <w:jc w:val="center"/>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lang w:val="en-US" w:eastAsia="zh-CN"/>
              </w:rPr>
              <w:t>30</w:t>
            </w:r>
            <w:r>
              <w:rPr>
                <w:rFonts w:hint="eastAsia" w:ascii="仿宋_GB2312" w:hAnsi="仿宋_GB2312" w:eastAsia="仿宋_GB2312" w:cs="仿宋_GB2312"/>
                <w:b w:val="0"/>
                <w:bCs/>
                <w:szCs w:val="24"/>
              </w:rPr>
              <w:t>分</w:t>
            </w:r>
          </w:p>
        </w:tc>
      </w:tr>
    </w:tbl>
    <w:p>
      <w:pPr>
        <w:pStyle w:val="20"/>
        <w:spacing w:line="560" w:lineRule="exact"/>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（三）评分标准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1.商务能力</w:t>
      </w:r>
    </w:p>
    <w:tbl>
      <w:tblPr>
        <w:tblStyle w:val="10"/>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914"/>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433" w:type="dxa"/>
            <w:gridSpan w:val="2"/>
            <w:noWrap w:val="0"/>
            <w:vAlign w:val="center"/>
          </w:tcPr>
          <w:p>
            <w:pPr>
              <w:widowControl/>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项目</w:t>
            </w:r>
          </w:p>
        </w:tc>
        <w:tc>
          <w:tcPr>
            <w:tcW w:w="5318" w:type="dxa"/>
            <w:noWrap w:val="0"/>
            <w:vAlign w:val="center"/>
          </w:tcPr>
          <w:p>
            <w:pPr>
              <w:widowControl/>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spacing w:line="5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商务能力评分</w:t>
            </w:r>
            <w:r>
              <w:rPr>
                <w:rFonts w:hint="eastAsia" w:ascii="仿宋_GB2312" w:hAnsi="仿宋_GB2312" w:eastAsia="仿宋_GB2312" w:cs="仿宋_GB2312"/>
                <w:bCs/>
                <w:sz w:val="24"/>
                <w:szCs w:val="24"/>
                <w:lang w:val="en-US" w:eastAsia="zh-CN"/>
              </w:rPr>
              <w:t>20</w:t>
            </w:r>
            <w:r>
              <w:rPr>
                <w:rFonts w:hint="eastAsia" w:ascii="仿宋_GB2312" w:hAnsi="仿宋_GB2312" w:eastAsia="仿宋_GB2312" w:cs="仿宋_GB2312"/>
                <w:bCs/>
                <w:sz w:val="24"/>
                <w:szCs w:val="24"/>
              </w:rPr>
              <w:t>分</w:t>
            </w:r>
          </w:p>
        </w:tc>
        <w:tc>
          <w:tcPr>
            <w:tcW w:w="2914" w:type="dxa"/>
            <w:noWrap w:val="0"/>
            <w:vAlign w:val="center"/>
          </w:tcPr>
          <w:p>
            <w:pPr>
              <w:spacing w:line="56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同类项目业绩</w:t>
            </w:r>
          </w:p>
          <w:p>
            <w:pPr>
              <w:spacing w:line="56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10</w:t>
            </w:r>
            <w:r>
              <w:rPr>
                <w:rFonts w:hint="eastAsia" w:ascii="仿宋_GB2312" w:hAnsi="仿宋_GB2312" w:eastAsia="仿宋_GB2312" w:cs="仿宋_GB2312"/>
                <w:bCs/>
                <w:sz w:val="24"/>
                <w:szCs w:val="24"/>
              </w:rPr>
              <w:t>分）</w:t>
            </w:r>
          </w:p>
        </w:tc>
        <w:tc>
          <w:tcPr>
            <w:tcW w:w="5318" w:type="dxa"/>
            <w:noWrap w:val="0"/>
            <w:vAlign w:val="center"/>
          </w:tcPr>
          <w:p>
            <w:pPr>
              <w:spacing w:line="5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评审标准:投标人自20</w:t>
            </w:r>
            <w:r>
              <w:rPr>
                <w:rFonts w:hint="eastAsia" w:ascii="仿宋_GB2312" w:hAnsi="仿宋_GB2312" w:eastAsia="仿宋_GB2312" w:cs="仿宋_GB2312"/>
                <w:bCs/>
                <w:sz w:val="24"/>
                <w:szCs w:val="24"/>
                <w:lang w:val="en-US" w:eastAsia="zh-CN"/>
              </w:rPr>
              <w:t>22</w:t>
            </w:r>
            <w:r>
              <w:rPr>
                <w:rFonts w:hint="eastAsia" w:ascii="仿宋_GB2312" w:hAnsi="仿宋_GB2312" w:eastAsia="仿宋_GB2312" w:cs="仿宋_GB2312"/>
                <w:bCs/>
                <w:sz w:val="24"/>
                <w:szCs w:val="24"/>
              </w:rPr>
              <w:t>年1月1日至投标截止时间前(以合同签订时间为准),具有同类项目业绩,每项业绩得</w:t>
            </w:r>
            <w:r>
              <w:rPr>
                <w:rFonts w:hint="eastAsia" w:ascii="仿宋_GB2312" w:hAnsi="仿宋_GB2312" w:eastAsia="仿宋_GB2312" w:cs="仿宋_GB2312"/>
                <w:bCs/>
                <w:sz w:val="24"/>
                <w:szCs w:val="24"/>
                <w:lang w:val="en-US" w:eastAsia="zh-CN"/>
              </w:rPr>
              <w:t>5</w:t>
            </w:r>
            <w:r>
              <w:rPr>
                <w:rFonts w:hint="eastAsia" w:ascii="仿宋_GB2312" w:hAnsi="仿宋_GB2312" w:eastAsia="仿宋_GB2312" w:cs="仿宋_GB2312"/>
                <w:bCs/>
                <w:sz w:val="24"/>
                <w:szCs w:val="24"/>
              </w:rPr>
              <w:t>分,最高得</w:t>
            </w:r>
            <w:r>
              <w:rPr>
                <w:rFonts w:hint="eastAsia" w:ascii="仿宋_GB2312" w:hAnsi="仿宋_GB2312" w:eastAsia="仿宋_GB2312" w:cs="仿宋_GB2312"/>
                <w:bCs/>
                <w:sz w:val="24"/>
                <w:szCs w:val="24"/>
                <w:lang w:val="en-US" w:eastAsia="zh-CN"/>
              </w:rPr>
              <w:t>10</w:t>
            </w:r>
            <w:r>
              <w:rPr>
                <w:rFonts w:hint="eastAsia" w:ascii="仿宋_GB2312" w:hAnsi="仿宋_GB2312" w:eastAsia="仿宋_GB2312" w:cs="仿宋_GB2312"/>
                <w:bCs/>
                <w:sz w:val="24"/>
                <w:szCs w:val="24"/>
              </w:rPr>
              <w:t>分。证明文件:投标人须提供项目中标通知书或合同关键页复印件,同单位多个项目、同个项目续签不累计加分。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19" w:type="dxa"/>
            <w:vMerge w:val="continue"/>
            <w:noWrap w:val="0"/>
            <w:vAlign w:val="center"/>
          </w:tcPr>
          <w:p>
            <w:pPr>
              <w:spacing w:line="560" w:lineRule="exact"/>
              <w:rPr>
                <w:rFonts w:hint="eastAsia" w:ascii="仿宋_GB2312" w:hAnsi="仿宋_GB2312" w:eastAsia="仿宋_GB2312" w:cs="仿宋_GB2312"/>
                <w:bCs/>
                <w:sz w:val="24"/>
                <w:szCs w:val="24"/>
              </w:rPr>
            </w:pPr>
          </w:p>
        </w:tc>
        <w:tc>
          <w:tcPr>
            <w:tcW w:w="2914" w:type="dxa"/>
            <w:noWrap w:val="0"/>
            <w:vAlign w:val="center"/>
          </w:tcPr>
          <w:p>
            <w:pPr>
              <w:spacing w:line="56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诚信承诺</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5</w:t>
            </w:r>
            <w:r>
              <w:rPr>
                <w:rFonts w:hint="eastAsia" w:ascii="仿宋_GB2312" w:hAnsi="仿宋_GB2312" w:eastAsia="仿宋_GB2312" w:cs="仿宋_GB2312"/>
                <w:bCs/>
                <w:sz w:val="24"/>
                <w:szCs w:val="24"/>
              </w:rPr>
              <w:t>分）</w:t>
            </w:r>
          </w:p>
        </w:tc>
        <w:tc>
          <w:tcPr>
            <w:tcW w:w="5318" w:type="dxa"/>
            <w:noWrap w:val="0"/>
            <w:vAlign w:val="center"/>
          </w:tcPr>
          <w:p>
            <w:pPr>
              <w:spacing w:line="5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评审标准:投标人在参与政府采购活动中不存在诚信相关问题</w:t>
            </w:r>
            <w:r>
              <w:rPr>
                <w:rFonts w:hint="eastAsia" w:ascii="仿宋_GB2312" w:hAnsi="仿宋_GB2312" w:eastAsia="仿宋_GB2312" w:cs="仿宋_GB2312"/>
                <w:bCs/>
                <w:sz w:val="24"/>
                <w:szCs w:val="24"/>
              </w:rPr>
              <w:t>且不在主管部门相关处理措施实施期限内的。提供《诚信承诺函》得5分，</w:t>
            </w:r>
            <w:r>
              <w:rPr>
                <w:rFonts w:hint="eastAsia" w:ascii="仿宋_GB2312" w:hAnsi="仿宋_GB2312" w:eastAsia="仿宋_GB2312" w:cs="仿宋_GB2312"/>
                <w:bCs/>
                <w:sz w:val="24"/>
                <w:szCs w:val="24"/>
                <w:lang w:eastAsia="zh-CN"/>
              </w:rPr>
              <w:t>模板详见附件</w:t>
            </w:r>
            <w:r>
              <w:rPr>
                <w:rFonts w:hint="eastAsia" w:ascii="仿宋_GB2312" w:hAnsi="仿宋_GB2312" w:eastAsia="仿宋_GB2312" w:cs="仿宋_GB2312"/>
                <w:bCs/>
                <w:sz w:val="24"/>
                <w:szCs w:val="24"/>
                <w:lang w:val="en-US" w:eastAsia="zh-CN"/>
              </w:rPr>
              <w:t>1，</w:t>
            </w:r>
            <w:r>
              <w:rPr>
                <w:rFonts w:hint="eastAsia" w:ascii="仿宋_GB2312" w:hAnsi="仿宋_GB2312" w:eastAsia="仿宋_GB2312" w:cs="仿宋_GB2312"/>
                <w:bCs/>
                <w:sz w:val="24"/>
                <w:szCs w:val="24"/>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pPr>
              <w:spacing w:line="560" w:lineRule="exact"/>
              <w:rPr>
                <w:rFonts w:hint="eastAsia" w:ascii="仿宋_GB2312" w:hAnsi="仿宋_GB2312" w:eastAsia="仿宋_GB2312" w:cs="仿宋_GB2312"/>
                <w:bCs/>
                <w:sz w:val="24"/>
                <w:szCs w:val="24"/>
              </w:rPr>
            </w:pPr>
          </w:p>
        </w:tc>
        <w:tc>
          <w:tcPr>
            <w:tcW w:w="2914" w:type="dxa"/>
            <w:noWrap w:val="0"/>
            <w:vAlign w:val="center"/>
          </w:tcPr>
          <w:p>
            <w:pPr>
              <w:spacing w:line="56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拟安排项目团队</w:t>
            </w:r>
          </w:p>
          <w:p>
            <w:pPr>
              <w:spacing w:line="56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成员情况（</w:t>
            </w:r>
            <w:r>
              <w:rPr>
                <w:rFonts w:hint="eastAsia" w:ascii="仿宋_GB2312" w:hAnsi="仿宋_GB2312" w:eastAsia="仿宋_GB2312" w:cs="仿宋_GB2312"/>
                <w:bCs/>
                <w:sz w:val="24"/>
                <w:szCs w:val="24"/>
                <w:lang w:val="en-US" w:eastAsia="zh-CN"/>
              </w:rPr>
              <w:t>5分</w:t>
            </w:r>
            <w:r>
              <w:rPr>
                <w:rFonts w:hint="eastAsia" w:ascii="仿宋_GB2312" w:hAnsi="仿宋_GB2312" w:eastAsia="仿宋_GB2312" w:cs="仿宋_GB2312"/>
                <w:bCs/>
                <w:sz w:val="24"/>
                <w:szCs w:val="24"/>
                <w:lang w:eastAsia="zh-CN"/>
              </w:rPr>
              <w:t>）</w:t>
            </w:r>
          </w:p>
        </w:tc>
        <w:tc>
          <w:tcPr>
            <w:tcW w:w="5318" w:type="dxa"/>
            <w:noWrap w:val="0"/>
            <w:vAlign w:val="center"/>
          </w:tcPr>
          <w:p>
            <w:pPr>
              <w:spacing w:line="560" w:lineRule="exac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团队人员组成及学历、经验、能力评价：</w:t>
            </w:r>
          </w:p>
          <w:p>
            <w:pPr>
              <w:spacing w:line="560" w:lineRule="exac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1.具有中级及以上职称会计师；</w:t>
            </w:r>
          </w:p>
          <w:p>
            <w:pPr>
              <w:spacing w:line="560" w:lineRule="exac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2.具有2年以上财会工作经验。</w:t>
            </w:r>
          </w:p>
          <w:p>
            <w:pPr>
              <w:spacing w:line="5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满足以上二项要求的评价为优得5分；满足以上一项要求的评价为良得2.5分；未提供不得分。证明文件：需提供职称复印件及相关工作经验证明</w:t>
            </w:r>
          </w:p>
        </w:tc>
      </w:tr>
    </w:tbl>
    <w:p>
      <w:pPr>
        <w:spacing w:line="560" w:lineRule="exact"/>
        <w:ind w:firstLine="480" w:firstLineChars="200"/>
        <w:rPr>
          <w:rFonts w:hint="eastAsia" w:ascii="仿宋_GB2312" w:eastAsia="仿宋_GB2312"/>
          <w:sz w:val="32"/>
          <w:szCs w:val="32"/>
          <w:highlight w:val="yellow"/>
        </w:rPr>
      </w:pPr>
      <w:r>
        <w:rPr>
          <w:rFonts w:hint="eastAsia" w:ascii="宋体" w:hAnsi="宋体" w:eastAsia="宋体"/>
          <w:bCs/>
          <w:sz w:val="24"/>
        </w:rPr>
        <w:t>注：</w:t>
      </w:r>
      <w:r>
        <w:rPr>
          <w:rFonts w:hint="eastAsia" w:ascii="宋体" w:hAnsi="宋体"/>
          <w:bCs/>
          <w:sz w:val="24"/>
        </w:rPr>
        <w:t>不提供证明文件或提供的证明文件不合格者，不得分。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2.技术能力</w:t>
      </w:r>
    </w:p>
    <w:tbl>
      <w:tblPr>
        <w:tblStyle w:val="10"/>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894"/>
        <w:gridCol w:w="5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413" w:type="dxa"/>
            <w:gridSpan w:val="2"/>
            <w:noWrap w:val="0"/>
            <w:vAlign w:val="center"/>
          </w:tcPr>
          <w:p>
            <w:pPr>
              <w:widowControl/>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项目</w:t>
            </w:r>
          </w:p>
        </w:tc>
        <w:tc>
          <w:tcPr>
            <w:tcW w:w="5338" w:type="dxa"/>
            <w:noWrap w:val="0"/>
            <w:vAlign w:val="center"/>
          </w:tcPr>
          <w:p>
            <w:pPr>
              <w:widowControl/>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19" w:type="dxa"/>
            <w:noWrap w:val="0"/>
            <w:vAlign w:val="center"/>
          </w:tcPr>
          <w:p>
            <w:pPr>
              <w:spacing w:line="56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技术能力分</w:t>
            </w:r>
            <w:r>
              <w:rPr>
                <w:rFonts w:hint="eastAsia" w:ascii="仿宋_GB2312" w:hAnsi="仿宋_GB2312" w:eastAsia="仿宋_GB2312" w:cs="仿宋_GB2312"/>
                <w:bCs/>
                <w:sz w:val="24"/>
                <w:szCs w:val="24"/>
                <w:lang w:val="en-US" w:eastAsia="zh-CN"/>
              </w:rPr>
              <w:t>50</w:t>
            </w:r>
            <w:r>
              <w:rPr>
                <w:rFonts w:hint="eastAsia" w:ascii="仿宋_GB2312" w:hAnsi="仿宋_GB2312" w:eastAsia="仿宋_GB2312" w:cs="仿宋_GB2312"/>
                <w:bCs/>
                <w:sz w:val="24"/>
                <w:szCs w:val="24"/>
              </w:rPr>
              <w:t>分</w:t>
            </w:r>
          </w:p>
        </w:tc>
        <w:tc>
          <w:tcPr>
            <w:tcW w:w="2894" w:type="dxa"/>
            <w:noWrap w:val="0"/>
            <w:vAlign w:val="center"/>
          </w:tcPr>
          <w:p>
            <w:pPr>
              <w:spacing w:line="56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实施方案</w:t>
            </w:r>
          </w:p>
          <w:p>
            <w:pPr>
              <w:spacing w:line="56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30</w:t>
            </w:r>
            <w:r>
              <w:rPr>
                <w:rFonts w:hint="eastAsia" w:ascii="仿宋_GB2312" w:hAnsi="仿宋_GB2312" w:eastAsia="仿宋_GB2312" w:cs="仿宋_GB2312"/>
                <w:bCs/>
                <w:sz w:val="24"/>
                <w:szCs w:val="24"/>
              </w:rPr>
              <w:t>分）</w:t>
            </w:r>
          </w:p>
        </w:tc>
        <w:tc>
          <w:tcPr>
            <w:tcW w:w="5338" w:type="dxa"/>
            <w:noWrap w:val="0"/>
            <w:vAlign w:val="center"/>
          </w:tcPr>
          <w:p>
            <w:pPr>
              <w:spacing w:line="560" w:lineRule="exac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考察内容：</w:t>
            </w:r>
          </w:p>
          <w:p>
            <w:pPr>
              <w:spacing w:line="560" w:lineRule="exac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投标人须提供项目方案包括：</w:t>
            </w:r>
          </w:p>
          <w:p>
            <w:pPr>
              <w:spacing w:line="560" w:lineRule="exact"/>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1.固定资产系统日常管理方案；</w:t>
            </w:r>
          </w:p>
          <w:p>
            <w:pPr>
              <w:spacing w:line="560" w:lineRule="exact"/>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2.国有资产报告编报思路；</w:t>
            </w:r>
          </w:p>
          <w:p>
            <w:pPr>
              <w:spacing w:line="560" w:lineRule="exact"/>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3.年中/年终全面清查盘点计划；</w:t>
            </w:r>
          </w:p>
          <w:p>
            <w:pPr>
              <w:spacing w:line="560" w:lineRule="exact"/>
              <w:rPr>
                <w:rFonts w:hint="default" w:ascii="仿宋_GB2312" w:hAnsi="仿宋_GB2312" w:eastAsia="仿宋_GB2312" w:cs="仿宋_GB2312"/>
                <w:bCs/>
                <w:sz w:val="24"/>
                <w:szCs w:val="24"/>
                <w:highlight w:val="yellow"/>
                <w:lang w:val="en-US" w:eastAsia="zh-CN"/>
              </w:rPr>
            </w:pPr>
            <w:r>
              <w:rPr>
                <w:rFonts w:hint="eastAsia" w:ascii="仿宋_GB2312" w:hAnsi="仿宋_GB2312" w:eastAsia="仿宋_GB2312" w:cs="仿宋_GB2312"/>
                <w:bCs/>
                <w:sz w:val="24"/>
                <w:szCs w:val="24"/>
                <w:highlight w:val="none"/>
                <w:lang w:val="en-US" w:eastAsia="zh-CN"/>
              </w:rPr>
              <w:t>4.</w:t>
            </w:r>
            <w:r>
              <w:rPr>
                <w:rFonts w:hint="default" w:ascii="仿宋_GB2312" w:hAnsi="仿宋_GB2312" w:eastAsia="仿宋_GB2312" w:cs="仿宋_GB2312"/>
                <w:bCs/>
                <w:sz w:val="24"/>
                <w:szCs w:val="24"/>
                <w:highlight w:val="none"/>
                <w:lang w:val="en-US" w:eastAsia="zh-CN"/>
              </w:rPr>
              <w:t>每月抽查盘点</w:t>
            </w:r>
            <w:r>
              <w:rPr>
                <w:rFonts w:hint="eastAsia" w:ascii="仿宋_GB2312" w:hAnsi="仿宋_GB2312" w:eastAsia="仿宋_GB2312" w:cs="仿宋_GB2312"/>
                <w:bCs/>
                <w:sz w:val="24"/>
                <w:szCs w:val="24"/>
                <w:highlight w:val="none"/>
                <w:lang w:val="en-US" w:eastAsia="zh-CN"/>
              </w:rPr>
              <w:t>方案；</w:t>
            </w:r>
          </w:p>
          <w:p>
            <w:pPr>
              <w:spacing w:line="560" w:lineRule="exac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评分标准：</w:t>
            </w:r>
          </w:p>
          <w:p>
            <w:pPr>
              <w:spacing w:line="560" w:lineRule="exact"/>
              <w:rPr>
                <w:rFonts w:hint="eastAsia"/>
                <w:lang w:val="en-US" w:eastAsia="zh-CN"/>
              </w:rPr>
            </w:pPr>
            <w:r>
              <w:rPr>
                <w:rFonts w:hint="eastAsia" w:ascii="仿宋_GB2312" w:hAnsi="仿宋_GB2312" w:eastAsia="仿宋_GB2312" w:cs="仿宋_GB2312"/>
                <w:bCs/>
                <w:sz w:val="24"/>
                <w:szCs w:val="24"/>
                <w:lang w:val="en-US" w:eastAsia="zh-CN"/>
              </w:rPr>
              <w:t>满足以上任意一项得5分，最高得20。</w:t>
            </w:r>
          </w:p>
          <w:p>
            <w:pPr>
              <w:spacing w:line="560" w:lineRule="exac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在此基础上，根据供应商的具体响应内容按照量化的评审因素指标进一步评审：</w:t>
            </w:r>
          </w:p>
          <w:p>
            <w:pPr>
              <w:spacing w:line="560" w:lineRule="exac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（1）优评分标准：方案符合实际、完整、规范、思路清晰，内容合理性强，加10分；</w:t>
            </w:r>
          </w:p>
          <w:p>
            <w:pPr>
              <w:spacing w:line="560" w:lineRule="exac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（2）良评分标准：方案较符合实际、较完整规范、思路较清晰，内容合理性较强，加7分；</w:t>
            </w:r>
          </w:p>
          <w:p>
            <w:pPr>
              <w:spacing w:line="560" w:lineRule="exac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（3）中评分标准：方案较普通、完整性规范性一般、思路不够清晰，内容合理性一般，加4分；</w:t>
            </w:r>
          </w:p>
          <w:p>
            <w:pPr>
              <w:spacing w:line="5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（4）差评分标准：未提供或不完整、不规范，思路不清晰，内容合理性较差，加0分；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trPr>
        <w:tc>
          <w:tcPr>
            <w:tcW w:w="519" w:type="dxa"/>
            <w:noWrap w:val="0"/>
            <w:vAlign w:val="center"/>
          </w:tcPr>
          <w:p>
            <w:pPr>
              <w:jc w:val="center"/>
              <w:rPr>
                <w:rFonts w:hint="eastAsia" w:ascii="仿宋" w:hAnsi="仿宋" w:eastAsia="仿宋"/>
                <w:kern w:val="2"/>
                <w:sz w:val="20"/>
                <w:szCs w:val="22"/>
                <w:lang w:val="en-US" w:eastAsia="zh-CN" w:bidi="ar-SA"/>
              </w:rPr>
            </w:pPr>
          </w:p>
        </w:tc>
        <w:tc>
          <w:tcPr>
            <w:tcW w:w="2894" w:type="dxa"/>
            <w:noWrap w:val="0"/>
            <w:vAlign w:val="center"/>
          </w:tcPr>
          <w:p>
            <w:pPr>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项目重点难点分析、应对措施及相关的合理化建议</w:t>
            </w:r>
          </w:p>
          <w:p>
            <w:pPr>
              <w:spacing w:line="560" w:lineRule="exact"/>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（20分）</w:t>
            </w:r>
          </w:p>
        </w:tc>
        <w:tc>
          <w:tcPr>
            <w:tcW w:w="5338" w:type="dxa"/>
            <w:noWrap w:val="0"/>
            <w:vAlign w:val="center"/>
          </w:tcPr>
          <w:p>
            <w:pPr>
              <w:spacing w:line="560" w:lineRule="exac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投标供应商应根据采购文件服务需求提供项目重点难点分析、应对措施及相关的合理化建议内容包括但不限于：</w:t>
            </w:r>
          </w:p>
          <w:p>
            <w:pPr>
              <w:spacing w:line="560" w:lineRule="exac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 xml:space="preserve">1.重点难点分析； </w:t>
            </w:r>
          </w:p>
          <w:p>
            <w:pPr>
              <w:spacing w:line="560" w:lineRule="exac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 xml:space="preserve">2.应对措施；  </w:t>
            </w:r>
          </w:p>
          <w:p>
            <w:pPr>
              <w:spacing w:line="560" w:lineRule="exac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3.合理化建议。</w:t>
            </w:r>
          </w:p>
          <w:p>
            <w:pPr>
              <w:spacing w:line="560" w:lineRule="exac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满足以上任意一项得4分，最高12分。在此基础上，由评标委员会根据供应商的具体响应内容按照量化的评审因素指标进一步评审：</w:t>
            </w:r>
          </w:p>
          <w:p>
            <w:pPr>
              <w:spacing w:line="560" w:lineRule="exact"/>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（1）</w:t>
            </w:r>
            <w:r>
              <w:rPr>
                <w:rFonts w:hint="eastAsia" w:ascii="仿宋_GB2312" w:hAnsi="仿宋_GB2312" w:eastAsia="仿宋_GB2312" w:cs="仿宋_GB2312"/>
                <w:sz w:val="24"/>
                <w:szCs w:val="24"/>
                <w:highlight w:val="none"/>
                <w:vertAlign w:val="baseline"/>
                <w:lang w:val="en-US" w:eastAsia="zh-CN"/>
              </w:rPr>
              <w:t>项目重点难点分析、应对措施及相关的合理化建议</w:t>
            </w:r>
            <w:r>
              <w:rPr>
                <w:rFonts w:hint="eastAsia" w:ascii="仿宋_GB2312" w:hAnsi="仿宋_GB2312" w:eastAsia="仿宋_GB2312" w:cs="仿宋_GB2312"/>
                <w:bCs/>
                <w:sz w:val="24"/>
                <w:szCs w:val="24"/>
                <w:highlight w:val="none"/>
                <w:lang w:val="en-US" w:eastAsia="zh-CN"/>
              </w:rPr>
              <w:t>科学合理，具备极强的可行性、十分具体，评价为优，加8分；</w:t>
            </w:r>
          </w:p>
          <w:p>
            <w:pPr>
              <w:spacing w:line="560" w:lineRule="exact"/>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（2）</w:t>
            </w:r>
            <w:r>
              <w:rPr>
                <w:rFonts w:hint="eastAsia" w:ascii="仿宋_GB2312" w:hAnsi="仿宋_GB2312" w:eastAsia="仿宋_GB2312" w:cs="仿宋_GB2312"/>
                <w:sz w:val="24"/>
                <w:szCs w:val="24"/>
                <w:highlight w:val="none"/>
                <w:vertAlign w:val="baseline"/>
                <w:lang w:val="en-US" w:eastAsia="zh-CN"/>
              </w:rPr>
              <w:t>项目重点难点分析、应对措施及相关的合理化建议</w:t>
            </w:r>
            <w:r>
              <w:rPr>
                <w:rFonts w:hint="eastAsia" w:ascii="仿宋_GB2312" w:hAnsi="仿宋_GB2312" w:eastAsia="仿宋_GB2312" w:cs="仿宋_GB2312"/>
                <w:bCs/>
                <w:sz w:val="24"/>
                <w:szCs w:val="24"/>
                <w:highlight w:val="none"/>
                <w:lang w:val="en-US" w:eastAsia="zh-CN"/>
              </w:rPr>
              <w:t>较科学合理，具备较强的可行性、较具体，评价为良，加6分；</w:t>
            </w:r>
          </w:p>
          <w:p>
            <w:pPr>
              <w:spacing w:line="560" w:lineRule="exact"/>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（3）</w:t>
            </w:r>
            <w:r>
              <w:rPr>
                <w:rFonts w:hint="eastAsia" w:ascii="仿宋_GB2312" w:hAnsi="仿宋_GB2312" w:eastAsia="仿宋_GB2312" w:cs="仿宋_GB2312"/>
                <w:sz w:val="24"/>
                <w:szCs w:val="24"/>
                <w:highlight w:val="none"/>
                <w:vertAlign w:val="baseline"/>
                <w:lang w:val="en-US" w:eastAsia="zh-CN"/>
              </w:rPr>
              <w:t>项目重点难点分析、应对措施及相关的合理化建议</w:t>
            </w:r>
            <w:r>
              <w:rPr>
                <w:rFonts w:hint="eastAsia" w:ascii="仿宋_GB2312" w:hAnsi="仿宋_GB2312" w:eastAsia="仿宋_GB2312" w:cs="仿宋_GB2312"/>
                <w:bCs/>
                <w:sz w:val="24"/>
                <w:szCs w:val="24"/>
                <w:highlight w:val="none"/>
                <w:lang w:val="en-US" w:eastAsia="zh-CN"/>
              </w:rPr>
              <w:t>基本科学合理，具备基本的可行性、基本具体，评价为中，加4分；</w:t>
            </w:r>
          </w:p>
          <w:p>
            <w:pPr>
              <w:spacing w:line="560" w:lineRule="exact"/>
              <w:rPr>
                <w:rFonts w:hint="eastAsia"/>
                <w:lang w:val="en-US" w:eastAsia="zh-CN"/>
              </w:rPr>
            </w:pPr>
            <w:r>
              <w:rPr>
                <w:rFonts w:hint="eastAsia" w:ascii="仿宋_GB2312" w:hAnsi="仿宋_GB2312" w:eastAsia="仿宋_GB2312" w:cs="仿宋_GB2312"/>
                <w:bCs/>
                <w:sz w:val="24"/>
                <w:szCs w:val="24"/>
                <w:highlight w:val="none"/>
                <w:lang w:val="en-US" w:eastAsia="zh-CN"/>
              </w:rPr>
              <w:t>（4）</w:t>
            </w:r>
            <w:r>
              <w:rPr>
                <w:rFonts w:hint="eastAsia" w:ascii="仿宋_GB2312" w:hAnsi="仿宋_GB2312" w:eastAsia="仿宋_GB2312" w:cs="仿宋_GB2312"/>
                <w:sz w:val="24"/>
                <w:szCs w:val="24"/>
                <w:highlight w:val="none"/>
                <w:vertAlign w:val="baseline"/>
                <w:lang w:val="en-US" w:eastAsia="zh-CN"/>
              </w:rPr>
              <w:t>项目重点难点分析、应对措施及相关的合理化建议</w:t>
            </w:r>
            <w:r>
              <w:rPr>
                <w:rFonts w:hint="eastAsia" w:ascii="仿宋_GB2312" w:hAnsi="仿宋_GB2312" w:eastAsia="仿宋_GB2312" w:cs="仿宋_GB2312"/>
                <w:bCs/>
                <w:sz w:val="24"/>
                <w:szCs w:val="24"/>
                <w:highlight w:val="none"/>
                <w:lang w:val="en-US" w:eastAsia="zh-CN"/>
              </w:rPr>
              <w:t>不科学合理，不具备可行性、不具体，评价为差，或未提供方案的，得0分；</w:t>
            </w:r>
          </w:p>
        </w:tc>
      </w:tr>
    </w:tbl>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3.报价</w:t>
      </w:r>
    </w:p>
    <w:p>
      <w:pPr>
        <w:spacing w:line="560" w:lineRule="exact"/>
        <w:ind w:firstLine="640" w:firstLineChars="200"/>
        <w:rPr>
          <w:rFonts w:hint="eastAsia" w:ascii="仿宋_GB2312" w:eastAsia="仿宋_GB2312"/>
          <w:color w:val="000000"/>
          <w:sz w:val="32"/>
          <w:szCs w:val="32"/>
          <w:highlight w:val="yellow"/>
        </w:rPr>
      </w:pPr>
      <w:r>
        <w:rPr>
          <w:rFonts w:hint="eastAsia" w:ascii="仿宋_GB2312" w:eastAsia="仿宋_GB2312"/>
          <w:color w:val="000000"/>
          <w:sz w:val="32"/>
          <w:szCs w:val="32"/>
        </w:rPr>
        <w:t>以本次</w:t>
      </w:r>
      <w:r>
        <w:rPr>
          <w:rFonts w:hint="eastAsia" w:ascii="仿宋_GB2312" w:hAnsi="仿宋" w:eastAsia="仿宋_GB2312" w:cs="仿宋_GB2312"/>
          <w:sz w:val="32"/>
          <w:szCs w:val="32"/>
        </w:rPr>
        <w:t>报价或投标</w:t>
      </w:r>
      <w:r>
        <w:rPr>
          <w:rFonts w:hint="eastAsia" w:ascii="仿宋_GB2312" w:eastAsia="仿宋_GB2312"/>
          <w:color w:val="000000"/>
          <w:sz w:val="32"/>
          <w:szCs w:val="32"/>
        </w:rPr>
        <w:t>人所报的有效报价中的最低价作为基准报价。投标人报价得分=（基准价/投标人报价）*</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分。</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w:t>
      </w:r>
      <w:r>
        <w:rPr>
          <w:rFonts w:hint="eastAsia" w:ascii="黑体" w:hAnsi="黑体" w:eastAsia="黑体" w:cs="黑体"/>
          <w:bCs/>
          <w:color w:val="auto"/>
          <w:sz w:val="32"/>
          <w:szCs w:val="32"/>
          <w:highlight w:val="none"/>
          <w:lang w:val="en-US" w:eastAsia="zh-CN"/>
        </w:rPr>
        <w:t>供应商提供资料清单</w:t>
      </w:r>
      <w:r>
        <w:rPr>
          <w:rFonts w:hint="eastAsia" w:ascii="楷体_GB2312" w:hAnsi="楷体_GB2312" w:eastAsia="楷体_GB2312" w:cs="楷体_GB2312"/>
          <w:b/>
          <w:bCs w:val="0"/>
          <w:color w:val="FF0000"/>
          <w:sz w:val="32"/>
          <w:szCs w:val="32"/>
          <w:lang w:eastAsia="zh-CN"/>
        </w:rPr>
        <w:t>（均需每页加盖公章）</w:t>
      </w:r>
    </w:p>
    <w:p>
      <w:pPr>
        <w:spacing w:line="560" w:lineRule="exact"/>
        <w:ind w:firstLine="640" w:firstLineChars="200"/>
        <w:rPr>
          <w:rFonts w:ascii="仿宋_GB2312" w:hAnsi="仿宋" w:eastAsia="仿宋_GB2312" w:cs="Times New Roman"/>
          <w:sz w:val="32"/>
        </w:rPr>
      </w:pPr>
      <w:r>
        <w:rPr>
          <w:rFonts w:hint="eastAsia" w:ascii="仿宋_GB2312" w:hAnsi="仿宋" w:eastAsia="仿宋_GB2312" w:cs="Times New Roman"/>
          <w:sz w:val="32"/>
        </w:rPr>
        <w:t>1.营业执照、事业法人证书、社会团体法人登记证书；</w:t>
      </w:r>
    </w:p>
    <w:p>
      <w:pPr>
        <w:spacing w:line="560" w:lineRule="exact"/>
        <w:ind w:firstLine="640" w:firstLineChars="200"/>
      </w:pPr>
      <w:r>
        <w:rPr>
          <w:rFonts w:hint="eastAsia" w:ascii="仿宋_GB2312" w:hAnsi="仿宋" w:eastAsia="仿宋_GB2312" w:cs="Times New Roman"/>
          <w:sz w:val="32"/>
        </w:rPr>
        <w:t>2.法定代表人身份证复印件；</w:t>
      </w:r>
    </w:p>
    <w:p>
      <w:pPr>
        <w:pStyle w:val="5"/>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3.项目报价</w:t>
      </w:r>
      <w:r>
        <w:rPr>
          <w:rFonts w:hint="eastAsia" w:ascii="仿宋_GB2312" w:hAnsi="仿宋" w:eastAsia="仿宋_GB2312" w:cs="Times New Roman"/>
          <w:sz w:val="32"/>
          <w:lang w:eastAsia="zh-CN"/>
        </w:rPr>
        <w:t>表</w:t>
      </w:r>
      <w:r>
        <w:rPr>
          <w:rFonts w:hint="eastAsia" w:ascii="仿宋_GB2312" w:hAnsi="仿宋" w:eastAsia="仿宋_GB2312" w:cs="Times New Roman"/>
          <w:b/>
          <w:bCs/>
          <w:sz w:val="32"/>
          <w:lang w:eastAsia="zh-CN"/>
        </w:rPr>
        <w:t>（需按格式提供）</w:t>
      </w:r>
      <w:r>
        <w:rPr>
          <w:rFonts w:hint="eastAsia" w:ascii="仿宋_GB2312" w:hAnsi="仿宋" w:eastAsia="仿宋_GB2312" w:cs="Times New Roman"/>
          <w:sz w:val="32"/>
        </w:rPr>
        <w:t>；</w:t>
      </w:r>
    </w:p>
    <w:p>
      <w:pPr>
        <w:pStyle w:val="5"/>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4.评分规则所需资料（同类业绩证明、方案等）；</w:t>
      </w:r>
    </w:p>
    <w:p>
      <w:pPr>
        <w:pStyle w:val="5"/>
        <w:spacing w:after="0" w:line="560" w:lineRule="exact"/>
        <w:ind w:left="0" w:leftChars="0" w:right="0" w:rightChars="0" w:firstLine="640"/>
        <w:rPr>
          <w:rFonts w:hint="eastAsia" w:ascii="仿宋_GB2312" w:hAnsi="仿宋" w:eastAsia="仿宋_GB2312" w:cs="Times New Roman"/>
          <w:sz w:val="32"/>
          <w:highlight w:val="none"/>
        </w:rPr>
      </w:pPr>
      <w:r>
        <w:rPr>
          <w:rFonts w:hint="eastAsia" w:ascii="仿宋_GB2312" w:hAnsi="仿宋" w:eastAsia="仿宋_GB2312" w:cs="Times New Roman"/>
          <w:sz w:val="32"/>
        </w:rPr>
        <w:t>5</w:t>
      </w:r>
      <w:r>
        <w:rPr>
          <w:rFonts w:hint="eastAsia" w:ascii="仿宋_GB2312" w:hAnsi="仿宋" w:eastAsia="仿宋_GB2312" w:cs="Times New Roman"/>
          <w:sz w:val="32"/>
          <w:highlight w:val="none"/>
        </w:rPr>
        <w:t>.</w:t>
      </w:r>
      <w:r>
        <w:rPr>
          <w:rFonts w:hint="eastAsia" w:ascii="仿宋_GB2312" w:hAnsi="仿宋" w:eastAsia="仿宋_GB2312" w:cs="Times New Roman"/>
          <w:sz w:val="32"/>
          <w:highlight w:val="none"/>
          <w:lang w:eastAsia="zh-CN"/>
        </w:rPr>
        <w:t>填写</w:t>
      </w:r>
      <w:r>
        <w:rPr>
          <w:rFonts w:hint="eastAsia" w:ascii="仿宋_GB2312" w:hAnsi="仿宋" w:eastAsia="仿宋_GB2312" w:cs="Times New Roman"/>
          <w:sz w:val="32"/>
          <w:highlight w:val="none"/>
        </w:rPr>
        <w:t>《供应商基本情况表》</w:t>
      </w:r>
      <w:r>
        <w:rPr>
          <w:rFonts w:hint="eastAsia" w:ascii="仿宋_GB2312" w:hAnsi="仿宋" w:eastAsia="仿宋_GB2312" w:cs="Times New Roman"/>
          <w:sz w:val="32"/>
          <w:highlight w:val="none"/>
          <w:lang w:eastAsia="zh-CN"/>
        </w:rPr>
        <w:t>（加盖公章，</w:t>
      </w:r>
      <w:r>
        <w:rPr>
          <w:rFonts w:hint="eastAsia" w:ascii="仿宋_GB2312" w:hAnsi="仿宋" w:eastAsia="仿宋_GB2312" w:cs="Times New Roman"/>
          <w:sz w:val="32"/>
          <w:highlight w:val="none"/>
        </w:rPr>
        <w:t>详见附件</w:t>
      </w:r>
      <w:r>
        <w:rPr>
          <w:rFonts w:hint="eastAsia" w:ascii="仿宋_GB2312" w:hAnsi="仿宋" w:eastAsia="仿宋_GB2312" w:cs="Times New Roman"/>
          <w:sz w:val="32"/>
          <w:highlight w:val="none"/>
          <w:lang w:val="en-US" w:eastAsia="zh-CN"/>
        </w:rPr>
        <w:t>2</w:t>
      </w:r>
      <w:r>
        <w:rPr>
          <w:rFonts w:hint="eastAsia" w:ascii="仿宋_GB2312" w:hAnsi="仿宋" w:eastAsia="仿宋_GB2312" w:cs="Times New Roman"/>
          <w:sz w:val="32"/>
          <w:highlight w:val="none"/>
          <w:lang w:eastAsia="zh-CN"/>
        </w:rPr>
        <w:t>）并提供表中投标（响应）供应商相关人员的近三个月社保缴纳情况，若本月社保未能提供，则提供前三个月的社保情况，如供应商为新成立企业且成立时间不足</w:t>
      </w:r>
      <w:r>
        <w:rPr>
          <w:rFonts w:hint="eastAsia" w:ascii="仿宋_GB2312" w:hAnsi="仿宋" w:eastAsia="仿宋_GB2312" w:cs="Times New Roman"/>
          <w:sz w:val="32"/>
          <w:highlight w:val="none"/>
          <w:lang w:val="en-US" w:eastAsia="zh-CN"/>
        </w:rPr>
        <w:t>3</w:t>
      </w:r>
      <w:r>
        <w:rPr>
          <w:rFonts w:hint="eastAsia" w:ascii="仿宋_GB2312" w:hAnsi="仿宋" w:eastAsia="仿宋_GB2312" w:cs="Times New Roman"/>
          <w:sz w:val="32"/>
          <w:highlight w:val="none"/>
          <w:lang w:eastAsia="zh-CN"/>
        </w:rPr>
        <w:t>个月的，可提供加盖公章的情况说明或其他相关证明材料。</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九、其他注意事项</w:t>
      </w:r>
    </w:p>
    <w:p>
      <w:pPr>
        <w:keepNext w:val="0"/>
        <w:keepLines w:val="0"/>
        <w:widowControl/>
        <w:suppressLineNumbers w:val="0"/>
        <w:ind w:firstLine="640" w:firstLineChars="200"/>
        <w:jc w:val="both"/>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sz w:val="32"/>
          <w:lang w:val="en-US" w:eastAsia="zh-CN"/>
        </w:rPr>
        <w:t>1.供应商需</w:t>
      </w:r>
      <w:r>
        <w:rPr>
          <w:rFonts w:hint="default" w:ascii="仿宋_GB2312" w:hAnsi="仿宋" w:eastAsia="仿宋_GB2312" w:cs="Times New Roman"/>
          <w:sz w:val="32"/>
          <w:lang w:val="en-US" w:eastAsia="zh-CN"/>
        </w:rPr>
        <w:t>深圳政府采购自行采购系统</w:t>
      </w:r>
      <w:r>
        <w:rPr>
          <w:rFonts w:hint="eastAsia" w:ascii="仿宋_GB2312" w:hAnsi="仿宋" w:eastAsia="仿宋_GB2312" w:cs="Times New Roman"/>
          <w:kern w:val="2"/>
          <w:sz w:val="32"/>
          <w:szCs w:val="24"/>
          <w:lang w:val="en-US" w:eastAsia="zh-CN" w:bidi="ar-SA"/>
        </w:rPr>
        <w:t>完成供应商注册（网址：https://zxcg.szggzy.com/home/index.html），请于本项目投标截止时间前完成注册，否则如中标/成交，可能影响采购结果的发布。</w:t>
      </w:r>
    </w:p>
    <w:p>
      <w:pPr>
        <w:pStyle w:val="5"/>
        <w:spacing w:after="0" w:line="560" w:lineRule="exact"/>
        <w:ind w:left="0" w:leftChars="0" w:right="0" w:rightChars="0" w:firstLine="640"/>
        <w:rPr>
          <w:rFonts w:hint="default" w:ascii="仿宋_GB2312" w:hAnsi="仿宋" w:eastAsia="仿宋_GB2312" w:cs="Times New Roman"/>
          <w:sz w:val="32"/>
          <w:lang w:val="en-US" w:eastAsia="zh-CN"/>
        </w:rPr>
      </w:pPr>
      <w:r>
        <w:rPr>
          <w:rFonts w:hint="eastAsia" w:ascii="仿宋_GB2312" w:hAnsi="仿宋" w:eastAsia="仿宋_GB2312" w:cs="Times New Roman"/>
          <w:sz w:val="32"/>
          <w:lang w:val="en-US" w:eastAsia="zh-CN"/>
        </w:rPr>
        <w:t>2.</w:t>
      </w:r>
      <w:r>
        <w:rPr>
          <w:rFonts w:hint="eastAsia" w:ascii="仿宋_GB2312" w:hAnsi="仿宋" w:eastAsia="仿宋_GB2312" w:cs="Times New Roman"/>
          <w:sz w:val="32"/>
        </w:rPr>
        <w:t>供应商需</w:t>
      </w:r>
      <w:r>
        <w:rPr>
          <w:rFonts w:hint="eastAsia" w:ascii="仿宋_GB2312" w:hAnsi="仿宋" w:eastAsia="仿宋_GB2312" w:cs="Times New Roman"/>
          <w:sz w:val="32"/>
          <w:lang w:val="en-US" w:eastAsia="zh-CN"/>
        </w:rPr>
        <w:t>以</w:t>
      </w:r>
      <w:r>
        <w:rPr>
          <w:rFonts w:hint="eastAsia" w:ascii="仿宋_GB2312" w:hAnsi="仿宋" w:eastAsia="仿宋_GB2312" w:cs="Times New Roman"/>
          <w:sz w:val="32"/>
        </w:rPr>
        <w:t>邮寄</w:t>
      </w:r>
      <w:r>
        <w:rPr>
          <w:rFonts w:hint="eastAsia" w:ascii="仿宋_GB2312" w:hAnsi="仿宋" w:eastAsia="仿宋_GB2312" w:cs="Times New Roman"/>
          <w:sz w:val="32"/>
          <w:lang w:val="en-US" w:eastAsia="zh-CN"/>
        </w:rPr>
        <w:t>方式提供5</w:t>
      </w:r>
      <w:r>
        <w:rPr>
          <w:rFonts w:hint="eastAsia" w:ascii="仿宋_GB2312" w:hAnsi="仿宋" w:eastAsia="仿宋_GB2312" w:cs="Times New Roman"/>
          <w:sz w:val="32"/>
        </w:rPr>
        <w:t>份</w:t>
      </w:r>
      <w:r>
        <w:rPr>
          <w:rFonts w:hint="eastAsia" w:ascii="仿宋_GB2312" w:hAnsi="仿宋" w:eastAsia="仿宋_GB2312" w:cs="Times New Roman"/>
          <w:b/>
          <w:bCs/>
          <w:sz w:val="32"/>
        </w:rPr>
        <w:t>密封</w:t>
      </w:r>
      <w:r>
        <w:rPr>
          <w:rFonts w:hint="eastAsia" w:ascii="仿宋_GB2312" w:hAnsi="仿宋" w:eastAsia="仿宋_GB2312" w:cs="Times New Roman"/>
          <w:sz w:val="32"/>
        </w:rPr>
        <w:t>纸质版投标资料至本单位</w:t>
      </w:r>
      <w:r>
        <w:rPr>
          <w:rFonts w:hint="eastAsia" w:ascii="仿宋_GB2312" w:hAnsi="仿宋" w:eastAsia="仿宋_GB2312" w:cs="Times New Roman"/>
          <w:sz w:val="32"/>
          <w:lang w:eastAsia="zh-CN"/>
        </w:rPr>
        <w:t>，</w:t>
      </w:r>
      <w:r>
        <w:rPr>
          <w:rFonts w:hint="eastAsia" w:ascii="仿宋_GB2312" w:hAnsi="仿宋" w:eastAsia="仿宋_GB2312" w:cs="Times New Roman"/>
          <w:color w:val="auto"/>
          <w:kern w:val="2"/>
          <w:sz w:val="32"/>
          <w:szCs w:val="22"/>
          <w:highlight w:val="none"/>
          <w:lang w:val="en-US" w:eastAsia="zh-CN" w:bidi="ar-SA"/>
        </w:rPr>
        <w:t>并在封面备注“2025年固定资产管理服务项目+公司全称+日期+联系人+联系方式”。</w:t>
      </w:r>
    </w:p>
    <w:p>
      <w:pPr>
        <w:pStyle w:val="5"/>
        <w:spacing w:after="0" w:line="560" w:lineRule="exact"/>
        <w:ind w:left="0" w:leftChars="0" w:right="0" w:rightChars="0" w:firstLine="640" w:firstLineChars="200"/>
        <w:rPr>
          <w:rFonts w:ascii="仿宋_GB2312" w:hAnsi="仿宋" w:eastAsia="仿宋_GB2312" w:cs="Times New Roman"/>
          <w:sz w:val="32"/>
        </w:rPr>
      </w:pPr>
      <w:r>
        <w:rPr>
          <w:rFonts w:hint="eastAsia" w:ascii="仿宋_GB2312" w:hAnsi="仿宋" w:eastAsia="仿宋_GB2312" w:cs="Times New Roman"/>
          <w:sz w:val="32"/>
        </w:rPr>
        <w:t>地址：</w:t>
      </w:r>
      <w:bookmarkStart w:id="0" w:name="OLE_LINK5"/>
      <w:r>
        <w:rPr>
          <w:rFonts w:hint="eastAsia" w:ascii="仿宋_GB2312" w:hAnsi="仿宋" w:eastAsia="仿宋_GB2312" w:cs="Times New Roman"/>
          <w:sz w:val="32"/>
        </w:rPr>
        <w:t>深圳市龙华区</w:t>
      </w:r>
      <w:r>
        <w:rPr>
          <w:rFonts w:hint="eastAsia" w:ascii="仿宋_GB2312" w:hAnsi="仿宋" w:eastAsia="仿宋_GB2312" w:cs="Times New Roman"/>
          <w:sz w:val="32"/>
          <w:lang w:val="en-US" w:eastAsia="zh-CN"/>
        </w:rPr>
        <w:t>龙华街道</w:t>
      </w:r>
      <w:r>
        <w:rPr>
          <w:rFonts w:hint="eastAsia" w:ascii="仿宋_GB2312" w:hAnsi="仿宋" w:eastAsia="仿宋_GB2312" w:cs="Times New Roman"/>
          <w:sz w:val="32"/>
        </w:rPr>
        <w:t>富康行政</w:t>
      </w:r>
      <w:r>
        <w:rPr>
          <w:rFonts w:hint="eastAsia" w:ascii="仿宋_GB2312" w:hAnsi="仿宋" w:eastAsia="仿宋_GB2312" w:cs="Times New Roman"/>
          <w:sz w:val="32"/>
          <w:lang w:val="en-US" w:eastAsia="zh-CN"/>
        </w:rPr>
        <w:t>服务</w:t>
      </w:r>
      <w:r>
        <w:rPr>
          <w:rFonts w:hint="eastAsia" w:ascii="仿宋_GB2312" w:hAnsi="仿宋" w:eastAsia="仿宋_GB2312" w:cs="Times New Roman"/>
          <w:sz w:val="32"/>
        </w:rPr>
        <w:t>办公区</w:t>
      </w:r>
      <w:bookmarkEnd w:id="0"/>
    </w:p>
    <w:p>
      <w:pPr>
        <w:pStyle w:val="28"/>
        <w:spacing w:line="560" w:lineRule="exact"/>
        <w:rPr>
          <w:rFonts w:ascii="仿宋_GB2312" w:hAnsi="仿宋" w:eastAsia="仿宋_GB2312" w:cs="Times New Roman"/>
          <w:sz w:val="32"/>
        </w:rPr>
      </w:pPr>
      <w:r>
        <w:rPr>
          <w:rFonts w:hint="eastAsia" w:ascii="仿宋_GB2312" w:hAnsi="仿宋" w:eastAsia="仿宋_GB2312" w:cs="Times New Roman"/>
          <w:sz w:val="32"/>
        </w:rPr>
        <w:t>收件人：吴先生</w:t>
      </w:r>
    </w:p>
    <w:p>
      <w:pPr>
        <w:pStyle w:val="5"/>
        <w:spacing w:line="560" w:lineRule="exact"/>
        <w:ind w:left="0" w:leftChars="0" w:right="1470" w:firstLine="640"/>
        <w:rPr>
          <w:rFonts w:hint="eastAsia" w:ascii="仿宋_GB2312" w:hAnsi="仿宋" w:eastAsia="仿宋_GB2312" w:cs="Times New Roman"/>
          <w:sz w:val="32"/>
          <w:szCs w:val="22"/>
        </w:rPr>
      </w:pPr>
      <w:r>
        <w:rPr>
          <w:rFonts w:hint="eastAsia" w:ascii="仿宋_GB2312" w:hAnsi="仿宋" w:eastAsia="仿宋_GB2312" w:cs="Times New Roman"/>
          <w:sz w:val="32"/>
        </w:rPr>
        <w:t>联系方式</w:t>
      </w:r>
      <w:r>
        <w:rPr>
          <w:rFonts w:hint="eastAsia" w:ascii="仿宋_GB2312" w:hAnsi="仿宋" w:eastAsia="仿宋_GB2312" w:cs="Times New Roman"/>
          <w:sz w:val="32"/>
          <w:lang w:eastAsia="zh-CN"/>
        </w:rPr>
        <w:t>：</w:t>
      </w:r>
      <w:r>
        <w:rPr>
          <w:rFonts w:hint="eastAsia" w:ascii="仿宋_GB2312" w:hAnsi="仿宋" w:eastAsia="仿宋_GB2312" w:cs="Times New Roman"/>
          <w:sz w:val="32"/>
          <w:szCs w:val="22"/>
        </w:rPr>
        <w:t>0755-23338140</w:t>
      </w:r>
    </w:p>
    <w:p>
      <w:pPr>
        <w:pStyle w:val="5"/>
        <w:spacing w:line="560" w:lineRule="exact"/>
        <w:ind w:left="0" w:leftChars="0" w:right="1470" w:firstLine="640"/>
        <w:rPr>
          <w:rFonts w:hint="eastAsia" w:ascii="仿宋_GB2312" w:hAnsi="仿宋" w:eastAsia="仿宋_GB2312" w:cs="Times New Roman"/>
          <w:sz w:val="32"/>
          <w:szCs w:val="22"/>
        </w:rPr>
      </w:pPr>
    </w:p>
    <w:p>
      <w:pPr>
        <w:pStyle w:val="5"/>
        <w:spacing w:line="560" w:lineRule="exact"/>
        <w:ind w:left="0" w:leftChars="0" w:right="1470" w:firstLine="640"/>
        <w:rPr>
          <w:rFonts w:hint="eastAsia" w:ascii="仿宋_GB2312" w:hAnsi="仿宋" w:eastAsia="仿宋_GB2312" w:cs="Times New Roman"/>
          <w:sz w:val="32"/>
          <w:szCs w:val="22"/>
        </w:rPr>
      </w:pPr>
    </w:p>
    <w:p>
      <w:pPr>
        <w:pStyle w:val="5"/>
        <w:spacing w:line="560" w:lineRule="exact"/>
        <w:ind w:left="0" w:leftChars="0" w:right="1470" w:firstLine="640"/>
        <w:rPr>
          <w:rFonts w:hint="eastAsia" w:ascii="仿宋_GB2312" w:hAnsi="仿宋" w:eastAsia="仿宋_GB2312" w:cs="Times New Roman"/>
          <w:sz w:val="32"/>
          <w:szCs w:val="22"/>
        </w:rPr>
      </w:pPr>
    </w:p>
    <w:p>
      <w:pPr>
        <w:pStyle w:val="5"/>
        <w:spacing w:line="560" w:lineRule="exact"/>
        <w:ind w:left="0" w:leftChars="0" w:right="1470" w:firstLine="640"/>
        <w:rPr>
          <w:rFonts w:hint="eastAsia" w:ascii="仿宋_GB2312" w:hAnsi="仿宋" w:eastAsia="仿宋_GB2312" w:cs="Times New Roman"/>
          <w:sz w:val="32"/>
          <w:szCs w:val="22"/>
        </w:rPr>
      </w:pPr>
    </w:p>
    <w:p>
      <w:pPr>
        <w:pStyle w:val="5"/>
        <w:spacing w:line="560" w:lineRule="exact"/>
        <w:ind w:left="0" w:leftChars="0" w:right="1470" w:firstLine="640"/>
        <w:rPr>
          <w:rFonts w:hint="eastAsia" w:ascii="仿宋_GB2312" w:hAnsi="仿宋" w:eastAsia="仿宋_GB2312" w:cs="Times New Roman"/>
          <w:sz w:val="32"/>
          <w:szCs w:val="22"/>
        </w:rPr>
      </w:pPr>
    </w:p>
    <w:p>
      <w:pPr>
        <w:pStyle w:val="5"/>
        <w:spacing w:line="560" w:lineRule="exact"/>
        <w:ind w:left="0" w:leftChars="0" w:right="1470" w:firstLine="640"/>
        <w:rPr>
          <w:rFonts w:hint="eastAsia" w:ascii="仿宋_GB2312" w:hAnsi="仿宋" w:eastAsia="仿宋_GB2312" w:cs="Times New Roman"/>
          <w:sz w:val="32"/>
          <w:szCs w:val="22"/>
        </w:rPr>
      </w:pPr>
    </w:p>
    <w:p>
      <w:pPr>
        <w:pStyle w:val="5"/>
        <w:spacing w:line="560" w:lineRule="exact"/>
        <w:ind w:left="0" w:leftChars="0" w:right="1470" w:firstLine="640"/>
        <w:rPr>
          <w:rFonts w:hint="eastAsia" w:ascii="仿宋_GB2312" w:hAnsi="仿宋" w:eastAsia="仿宋_GB2312" w:cs="Times New Roman"/>
          <w:sz w:val="32"/>
          <w:szCs w:val="22"/>
        </w:rPr>
      </w:pPr>
    </w:p>
    <w:p>
      <w:pPr>
        <w:pStyle w:val="5"/>
        <w:spacing w:line="560" w:lineRule="exact"/>
        <w:ind w:left="0" w:leftChars="0" w:right="1470" w:firstLine="640"/>
        <w:rPr>
          <w:rFonts w:hint="eastAsia" w:ascii="仿宋_GB2312" w:hAnsi="仿宋" w:eastAsia="仿宋_GB2312" w:cs="Times New Roman"/>
          <w:sz w:val="32"/>
          <w:szCs w:val="22"/>
        </w:rPr>
      </w:pPr>
    </w:p>
    <w:p>
      <w:pPr>
        <w:pStyle w:val="5"/>
        <w:spacing w:line="560" w:lineRule="exact"/>
        <w:ind w:left="0" w:leftChars="0" w:right="1470" w:firstLine="640"/>
        <w:rPr>
          <w:rFonts w:hint="eastAsia" w:ascii="仿宋_GB2312" w:hAnsi="仿宋" w:eastAsia="仿宋_GB2312" w:cs="Times New Roman"/>
          <w:sz w:val="32"/>
          <w:szCs w:val="22"/>
        </w:rPr>
      </w:pPr>
    </w:p>
    <w:p>
      <w:pPr>
        <w:pStyle w:val="2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pStyle w:val="2"/>
        <w:numPr>
          <w:ilvl w:val="0"/>
          <w:numId w:val="0"/>
        </w:numPr>
        <w:jc w:val="center"/>
        <w:outlineLvl w:val="3"/>
        <w:rPr>
          <w:rFonts w:hint="eastAsia" w:ascii="黑体" w:eastAsia="黑体"/>
          <w:b w:val="0"/>
          <w:color w:val="auto"/>
          <w:kern w:val="0"/>
          <w:sz w:val="24"/>
          <w:highlight w:val="none"/>
          <w:lang w:eastAsia="zh-CN"/>
        </w:rPr>
      </w:pPr>
      <w:r>
        <w:rPr>
          <w:rFonts w:hint="eastAsia" w:ascii="黑体"/>
          <w:b w:val="0"/>
          <w:color w:val="auto"/>
          <w:kern w:val="0"/>
          <w:sz w:val="24"/>
          <w:highlight w:val="none"/>
          <w:lang w:eastAsia="zh-CN"/>
        </w:rPr>
        <w:t>诚信承诺书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深圳市龙华区文化广电旅游体育局</w:t>
      </w:r>
    </w:p>
    <w:p>
      <w:pPr>
        <w:keepNext w:val="0"/>
        <w:keepLines w:val="0"/>
        <w:pageBreakBefore w:val="0"/>
        <w:widowControl w:val="0"/>
        <w:kinsoku/>
        <w:wordWrap/>
        <w:overflowPunct/>
        <w:topLinePunct w:val="0"/>
        <w:autoSpaceDE/>
        <w:autoSpaceDN/>
        <w:bidi w:val="0"/>
        <w:adjustRightInd/>
        <w:snapToGrid/>
        <w:spacing w:line="400" w:lineRule="exact"/>
        <w:ind w:right="-815"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我单位承诺：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1.我单位参与本项目所投标（响应）的货物、工程或服务，不存在侵犯知识产权的情况。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2.我单位参与本项目</w:t>
      </w:r>
      <w:r>
        <w:rPr>
          <w:rFonts w:hint="eastAsia"/>
          <w:color w:val="auto"/>
          <w:sz w:val="21"/>
          <w:szCs w:val="21"/>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4.我单位</w:t>
      </w:r>
      <w:r>
        <w:rPr>
          <w:rFonts w:hint="eastAsia"/>
          <w:color w:val="auto"/>
          <w:sz w:val="21"/>
          <w:szCs w:val="21"/>
          <w:highlight w:val="none"/>
        </w:rPr>
        <w:t>未被列入失信被执行人、</w:t>
      </w:r>
      <w:r>
        <w:rPr>
          <w:rFonts w:hint="eastAsia"/>
          <w:color w:val="auto"/>
          <w:sz w:val="21"/>
          <w:szCs w:val="21"/>
          <w:highlight w:val="none"/>
          <w:lang w:eastAsia="zh-CN"/>
        </w:rPr>
        <w:t>重大税收违法案件当事人名单</w:t>
      </w:r>
      <w:r>
        <w:rPr>
          <w:rFonts w:hint="eastAsia"/>
          <w:color w:val="auto"/>
          <w:sz w:val="21"/>
          <w:szCs w:val="21"/>
          <w:highlight w:val="none"/>
        </w:rPr>
        <w:t>、政府采购严重违法失信行为记录名单。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 w:val="21"/>
          <w:szCs w:val="21"/>
          <w:highlight w:val="none"/>
        </w:rPr>
      </w:pPr>
      <w:r>
        <w:rPr>
          <w:rFonts w:hint="eastAsia" w:ascii="宋体" w:hAnsi="宋体"/>
          <w:bCs/>
          <w:color w:val="auto"/>
          <w:sz w:val="21"/>
          <w:szCs w:val="21"/>
          <w:highlight w:val="none"/>
          <w:lang w:val="en-US" w:eastAsia="zh-CN"/>
        </w:rPr>
        <w:t>7</w:t>
      </w:r>
      <w:r>
        <w:rPr>
          <w:rFonts w:hint="eastAsia" w:ascii="宋体" w:hAnsi="宋体"/>
          <w:bCs/>
          <w:color w:val="auto"/>
          <w:sz w:val="21"/>
          <w:szCs w:val="21"/>
          <w:highlight w:val="none"/>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b/>
          <w:color w:val="auto"/>
          <w:sz w:val="21"/>
          <w:szCs w:val="21"/>
          <w:highlight w:val="none"/>
          <w:lang w:val="en-US" w:eastAsia="zh-CN"/>
        </w:rPr>
        <w:t>8</w:t>
      </w:r>
      <w:r>
        <w:rPr>
          <w:rFonts w:hint="eastAsia" w:ascii="宋体" w:hAnsi="宋体"/>
          <w:b/>
          <w:color w:val="auto"/>
          <w:sz w:val="21"/>
          <w:szCs w:val="21"/>
          <w:highlight w:val="none"/>
        </w:rPr>
        <w:t>.我单位清楚，如存在违反投标承诺行为情节严重的，将根据《深圳市财政局关于印发&lt;深圳市财政局政府采购供应商信用信息管理办法&gt;的通知》，依法被列入失信信息。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hint="eastAsia"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ascii="宋体" w:hAnsi="宋体"/>
          <w:color w:val="auto"/>
          <w:sz w:val="21"/>
          <w:szCs w:val="21"/>
          <w:highlight w:val="none"/>
        </w:rPr>
      </w:pP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color w:val="auto"/>
          <w:sz w:val="21"/>
          <w:szCs w:val="21"/>
          <w:highlight w:val="none"/>
        </w:rPr>
      </w:pPr>
      <w:r>
        <w:rPr>
          <w:rFonts w:hint="eastAsia"/>
          <w:color w:val="auto"/>
          <w:sz w:val="21"/>
          <w:szCs w:val="21"/>
          <w:highlight w:val="none"/>
        </w:rPr>
        <w:t>投标人：</w:t>
      </w:r>
      <w:r>
        <w:rPr>
          <w:rFonts w:hint="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ascii="宋体" w:hAnsi="宋体"/>
          <w:color w:val="auto"/>
          <w:sz w:val="21"/>
          <w:szCs w:val="21"/>
          <w:highlight w:val="none"/>
        </w:rPr>
      </w:pPr>
      <w:r>
        <w:rPr>
          <w:rFonts w:hint="eastAsia" w:ascii="宋体" w:hAnsi="宋体"/>
          <w:color w:val="auto"/>
          <w:sz w:val="21"/>
          <w:szCs w:val="21"/>
          <w:highlight w:val="none"/>
        </w:rPr>
        <w:t xml:space="preserve">                                              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rPr>
          <w:rFonts w:hint="default"/>
          <w:lang w:val="en-US" w:eastAsia="zh-CN"/>
        </w:rPr>
      </w:pPr>
    </w:p>
    <w:p>
      <w:pPr>
        <w:pStyle w:val="4"/>
        <w:rPr>
          <w:rFonts w:hint="default"/>
          <w:lang w:val="en-US" w:eastAsia="zh-CN"/>
        </w:rPr>
      </w:pPr>
    </w:p>
    <w:p>
      <w:pPr>
        <w:rPr>
          <w:rFonts w:hint="default"/>
          <w:lang w:val="en-US" w:eastAsia="zh-CN"/>
        </w:rPr>
      </w:pPr>
    </w:p>
    <w:p>
      <w:pPr>
        <w:pStyle w:val="28"/>
        <w:spacing w:line="560" w:lineRule="exact"/>
        <w:ind w:firstLine="0" w:firstLineChars="0"/>
        <w:rPr>
          <w:rFonts w:hint="eastAsia" w:ascii="黑体" w:hAnsi="黑体" w:eastAsia="黑体" w:cs="黑体"/>
          <w:color w:val="000000"/>
          <w:sz w:val="32"/>
          <w:szCs w:val="32"/>
          <w:lang w:val="en-US" w:eastAsia="zh-CN"/>
        </w:rPr>
      </w:pPr>
      <w:r>
        <w:rPr>
          <w:rFonts w:hint="eastAsia" w:ascii="仿宋_GB2312" w:hAnsi="等线" w:eastAsia="仿宋_GB2312" w:cs="Times New Roman"/>
          <w:color w:val="auto"/>
          <w:kern w:val="2"/>
          <w:sz w:val="32"/>
          <w:szCs w:val="32"/>
          <w:highlight w:val="none"/>
          <w:lang w:val="en-US" w:eastAsia="zh-CN" w:bidi="ar-SA"/>
        </w:rPr>
        <w:br w:type="page"/>
      </w: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pStyle w:val="9"/>
        <w:snapToGrid w:val="0"/>
        <w:spacing w:before="0" w:after="0"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1"/>
        <w:tblW w:w="10545" w:type="dxa"/>
        <w:tblInd w:w="-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062"/>
        <w:gridCol w:w="1283"/>
        <w:gridCol w:w="1270"/>
        <w:gridCol w:w="791"/>
        <w:gridCol w:w="1200"/>
        <w:gridCol w:w="15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56" w:type="dxa"/>
            <w:gridSpan w:val="2"/>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0"/>
            <w:vAlign w:val="center"/>
          </w:tcPr>
          <w:p>
            <w:pPr>
              <w:jc w:val="center"/>
              <w:rPr>
                <w:rFonts w:ascii="方正仿宋_GBK" w:hAnsi="方正仿宋_GBK" w:eastAsia="方正仿宋_GBK" w:cs="方正仿宋_GBK"/>
                <w:sz w:val="24"/>
              </w:rPr>
            </w:pPr>
          </w:p>
        </w:tc>
        <w:tc>
          <w:tcPr>
            <w:tcW w:w="1991" w:type="dxa"/>
            <w:gridSpan w:val="2"/>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6"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tcBorders>
              <w:bottom w:val="single" w:color="auto" w:sz="4" w:space="0"/>
            </w:tcBorders>
            <w:noWrap w:val="0"/>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1270" w:type="dxa"/>
            <w:tcBorders>
              <w:bottom w:val="single" w:color="auto" w:sz="4" w:space="0"/>
            </w:tcBorders>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2"/>
            <w:tcBorders>
              <w:bottom w:val="single" w:color="auto" w:sz="4" w:space="0"/>
            </w:tcBorders>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0"/>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2145" w:type="dxa"/>
            <w:tcBorders>
              <w:bottom w:val="single" w:color="auto" w:sz="4" w:space="0"/>
            </w:tcBorders>
            <w:noWrap w:val="0"/>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345"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27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3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345"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0545" w:type="dxa"/>
            <w:gridSpan w:val="8"/>
            <w:noWrap w:val="0"/>
            <w:vAlign w:val="center"/>
          </w:tcPr>
          <w:p>
            <w:pPr>
              <w:jc w:val="lef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2061"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关联主体名称</w:t>
            </w:r>
          </w:p>
        </w:tc>
        <w:tc>
          <w:tcPr>
            <w:tcW w:w="4845" w:type="dxa"/>
            <w:gridSpan w:val="3"/>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545"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pPr>
        <w:pStyle w:val="5"/>
        <w:spacing w:line="560" w:lineRule="exact"/>
        <w:ind w:left="0" w:leftChars="0" w:right="1470" w:firstLine="0"/>
        <w:rPr>
          <w:rFonts w:hint="eastAsia" w:ascii="仿宋_GB2312" w:hAnsi="仿宋" w:eastAsia="仿宋_GB2312" w:cs="Times New Roman"/>
          <w:sz w:val="32"/>
          <w:szCs w:val="22"/>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00"/>
    <w:family w:val="auto"/>
    <w:pitch w:val="default"/>
    <w:sig w:usb0="00000000" w:usb1="00000000" w:usb2="00000016" w:usb3="00000000" w:csb0="0004000F" w:csb1="00000000"/>
  </w:font>
  <w:font w:name="MingLiU">
    <w:altName w:val="方正书宋_GBK"/>
    <w:panose1 w:val="02020509000000000000"/>
    <w:charset w:val="00"/>
    <w:family w:val="auto"/>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5D"/>
    <w:rsid w:val="003B0B55"/>
    <w:rsid w:val="004C2C40"/>
    <w:rsid w:val="0074615D"/>
    <w:rsid w:val="008C14FF"/>
    <w:rsid w:val="00A92247"/>
    <w:rsid w:val="00B55928"/>
    <w:rsid w:val="00F44A48"/>
    <w:rsid w:val="02A14404"/>
    <w:rsid w:val="02ED4ABC"/>
    <w:rsid w:val="037261DA"/>
    <w:rsid w:val="03BA7C4F"/>
    <w:rsid w:val="04F94B0A"/>
    <w:rsid w:val="04FF4024"/>
    <w:rsid w:val="05701B1B"/>
    <w:rsid w:val="06272FC8"/>
    <w:rsid w:val="07E6528B"/>
    <w:rsid w:val="082A6214"/>
    <w:rsid w:val="0B1A5ABE"/>
    <w:rsid w:val="0D4A4E59"/>
    <w:rsid w:val="0E336732"/>
    <w:rsid w:val="10152737"/>
    <w:rsid w:val="13662464"/>
    <w:rsid w:val="15DE511D"/>
    <w:rsid w:val="17115D70"/>
    <w:rsid w:val="17FFD829"/>
    <w:rsid w:val="180C63B2"/>
    <w:rsid w:val="18462EE2"/>
    <w:rsid w:val="1D23268B"/>
    <w:rsid w:val="1DEA08D0"/>
    <w:rsid w:val="1F1747B7"/>
    <w:rsid w:val="1F3E85E6"/>
    <w:rsid w:val="1FA45CB2"/>
    <w:rsid w:val="1FDBBD72"/>
    <w:rsid w:val="1FFB4B83"/>
    <w:rsid w:val="1FFD2B14"/>
    <w:rsid w:val="235D47F0"/>
    <w:rsid w:val="236849F0"/>
    <w:rsid w:val="238B4897"/>
    <w:rsid w:val="242B9113"/>
    <w:rsid w:val="264E265F"/>
    <w:rsid w:val="2704160A"/>
    <w:rsid w:val="27B9DFA2"/>
    <w:rsid w:val="2AAD1FBB"/>
    <w:rsid w:val="2B3A4917"/>
    <w:rsid w:val="2BC813F8"/>
    <w:rsid w:val="2BCA72ED"/>
    <w:rsid w:val="2FBDC59C"/>
    <w:rsid w:val="317FE7E3"/>
    <w:rsid w:val="321111A9"/>
    <w:rsid w:val="337FBBD0"/>
    <w:rsid w:val="34185F52"/>
    <w:rsid w:val="348113C1"/>
    <w:rsid w:val="35A47850"/>
    <w:rsid w:val="361735D6"/>
    <w:rsid w:val="389D7E6F"/>
    <w:rsid w:val="395170EE"/>
    <w:rsid w:val="395C4529"/>
    <w:rsid w:val="3C4115E4"/>
    <w:rsid w:val="3C6B36A0"/>
    <w:rsid w:val="3CC41D19"/>
    <w:rsid w:val="3DBD16A1"/>
    <w:rsid w:val="3F1F1C2A"/>
    <w:rsid w:val="3FFB9207"/>
    <w:rsid w:val="3FFBB014"/>
    <w:rsid w:val="3FFF9BDC"/>
    <w:rsid w:val="406412D2"/>
    <w:rsid w:val="408D7917"/>
    <w:rsid w:val="42126DD2"/>
    <w:rsid w:val="46190247"/>
    <w:rsid w:val="46E56473"/>
    <w:rsid w:val="47271AF0"/>
    <w:rsid w:val="47AC489C"/>
    <w:rsid w:val="4902618C"/>
    <w:rsid w:val="4A274EC8"/>
    <w:rsid w:val="4C484939"/>
    <w:rsid w:val="4C5A74AA"/>
    <w:rsid w:val="4C8C268C"/>
    <w:rsid w:val="4CF107F4"/>
    <w:rsid w:val="4D5C222A"/>
    <w:rsid w:val="5118124A"/>
    <w:rsid w:val="52BD6E86"/>
    <w:rsid w:val="548036DC"/>
    <w:rsid w:val="557B8E9C"/>
    <w:rsid w:val="55AB2248"/>
    <w:rsid w:val="56EF508D"/>
    <w:rsid w:val="57097A1B"/>
    <w:rsid w:val="579D022E"/>
    <w:rsid w:val="58AA5BB8"/>
    <w:rsid w:val="5AB61E7E"/>
    <w:rsid w:val="5ED74F9A"/>
    <w:rsid w:val="617C5F6F"/>
    <w:rsid w:val="626369F4"/>
    <w:rsid w:val="638D15C2"/>
    <w:rsid w:val="65AE3591"/>
    <w:rsid w:val="65C632AB"/>
    <w:rsid w:val="6784413C"/>
    <w:rsid w:val="6AEB0FDA"/>
    <w:rsid w:val="6BDF2477"/>
    <w:rsid w:val="6CEE0D82"/>
    <w:rsid w:val="6CFEA0E7"/>
    <w:rsid w:val="6DE24AAE"/>
    <w:rsid w:val="6EA474E2"/>
    <w:rsid w:val="6EFF4B46"/>
    <w:rsid w:val="6FEB733A"/>
    <w:rsid w:val="724D226A"/>
    <w:rsid w:val="725463B1"/>
    <w:rsid w:val="73783C1A"/>
    <w:rsid w:val="775ADA64"/>
    <w:rsid w:val="77F9F0B2"/>
    <w:rsid w:val="77FB1EB6"/>
    <w:rsid w:val="7AB13CAF"/>
    <w:rsid w:val="7B7E9FEF"/>
    <w:rsid w:val="7BB35B7F"/>
    <w:rsid w:val="7D932127"/>
    <w:rsid w:val="7D9C4C8E"/>
    <w:rsid w:val="7DBBBA72"/>
    <w:rsid w:val="7DCB037F"/>
    <w:rsid w:val="7EDBF0CF"/>
    <w:rsid w:val="7F3AE1DF"/>
    <w:rsid w:val="7F7BB7A2"/>
    <w:rsid w:val="7FBF60BA"/>
    <w:rsid w:val="A97F8FCA"/>
    <w:rsid w:val="AAE75437"/>
    <w:rsid w:val="ACF73536"/>
    <w:rsid w:val="AFE7D93F"/>
    <w:rsid w:val="BBF842DC"/>
    <w:rsid w:val="BDDC949C"/>
    <w:rsid w:val="BEDB50E5"/>
    <w:rsid w:val="D27F268C"/>
    <w:rsid w:val="ECF5061C"/>
    <w:rsid w:val="EDFB940B"/>
    <w:rsid w:val="EFD0B40A"/>
    <w:rsid w:val="EFF32287"/>
    <w:rsid w:val="EFF7F102"/>
    <w:rsid w:val="EFFB2F70"/>
    <w:rsid w:val="F9692C71"/>
    <w:rsid w:val="F9F8575D"/>
    <w:rsid w:val="FDFC605B"/>
    <w:rsid w:val="FDFFB51E"/>
    <w:rsid w:val="FEC48CA1"/>
    <w:rsid w:val="FEF7E752"/>
    <w:rsid w:val="FFA6F40E"/>
    <w:rsid w:val="FFBF0E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60" w:lineRule="exact"/>
      <w:ind w:firstLine="420" w:firstLineChars="200"/>
    </w:pPr>
  </w:style>
  <w:style w:type="paragraph" w:styleId="4">
    <w:name w:val="Body Text"/>
    <w:basedOn w:val="1"/>
    <w:next w:val="1"/>
    <w:qFormat/>
    <w:uiPriority w:val="0"/>
    <w:pPr>
      <w:spacing w:after="120"/>
    </w:pPr>
  </w:style>
  <w:style w:type="paragraph" w:styleId="5">
    <w:name w:val="Block Text"/>
    <w:basedOn w:val="1"/>
    <w:qFormat/>
    <w:uiPriority w:val="0"/>
    <w:pPr>
      <w:tabs>
        <w:tab w:val="left" w:pos="426"/>
      </w:tabs>
      <w:spacing w:after="120"/>
      <w:ind w:left="1440" w:leftChars="700" w:right="1440" w:rightChars="7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000000"/>
      <w:u w:val="none"/>
    </w:rPr>
  </w:style>
  <w:style w:type="character" w:styleId="14">
    <w:name w:val="Emphasis"/>
    <w:basedOn w:val="12"/>
    <w:qFormat/>
    <w:uiPriority w:val="0"/>
    <w:rPr>
      <w:sz w:val="22"/>
      <w:szCs w:val="22"/>
    </w:rPr>
  </w:style>
  <w:style w:type="character" w:styleId="15">
    <w:name w:val="Hyperlink"/>
    <w:basedOn w:val="12"/>
    <w:qFormat/>
    <w:uiPriority w:val="0"/>
    <w:rPr>
      <w:color w:val="000000"/>
      <w:u w:val="none"/>
    </w:rPr>
  </w:style>
  <w:style w:type="character" w:customStyle="1" w:styleId="16">
    <w:name w:val="treeicon"/>
    <w:basedOn w:val="12"/>
    <w:qFormat/>
    <w:uiPriority w:val="0"/>
  </w:style>
  <w:style w:type="character" w:customStyle="1" w:styleId="17">
    <w:name w:val="hover48"/>
    <w:basedOn w:val="12"/>
    <w:qFormat/>
    <w:uiPriority w:val="0"/>
    <w:rPr>
      <w:color w:val="FFFFFF"/>
      <w:shd w:val="clear" w:color="auto" w:fill="1091DB"/>
    </w:rPr>
  </w:style>
  <w:style w:type="character" w:customStyle="1" w:styleId="18">
    <w:name w:val="hover49"/>
    <w:basedOn w:val="12"/>
    <w:qFormat/>
    <w:uiPriority w:val="0"/>
    <w:rPr>
      <w:color w:val="FFFFFF"/>
      <w:shd w:val="clear" w:color="auto" w:fill="1091DB"/>
    </w:rPr>
  </w:style>
  <w:style w:type="character" w:customStyle="1" w:styleId="19">
    <w:name w:val="hover50"/>
    <w:basedOn w:val="12"/>
    <w:qFormat/>
    <w:uiPriority w:val="0"/>
    <w:rPr>
      <w:sz w:val="21"/>
      <w:szCs w:val="21"/>
    </w:rPr>
  </w:style>
  <w:style w:type="paragraph" w:customStyle="1" w:styleId="20">
    <w:name w:val="USE 1"/>
    <w:basedOn w:val="1"/>
    <w:qFormat/>
    <w:uiPriority w:val="0"/>
    <w:pPr>
      <w:spacing w:line="200" w:lineRule="atLeast"/>
      <w:jc w:val="left"/>
    </w:pPr>
    <w:rPr>
      <w:rFonts w:ascii="宋体" w:hAnsi="宋体"/>
      <w:b/>
      <w:sz w:val="24"/>
      <w:szCs w:val="28"/>
    </w:rPr>
  </w:style>
  <w:style w:type="character" w:customStyle="1" w:styleId="21">
    <w:name w:val="font01"/>
    <w:basedOn w:val="12"/>
    <w:qFormat/>
    <w:uiPriority w:val="0"/>
    <w:rPr>
      <w:rFonts w:hint="eastAsia" w:ascii="MingLiU" w:hAnsi="MingLiU" w:eastAsia="MingLiU" w:cs="MingLiU"/>
      <w:color w:val="000000"/>
      <w:sz w:val="20"/>
      <w:szCs w:val="20"/>
      <w:u w:val="none"/>
    </w:rPr>
  </w:style>
  <w:style w:type="character" w:customStyle="1" w:styleId="22">
    <w:name w:val="font51"/>
    <w:basedOn w:val="12"/>
    <w:qFormat/>
    <w:uiPriority w:val="0"/>
    <w:rPr>
      <w:rFonts w:hint="eastAsia" w:ascii="宋体" w:hAnsi="宋体" w:eastAsia="宋体" w:cs="宋体"/>
      <w:color w:val="000000"/>
      <w:sz w:val="20"/>
      <w:szCs w:val="20"/>
      <w:u w:val="none"/>
    </w:rPr>
  </w:style>
  <w:style w:type="character" w:customStyle="1" w:styleId="23">
    <w:name w:val="font41"/>
    <w:basedOn w:val="12"/>
    <w:qFormat/>
    <w:uiPriority w:val="0"/>
    <w:rPr>
      <w:rFonts w:hint="default" w:ascii="Arial" w:hAnsi="Arial" w:cs="Arial"/>
      <w:color w:val="000000"/>
      <w:sz w:val="20"/>
      <w:szCs w:val="20"/>
      <w:u w:val="none"/>
    </w:rPr>
  </w:style>
  <w:style w:type="character" w:customStyle="1" w:styleId="24">
    <w:name w:val="font11"/>
    <w:basedOn w:val="12"/>
    <w:qFormat/>
    <w:uiPriority w:val="0"/>
    <w:rPr>
      <w:rFonts w:hint="default" w:ascii="Times New Roman" w:hAnsi="Times New Roman" w:cs="Times New Roman"/>
      <w:color w:val="000000"/>
      <w:sz w:val="20"/>
      <w:szCs w:val="20"/>
      <w:u w:val="none"/>
    </w:rPr>
  </w:style>
  <w:style w:type="table" w:customStyle="1" w:styleId="25">
    <w:name w:val="Table Normal"/>
    <w:unhideWhenUsed/>
    <w:qFormat/>
    <w:uiPriority w:val="0"/>
    <w:tblPr>
      <w:tblCellMar>
        <w:top w:w="0" w:type="dxa"/>
        <w:left w:w="0" w:type="dxa"/>
        <w:bottom w:w="0" w:type="dxa"/>
        <w:right w:w="0" w:type="dxa"/>
      </w:tblCellMar>
    </w:tblPr>
  </w:style>
  <w:style w:type="paragraph" w:styleId="26">
    <w:name w:val="List Paragraph"/>
    <w:basedOn w:val="27"/>
    <w:qFormat/>
    <w:uiPriority w:val="34"/>
    <w:pPr>
      <w:ind w:firstLine="420" w:firstLineChars="200"/>
    </w:pPr>
  </w:style>
  <w:style w:type="paragraph" w:customStyle="1" w:styleId="27">
    <w:name w:val="星耀正文"/>
    <w:basedOn w:val="1"/>
    <w:qFormat/>
    <w:uiPriority w:val="3"/>
    <w:pPr>
      <w:ind w:firstLine="422" w:firstLineChars="200"/>
    </w:pPr>
    <w:rPr>
      <w:rFonts w:ascii="宋体" w:hAnsi="宋体" w:eastAsia="仿宋_GB2312"/>
      <w:bCs/>
    </w:rPr>
  </w:style>
  <w:style w:type="paragraph" w:customStyle="1" w:styleId="28">
    <w:name w:val="l正文"/>
    <w:basedOn w:val="1"/>
    <w:qFormat/>
    <w:uiPriority w:val="0"/>
    <w:pPr>
      <w:spacing w:line="300" w:lineRule="auto"/>
      <w:ind w:firstLine="200" w:firstLineChars="200"/>
      <w:jc w:val="left"/>
    </w:pPr>
    <w:rPr>
      <w:rFonts w:ascii="楷体_GB2312" w:hAnsi="Times" w:eastAsia="楷体_GB2312" w:cs="等线"/>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247</Words>
  <Characters>1414</Characters>
  <Lines>11</Lines>
  <Paragraphs>3</Paragraphs>
  <TotalTime>3</TotalTime>
  <ScaleCrop>false</ScaleCrop>
  <LinksUpToDate>false</LinksUpToDate>
  <CharactersWithSpaces>1658</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2021-06-23T16:59:00Z</dcterms:created>
  <dc:creator>006</dc:creator>
  <cp:lastModifiedBy>lxy</cp:lastModifiedBy>
  <dcterms:modified xsi:type="dcterms:W3CDTF">2025-09-28T16:58:26Z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9FEB2B88866F6CC97933C168861A2A52</vt:lpwstr>
  </property>
</Properties>
</file>