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highlight w:val="none"/>
          <w:lang w:val="en-US" w:eastAsia="zh-CN"/>
        </w:rPr>
        <w:t>2025年龙华政府团</w:t>
      </w:r>
      <w:r>
        <w:rPr>
          <w:rFonts w:hint="eastAsia" w:ascii="方正小标宋简体" w:hAnsi="方正小标宋简体" w:eastAsia="方正小标宋简体" w:cs="方正小标宋简体"/>
          <w:sz w:val="44"/>
          <w:szCs w:val="44"/>
        </w:rPr>
        <w:t>赴</w:t>
      </w:r>
      <w:r>
        <w:rPr>
          <w:rFonts w:hint="eastAsia" w:ascii="方正小标宋简体" w:hAnsi="方正小标宋简体" w:eastAsia="方正小标宋简体" w:cs="方正小标宋简体"/>
          <w:sz w:val="44"/>
          <w:szCs w:val="44"/>
          <w:lang w:eastAsia="zh-CN"/>
        </w:rPr>
        <w:t>墨西哥</w:t>
      </w:r>
      <w:r>
        <w:rPr>
          <w:rFonts w:hint="eastAsia" w:ascii="方正小标宋简体" w:hAnsi="方正小标宋简体" w:eastAsia="方正小标宋简体" w:cs="方正小标宋简体"/>
          <w:sz w:val="44"/>
          <w:szCs w:val="44"/>
        </w:rPr>
        <w:t>和</w:t>
      </w:r>
      <w:r>
        <w:rPr>
          <w:rFonts w:hint="eastAsia" w:ascii="方正小标宋简体" w:hAnsi="方正小标宋简体" w:eastAsia="方正小标宋简体" w:cs="方正小标宋简体"/>
          <w:sz w:val="44"/>
          <w:szCs w:val="44"/>
          <w:lang w:eastAsia="zh-CN"/>
        </w:rPr>
        <w:t>巴西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开展经贸、科技交流活动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项目需求书</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right="-92" w:rightChars="-44"/>
        <w:jc w:val="left"/>
        <w:textAlignment w:val="auto"/>
        <w:outlineLvl w:val="9"/>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numPr>
          <w:ilvl w:val="0"/>
          <w:numId w:val="1"/>
        </w:numPr>
        <w:tabs>
          <w:tab w:val="left" w:pos="1820"/>
        </w:tabs>
        <w:kinsoku/>
        <w:wordWrap/>
        <w:overflowPunct/>
        <w:topLinePunct w:val="0"/>
        <w:autoSpaceDE/>
        <w:autoSpaceDN/>
        <w:bidi w:val="0"/>
        <w:snapToGrid w:val="0"/>
        <w:spacing w:line="600" w:lineRule="exact"/>
        <w:ind w:firstLine="640" w:firstLineChars="200"/>
        <w:jc w:val="left"/>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项目目标</w:t>
      </w:r>
    </w:p>
    <w:p>
      <w:pPr>
        <w:pStyle w:val="5"/>
        <w:keepNext w:val="0"/>
        <w:keepLines w:val="0"/>
        <w:pageBreakBefore w:val="0"/>
        <w:widowControl/>
        <w:suppressLineNumbers w:val="0"/>
        <w:kinsoku/>
        <w:wordWrap/>
        <w:overflowPunct/>
        <w:topLinePunct w:val="0"/>
        <w:autoSpaceDE/>
        <w:autoSpaceDN/>
        <w:bidi w:val="0"/>
        <w:spacing w:line="600" w:lineRule="exact"/>
        <w:ind w:left="0" w:firstLine="640"/>
        <w:jc w:val="left"/>
        <w:textAlignment w:val="auto"/>
        <w:rPr>
          <w:rFonts w:ascii="方正黑体_GBK" w:hAnsi="方正黑体_GBK" w:eastAsia="方正黑体_GBK" w:cs="方正黑体_GBK"/>
          <w:color w:val="000000"/>
          <w:sz w:val="32"/>
          <w:szCs w:val="32"/>
        </w:rPr>
      </w:pPr>
      <w:r>
        <w:rPr>
          <w:rFonts w:hint="eastAsia" w:ascii="仿宋_GB2312" w:hAnsi="Calibri" w:eastAsia="仿宋_GB2312" w:cs="Times New Roman"/>
          <w:kern w:val="2"/>
          <w:sz w:val="32"/>
          <w:szCs w:val="32"/>
          <w:lang w:val="en-US" w:eastAsia="zh-CN" w:bidi="ar-SA"/>
        </w:rPr>
        <w:t>协助</w:t>
      </w:r>
      <w:r>
        <w:rPr>
          <w:rFonts w:hint="default" w:ascii="仿宋_GB2312" w:hAnsi="Calibri" w:eastAsia="仿宋_GB2312" w:cs="Times New Roman"/>
          <w:kern w:val="2"/>
          <w:sz w:val="32"/>
          <w:szCs w:val="32"/>
          <w:lang w:val="en-US" w:eastAsia="zh-CN" w:bidi="ar-SA"/>
        </w:rPr>
        <w:t>龙华</w:t>
      </w:r>
      <w:r>
        <w:rPr>
          <w:rFonts w:hint="eastAsia" w:ascii="仿宋_GB2312" w:hAnsi="Calibri" w:eastAsia="仿宋_GB2312" w:cs="Times New Roman"/>
          <w:kern w:val="2"/>
          <w:sz w:val="32"/>
          <w:szCs w:val="32"/>
          <w:lang w:val="en-US" w:eastAsia="zh-CN" w:bidi="ar-SA"/>
        </w:rPr>
        <w:t>政府团</w:t>
      </w:r>
      <w:r>
        <w:rPr>
          <w:rFonts w:hint="eastAsia" w:ascii="仿宋_GB2312" w:eastAsia="仿宋_GB2312" w:cs="Times New Roman"/>
          <w:kern w:val="2"/>
          <w:sz w:val="32"/>
          <w:szCs w:val="32"/>
          <w:lang w:val="en-US" w:eastAsia="zh-CN" w:bidi="ar-SA"/>
        </w:rPr>
        <w:t>做好2025年度出访</w:t>
      </w:r>
      <w:r>
        <w:rPr>
          <w:rFonts w:hint="default" w:ascii="仿宋_GB2312" w:eastAsia="仿宋_GB2312" w:cs="Times New Roman"/>
          <w:kern w:val="2"/>
          <w:sz w:val="32"/>
          <w:szCs w:val="32"/>
          <w:lang w:val="en-US" w:eastAsia="zh-CN" w:bidi="ar-SA"/>
        </w:rPr>
        <w:t>墨西哥和</w:t>
      </w:r>
      <w:r>
        <w:rPr>
          <w:rFonts w:hint="eastAsia" w:ascii="仿宋_GB2312" w:eastAsia="仿宋_GB2312" w:cs="Times New Roman"/>
          <w:kern w:val="2"/>
          <w:sz w:val="32"/>
          <w:szCs w:val="32"/>
          <w:lang w:val="en-US" w:eastAsia="zh-CN" w:bidi="ar-SA"/>
        </w:rPr>
        <w:t>巴西两国</w:t>
      </w:r>
      <w:r>
        <w:rPr>
          <w:rFonts w:ascii="仿宋_GB2312" w:hAnsi="宋体" w:eastAsia="仿宋_GB2312" w:cs="仿宋_GB2312"/>
          <w:color w:val="000000"/>
          <w:sz w:val="32"/>
          <w:szCs w:val="32"/>
          <w:lang w:val="en-US" w:eastAsia="zh-CN"/>
        </w:rPr>
        <w:t>开展</w:t>
      </w:r>
      <w:r>
        <w:rPr>
          <w:rFonts w:hint="eastAsia" w:ascii="仿宋_GB2312" w:hAnsi="宋体" w:eastAsia="仿宋_GB2312" w:cs="仿宋_GB2312"/>
          <w:color w:val="000000"/>
          <w:sz w:val="32"/>
          <w:szCs w:val="32"/>
          <w:lang w:val="en-US" w:eastAsia="zh-CN"/>
        </w:rPr>
        <w:t>为期</w:t>
      </w:r>
      <w:r>
        <w:rPr>
          <w:rFonts w:hint="eastAsia" w:ascii="仿宋_GB2312" w:eastAsia="仿宋_GB2312" w:cs="仿宋_GB2312"/>
          <w:color w:val="000000"/>
          <w:sz w:val="32"/>
          <w:szCs w:val="32"/>
          <w:lang w:val="en-US" w:eastAsia="zh-CN"/>
        </w:rPr>
        <w:t>7</w:t>
      </w:r>
      <w:r>
        <w:rPr>
          <w:rFonts w:hint="eastAsia" w:ascii="仿宋_GB2312" w:hAnsi="宋体" w:eastAsia="仿宋_GB2312" w:cs="仿宋_GB2312"/>
          <w:color w:val="000000"/>
          <w:sz w:val="32"/>
          <w:szCs w:val="32"/>
          <w:lang w:val="en-US" w:eastAsia="zh-CN"/>
        </w:rPr>
        <w:t>天的</w:t>
      </w:r>
      <w:r>
        <w:rPr>
          <w:rFonts w:ascii="仿宋_GB2312" w:hAnsi="宋体" w:eastAsia="仿宋_GB2312" w:cs="仿宋_GB2312"/>
          <w:color w:val="000000"/>
          <w:sz w:val="32"/>
          <w:szCs w:val="32"/>
          <w:lang w:val="en-US" w:eastAsia="zh-CN"/>
        </w:rPr>
        <w:t>经贸、科技交流活动</w:t>
      </w:r>
      <w:r>
        <w:rPr>
          <w:rFonts w:hint="eastAsia" w:ascii="仿宋_GB2312" w:hAnsi="宋体" w:eastAsia="仿宋_GB2312" w:cs="仿宋_GB2312"/>
          <w:color w:val="000000"/>
          <w:sz w:val="32"/>
          <w:szCs w:val="32"/>
          <w:lang w:val="en-US" w:eastAsia="zh-CN"/>
        </w:rPr>
        <w:t>，</w:t>
      </w:r>
      <w:r>
        <w:rPr>
          <w:rFonts w:ascii="仿宋_GB2312" w:hAnsi="宋体" w:eastAsia="仿宋_GB2312" w:cs="仿宋_GB2312"/>
          <w:color w:val="000000"/>
          <w:sz w:val="32"/>
          <w:szCs w:val="32"/>
          <w:lang w:val="en-US" w:eastAsia="zh-CN"/>
        </w:rPr>
        <w:t>搭建平台帮助</w:t>
      </w:r>
      <w:r>
        <w:rPr>
          <w:rFonts w:hint="eastAsia" w:ascii="仿宋_GB2312" w:hAnsi="宋体" w:eastAsia="仿宋_GB2312" w:cs="仿宋_GB2312"/>
          <w:color w:val="000000"/>
          <w:sz w:val="32"/>
          <w:szCs w:val="32"/>
          <w:lang w:val="en-US" w:eastAsia="zh-CN"/>
        </w:rPr>
        <w:t>龙华</w:t>
      </w:r>
      <w:r>
        <w:rPr>
          <w:rFonts w:ascii="仿宋_GB2312" w:hAnsi="宋体" w:eastAsia="仿宋_GB2312" w:cs="仿宋_GB2312"/>
          <w:color w:val="000000"/>
          <w:sz w:val="32"/>
          <w:szCs w:val="32"/>
          <w:lang w:val="en-US" w:eastAsia="zh-CN"/>
        </w:rPr>
        <w:t>区企业进一步扩大国外市场，促进</w:t>
      </w:r>
      <w:r>
        <w:rPr>
          <w:rFonts w:hint="eastAsia" w:ascii="仿宋_GB2312" w:hAnsi="宋体" w:eastAsia="仿宋_GB2312" w:cs="仿宋_GB2312"/>
          <w:color w:val="000000"/>
          <w:sz w:val="32"/>
          <w:szCs w:val="32"/>
          <w:lang w:val="en-US" w:eastAsia="zh-CN"/>
        </w:rPr>
        <w:t>龙华</w:t>
      </w:r>
      <w:r>
        <w:rPr>
          <w:rFonts w:ascii="仿宋_GB2312" w:hAnsi="宋体" w:eastAsia="仿宋_GB2312" w:cs="仿宋_GB2312"/>
          <w:color w:val="000000"/>
          <w:sz w:val="32"/>
          <w:szCs w:val="32"/>
          <w:lang w:val="en-US" w:eastAsia="zh-CN"/>
        </w:rPr>
        <w:t>区与</w:t>
      </w:r>
      <w:r>
        <w:rPr>
          <w:rFonts w:hint="eastAsia" w:ascii="仿宋_GB2312" w:eastAsia="仿宋_GB2312" w:cs="仿宋_GB2312"/>
          <w:color w:val="000000"/>
          <w:sz w:val="32"/>
          <w:szCs w:val="32"/>
          <w:lang w:val="en-US" w:eastAsia="zh-CN"/>
        </w:rPr>
        <w:t>墨西哥和巴西</w:t>
      </w:r>
      <w:r>
        <w:rPr>
          <w:rFonts w:ascii="仿宋_GB2312" w:hAnsi="宋体" w:eastAsia="仿宋_GB2312" w:cs="仿宋_GB2312"/>
          <w:color w:val="000000"/>
          <w:sz w:val="32"/>
          <w:szCs w:val="32"/>
          <w:lang w:val="en-US" w:eastAsia="zh-CN"/>
        </w:rPr>
        <w:t>地区的经贸、科技</w:t>
      </w:r>
      <w:r>
        <w:rPr>
          <w:rFonts w:hint="eastAsia" w:ascii="仿宋_GB2312" w:eastAsia="仿宋_GB2312" w:cs="仿宋_GB2312"/>
          <w:color w:val="000000"/>
          <w:sz w:val="32"/>
          <w:szCs w:val="32"/>
          <w:lang w:val="en-US" w:eastAsia="zh-CN"/>
        </w:rPr>
        <w:t>方面的</w:t>
      </w:r>
      <w:r>
        <w:rPr>
          <w:rFonts w:ascii="仿宋_GB2312" w:hAnsi="宋体" w:eastAsia="仿宋_GB2312" w:cs="仿宋_GB2312"/>
          <w:color w:val="000000"/>
          <w:sz w:val="32"/>
          <w:szCs w:val="32"/>
          <w:lang w:val="en-US" w:eastAsia="zh-CN"/>
        </w:rPr>
        <w:t>交流</w:t>
      </w:r>
      <w:r>
        <w:rPr>
          <w:rFonts w:hint="eastAsia" w:ascii="仿宋_GB2312" w:hAnsi="宋体" w:eastAsia="仿宋_GB2312" w:cs="仿宋_GB2312"/>
          <w:color w:val="000000"/>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right="0" w:rightChars="0" w:firstLine="640" w:firstLineChars="200"/>
        <w:jc w:val="left"/>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二、项目形式</w:t>
      </w:r>
    </w:p>
    <w:p>
      <w:pPr>
        <w:pStyle w:val="5"/>
        <w:keepNext w:val="0"/>
        <w:keepLines w:val="0"/>
        <w:pageBreakBefore w:val="0"/>
        <w:widowControl/>
        <w:suppressLineNumbers w:val="0"/>
        <w:kinsoku/>
        <w:wordWrap/>
        <w:overflowPunct/>
        <w:topLinePunct w:val="0"/>
        <w:autoSpaceDE/>
        <w:autoSpaceDN/>
        <w:bidi w:val="0"/>
        <w:spacing w:line="600" w:lineRule="exact"/>
        <w:ind w:left="0" w:firstLine="64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拟采用公开征集的方式选取第三方专业服务机构，赴墨西哥和巴西两国开展为期7天的经贸、科技、文化交流活动。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right="0" w:rightChars="0" w:firstLine="640" w:firstLineChars="200"/>
        <w:jc w:val="left"/>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三、项目内容</w:t>
      </w:r>
      <w:r>
        <w:rPr>
          <w:rFonts w:hint="default" w:ascii="黑体" w:hAnsi="黑体" w:eastAsia="黑体" w:cs="黑体"/>
          <w:sz w:val="32"/>
          <w:szCs w:val="32"/>
          <w:highlight w:val="none"/>
          <w:lang w:val="en-US" w:eastAsia="zh-CN"/>
        </w:rPr>
        <w:t>及</w:t>
      </w:r>
      <w:r>
        <w:rPr>
          <w:rFonts w:hint="eastAsia" w:ascii="黑体" w:hAnsi="黑体" w:eastAsia="黑体" w:cs="黑体"/>
          <w:sz w:val="32"/>
          <w:szCs w:val="32"/>
          <w:highlight w:val="none"/>
          <w:lang w:val="en-US" w:eastAsia="zh-CN"/>
        </w:rPr>
        <w:t>相关</w:t>
      </w:r>
      <w:r>
        <w:rPr>
          <w:rFonts w:hint="default" w:ascii="黑体" w:hAnsi="黑体" w:eastAsia="黑体" w:cs="黑体"/>
          <w:sz w:val="32"/>
          <w:szCs w:val="32"/>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val="en-US" w:eastAsia="zh-CN"/>
        </w:rPr>
        <w:t>拟定于</w:t>
      </w:r>
      <w:r>
        <w:rPr>
          <w:rFonts w:hint="default" w:ascii="仿宋_GB2312" w:hAnsi="仿宋_GB2312"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年10月20日至26日</w:t>
      </w:r>
      <w:r>
        <w:rPr>
          <w:rFonts w:hint="default" w:ascii="仿宋_GB2312" w:hAnsi="仿宋_GB2312" w:eastAsia="仿宋_GB2312" w:cs="仿宋_GB2312"/>
          <w:sz w:val="32"/>
          <w:szCs w:val="32"/>
          <w:highlight w:val="none"/>
          <w:lang w:val="en-US" w:eastAsia="zh-CN"/>
        </w:rPr>
        <w:t>期间</w:t>
      </w:r>
      <w:r>
        <w:rPr>
          <w:rFonts w:hint="eastAsia" w:ascii="仿宋_GB2312" w:hAnsi="仿宋_GB2312" w:eastAsia="仿宋_GB2312" w:cs="仿宋_GB2312"/>
          <w:b w:val="0"/>
          <w:bCs w:val="0"/>
          <w:sz w:val="32"/>
          <w:szCs w:val="32"/>
          <w:highlight w:val="none"/>
          <w:lang w:val="en-US" w:eastAsia="zh-CN"/>
        </w:rPr>
        <w:t>（注：具体活动举办时间，以最终沟通情况为准），</w:t>
      </w:r>
      <w:r>
        <w:rPr>
          <w:rFonts w:hint="eastAsia" w:ascii="仿宋_GB2312" w:eastAsia="仿宋_GB2312"/>
          <w:sz w:val="32"/>
          <w:szCs w:val="32"/>
          <w:lang w:val="en-US" w:eastAsia="zh-CN"/>
        </w:rPr>
        <w:t>协助</w:t>
      </w:r>
      <w:r>
        <w:rPr>
          <w:rFonts w:hint="default" w:ascii="仿宋_GB2312" w:hAnsi="Calibri" w:eastAsia="仿宋_GB2312" w:cs="Times New Roman"/>
          <w:kern w:val="2"/>
          <w:sz w:val="32"/>
          <w:szCs w:val="32"/>
          <w:lang w:val="en-US" w:eastAsia="zh-CN" w:bidi="ar-SA"/>
        </w:rPr>
        <w:t>龙华</w:t>
      </w:r>
      <w:r>
        <w:rPr>
          <w:rFonts w:hint="eastAsia" w:ascii="仿宋_GB2312" w:hAnsi="Calibri" w:eastAsia="仿宋_GB2312" w:cs="Times New Roman"/>
          <w:kern w:val="2"/>
          <w:sz w:val="32"/>
          <w:szCs w:val="32"/>
          <w:lang w:val="en-US" w:eastAsia="zh-CN" w:bidi="ar-SA"/>
        </w:rPr>
        <w:t>政府团</w:t>
      </w:r>
      <w:r>
        <w:rPr>
          <w:rFonts w:hint="eastAsia" w:ascii="仿宋_GB2312" w:eastAsia="仿宋_GB2312" w:cs="Times New Roman"/>
          <w:kern w:val="2"/>
          <w:sz w:val="32"/>
          <w:szCs w:val="32"/>
          <w:lang w:val="en-US" w:eastAsia="zh-CN" w:bidi="ar-SA"/>
        </w:rPr>
        <w:t>做好</w:t>
      </w:r>
      <w:r>
        <w:rPr>
          <w:rFonts w:ascii="仿宋_GB2312" w:hAnsi="宋体" w:eastAsia="仿宋_GB2312" w:cs="仿宋_GB2312"/>
          <w:color w:val="000000"/>
          <w:sz w:val="32"/>
          <w:szCs w:val="32"/>
          <w:lang w:val="en-US" w:eastAsia="zh-CN"/>
        </w:rPr>
        <w:t>赴</w:t>
      </w:r>
      <w:r>
        <w:rPr>
          <w:rFonts w:hint="eastAsia" w:ascii="仿宋_GB2312" w:hAnsi="宋体" w:eastAsia="仿宋_GB2312" w:cs="仿宋_GB2312"/>
          <w:color w:val="000000"/>
          <w:sz w:val="32"/>
          <w:szCs w:val="32"/>
          <w:lang w:val="en-US" w:eastAsia="zh-CN"/>
        </w:rPr>
        <w:t>墨西哥和巴西</w:t>
      </w:r>
      <w:r>
        <w:rPr>
          <w:rFonts w:ascii="仿宋_GB2312" w:hAnsi="宋体" w:eastAsia="仿宋_GB2312" w:cs="仿宋_GB2312"/>
          <w:color w:val="000000"/>
          <w:sz w:val="32"/>
          <w:szCs w:val="32"/>
          <w:lang w:val="en-US" w:eastAsia="zh-CN"/>
        </w:rPr>
        <w:t>两国开展</w:t>
      </w:r>
      <w:r>
        <w:rPr>
          <w:rFonts w:hint="eastAsia" w:ascii="仿宋_GB2312" w:hAnsi="宋体" w:eastAsia="仿宋_GB2312" w:cs="仿宋_GB2312"/>
          <w:color w:val="000000"/>
          <w:sz w:val="32"/>
          <w:szCs w:val="32"/>
          <w:lang w:val="en-US" w:eastAsia="zh-CN"/>
        </w:rPr>
        <w:t>为期7天的</w:t>
      </w:r>
      <w:r>
        <w:rPr>
          <w:rFonts w:ascii="仿宋_GB2312" w:hAnsi="宋体" w:eastAsia="仿宋_GB2312" w:cs="仿宋_GB2312"/>
          <w:color w:val="000000"/>
          <w:sz w:val="32"/>
          <w:szCs w:val="32"/>
          <w:lang w:val="en-US" w:eastAsia="zh-CN"/>
        </w:rPr>
        <w:t>经贸、科技交流活动</w:t>
      </w:r>
      <w:r>
        <w:rPr>
          <w:rFonts w:hint="eastAsia" w:ascii="仿宋_GB2312" w:hAnsi="宋体" w:eastAsia="仿宋_GB2312" w:cs="仿宋_GB2312"/>
          <w:color w:val="000000"/>
          <w:sz w:val="32"/>
          <w:szCs w:val="32"/>
          <w:lang w:val="en-US" w:eastAsia="zh-CN"/>
        </w:rPr>
        <w:t>的相关工作，</w:t>
      </w:r>
      <w:r>
        <w:rPr>
          <w:rFonts w:hint="default"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val="en-US" w:eastAsia="zh-CN"/>
        </w:rPr>
        <w:t>确保此次出访团组整体的公务活动顺利</w:t>
      </w:r>
      <w:r>
        <w:rPr>
          <w:rFonts w:hint="default"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（二）</w:t>
      </w:r>
      <w:r>
        <w:rPr>
          <w:rFonts w:hint="eastAsia" w:ascii="仿宋_GB2312" w:eastAsia="仿宋_GB2312"/>
          <w:sz w:val="32"/>
          <w:szCs w:val="32"/>
          <w:lang w:val="en-US" w:eastAsia="zh-CN"/>
        </w:rPr>
        <w:t>协助</w:t>
      </w:r>
      <w:r>
        <w:rPr>
          <w:rFonts w:hint="default" w:ascii="仿宋_GB2312" w:hAnsi="Calibri" w:eastAsia="仿宋_GB2312" w:cs="Times New Roman"/>
          <w:kern w:val="2"/>
          <w:sz w:val="32"/>
          <w:szCs w:val="32"/>
          <w:lang w:val="en-US" w:eastAsia="zh-CN" w:bidi="ar-SA"/>
        </w:rPr>
        <w:t>龙华</w:t>
      </w:r>
      <w:r>
        <w:rPr>
          <w:rFonts w:hint="eastAsia" w:ascii="仿宋_GB2312" w:hAnsi="Calibri" w:eastAsia="仿宋_GB2312" w:cs="Times New Roman"/>
          <w:kern w:val="2"/>
          <w:sz w:val="32"/>
          <w:szCs w:val="32"/>
          <w:lang w:val="en-US" w:eastAsia="zh-CN" w:bidi="ar-SA"/>
        </w:rPr>
        <w:t>政府团</w:t>
      </w:r>
      <w:r>
        <w:rPr>
          <w:rFonts w:hint="eastAsia" w:ascii="仿宋_GB2312" w:eastAsia="仿宋_GB2312" w:cs="Times New Roman"/>
          <w:kern w:val="2"/>
          <w:sz w:val="32"/>
          <w:szCs w:val="32"/>
          <w:lang w:val="en-US" w:eastAsia="zh-CN" w:bidi="ar-SA"/>
        </w:rPr>
        <w:t>做好在</w:t>
      </w:r>
      <w:r>
        <w:rPr>
          <w:rFonts w:hint="eastAsia" w:ascii="仿宋_GB2312" w:hAnsi="宋体" w:eastAsia="仿宋_GB2312" w:cs="仿宋_GB2312"/>
          <w:color w:val="000000"/>
          <w:sz w:val="32"/>
          <w:szCs w:val="32"/>
          <w:lang w:val="en-US" w:eastAsia="zh-CN"/>
        </w:rPr>
        <w:t>墨西哥和巴西两国</w:t>
      </w:r>
      <w:r>
        <w:rPr>
          <w:rFonts w:hint="eastAsia" w:ascii="仿宋_GB2312" w:hAnsi="仿宋_GB2312" w:eastAsia="仿宋_GB2312" w:cs="仿宋_GB2312"/>
          <w:sz w:val="32"/>
          <w:szCs w:val="32"/>
          <w:highlight w:val="none"/>
          <w:lang w:val="en-US" w:eastAsia="zh-CN"/>
        </w:rPr>
        <w:t>举办经贸合作交流会的相关工作，包括但不限于：活动场地租用、场地布置搭建、活动宣传材料、活动现场物料设计、活动同传及商务翻译、活动视觉设计、活动文案等相关工作，</w:t>
      </w:r>
      <w:r>
        <w:rPr>
          <w:rFonts w:hint="default"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val="en-US" w:eastAsia="zh-CN"/>
        </w:rPr>
        <w:t>确保两场</w:t>
      </w:r>
      <w:r>
        <w:rPr>
          <w:rFonts w:hint="eastAsia" w:ascii="仿宋_GB2312" w:hAnsi="仿宋_GB2312" w:eastAsia="仿宋_GB2312" w:cs="仿宋_GB2312"/>
          <w:sz w:val="32"/>
          <w:szCs w:val="32"/>
          <w:highlight w:val="none"/>
          <w:lang w:val="en-US" w:eastAsia="zh-CN"/>
        </w:rPr>
        <w:t>经贸合作交流会的</w:t>
      </w:r>
      <w:r>
        <w:rPr>
          <w:rFonts w:hint="eastAsia" w:ascii="仿宋_GB2312" w:hAnsi="仿宋_GB2312" w:eastAsia="仿宋_GB2312" w:cs="仿宋_GB2312"/>
          <w:sz w:val="32"/>
          <w:szCs w:val="32"/>
          <w:lang w:val="en-US" w:eastAsia="zh-CN"/>
        </w:rPr>
        <w:t>顺利举办。（注：</w:t>
      </w:r>
      <w:r>
        <w:rPr>
          <w:rFonts w:hint="eastAsia" w:ascii="仿宋_GB2312" w:hAnsi="仿宋_GB2312" w:eastAsia="仿宋_GB2312" w:cs="仿宋_GB2312"/>
          <w:sz w:val="32"/>
          <w:szCs w:val="32"/>
          <w:highlight w:val="none"/>
          <w:lang w:val="en-US" w:eastAsia="zh-CN"/>
        </w:rPr>
        <w:t>墨西哥墨西哥城举办的交流会，参会人数按照≥100人规模准备；巴西圣保罗举办的交流会，参会人数按照≥50人规模准备</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（三）拟定于2025年10</w:t>
      </w:r>
      <w:r>
        <w:rPr>
          <w:rFonts w:hint="default" w:ascii="仿宋_GB2312" w:hAnsi="仿宋_GB2312" w:eastAsia="仿宋_GB2312" w:cs="仿宋_GB2312"/>
          <w:sz w:val="32"/>
          <w:szCs w:val="32"/>
          <w:highlight w:val="none"/>
          <w:lang w:val="en" w:eastAsia="zh-CN"/>
        </w:rPr>
        <w:t>月</w:t>
      </w:r>
      <w:r>
        <w:rPr>
          <w:rFonts w:hint="eastAsia" w:ascii="仿宋_GB2312" w:hAnsi="仿宋_GB2312" w:eastAsia="仿宋_GB2312" w:cs="仿宋_GB2312"/>
          <w:sz w:val="32"/>
          <w:szCs w:val="32"/>
          <w:highlight w:val="none"/>
          <w:lang w:val="en-US" w:eastAsia="zh-CN"/>
        </w:rPr>
        <w:t>26日公务活动结束后，配合做好</w:t>
      </w:r>
      <w:r>
        <w:rPr>
          <w:rFonts w:hint="default" w:ascii="仿宋_GB2312" w:hAnsi="仿宋_GB2312" w:eastAsia="仿宋_GB2312" w:cs="仿宋_GB2312"/>
          <w:sz w:val="32"/>
          <w:szCs w:val="32"/>
          <w:highlight w:val="none"/>
          <w:lang w:val="en-US" w:eastAsia="zh-CN"/>
        </w:rPr>
        <w:t>本项目</w:t>
      </w:r>
      <w:r>
        <w:rPr>
          <w:rFonts w:hint="eastAsia" w:ascii="仿宋_GB2312" w:hAnsi="仿宋_GB2312" w:eastAsia="仿宋_GB2312" w:cs="仿宋_GB2312"/>
          <w:sz w:val="32"/>
          <w:szCs w:val="32"/>
          <w:highlight w:val="none"/>
          <w:lang w:val="en-US" w:eastAsia="zh-CN"/>
        </w:rPr>
        <w:t>结算相关工作</w:t>
      </w:r>
      <w:r>
        <w:rPr>
          <w:rFonts w:hint="default" w:ascii="仿宋_GB2312" w:hAnsi="仿宋_GB2312" w:eastAsia="仿宋_GB2312" w:cs="仿宋_GB2312"/>
          <w:sz w:val="32"/>
          <w:szCs w:val="32"/>
          <w:lang w:val="en-US" w:eastAsia="zh-CN"/>
        </w:rPr>
        <w:t>及全部手续办理</w:t>
      </w:r>
      <w:r>
        <w:rPr>
          <w:rFonts w:hint="eastAsia" w:ascii="仿宋_GB2312" w:hAnsi="仿宋_GB2312" w:eastAsia="仿宋_GB2312" w:cs="仿宋_GB2312"/>
          <w:sz w:val="32"/>
          <w:szCs w:val="32"/>
          <w:lang w:val="en-US" w:eastAsia="zh-CN"/>
        </w:rPr>
        <w:t>完成</w:t>
      </w:r>
      <w:r>
        <w:rPr>
          <w:rFonts w:hint="default"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四、报价限额</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两场活动总费用报价</w:t>
      </w:r>
      <w:r>
        <w:rPr>
          <w:rFonts w:hint="eastAsia" w:ascii="仿宋_GB2312" w:hAnsi="仿宋_GB2312" w:eastAsia="仿宋_GB2312" w:cs="仿宋_GB2312"/>
          <w:sz w:val="32"/>
          <w:szCs w:val="32"/>
          <w:highlight w:val="none"/>
          <w:lang w:val="en-US" w:eastAsia="zh-CN"/>
        </w:rPr>
        <w:t>不超过83万元</w:t>
      </w:r>
      <w:r>
        <w:rPr>
          <w:rFonts w:hint="eastAsia" w:ascii="仿宋_GB2312" w:hAnsi="仿宋_GB2312" w:eastAsia="仿宋_GB2312" w:cs="仿宋_GB2312"/>
          <w:kern w:val="2"/>
          <w:sz w:val="32"/>
          <w:szCs w:val="32"/>
          <w:highlight w:val="none"/>
          <w:lang w:val="en-US" w:eastAsia="zh-CN" w:bidi="ar-SA"/>
        </w:rPr>
        <w:t>（汇率：1人民币≈0.1407美元，1美元≈7.1062人民币）</w:t>
      </w:r>
      <w:r>
        <w:rPr>
          <w:rFonts w:hint="eastAsia" w:ascii="仿宋_GB2312" w:hAnsi="仿宋_GB2312" w:eastAsia="仿宋_GB2312" w:cs="仿宋_GB2312"/>
          <w:sz w:val="32"/>
          <w:szCs w:val="32"/>
          <w:highlight w:val="none"/>
          <w:lang w:val="en-US" w:eastAsia="zh-CN"/>
        </w:rPr>
        <w:t>。</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bCs/>
          <w:color w:val="auto"/>
          <w:sz w:val="32"/>
          <w:szCs w:val="32"/>
          <w:lang w:eastAsia="zh-CN"/>
        </w:rPr>
        <w:t>五</w:t>
      </w:r>
      <w:r>
        <w:rPr>
          <w:rFonts w:hint="eastAsia" w:ascii="黑体" w:hAnsi="黑体" w:eastAsia="黑体" w:cs="黑体"/>
          <w:bCs/>
          <w:color w:val="auto"/>
          <w:sz w:val="32"/>
          <w:szCs w:val="32"/>
        </w:rPr>
        <w:t>、</w:t>
      </w:r>
      <w:r>
        <w:rPr>
          <w:rFonts w:hint="eastAsia" w:ascii="黑体" w:hAnsi="黑体" w:eastAsia="黑体" w:cs="黑体"/>
          <w:color w:val="auto"/>
          <w:sz w:val="32"/>
          <w:szCs w:val="32"/>
        </w:rPr>
        <w:t>供应商的资质要求</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一</w:t>
      </w:r>
      <w:r>
        <w:rPr>
          <w:rFonts w:hint="eastAsia" w:ascii="仿宋_GB2312" w:hAnsi="仿宋" w:eastAsia="仿宋_GB2312" w:cs="仿宋"/>
          <w:color w:val="auto"/>
          <w:sz w:val="32"/>
          <w:szCs w:val="32"/>
        </w:rPr>
        <w:t>）在中国境内注册的独立法人或其他组织（提供营业执照、事业法人证书、社会团体法人登记证书等扫描件）；</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二</w:t>
      </w:r>
      <w:r>
        <w:rPr>
          <w:rFonts w:hint="eastAsia" w:ascii="仿宋_GB2312" w:hAnsi="仿宋" w:eastAsia="仿宋_GB2312" w:cs="仿宋"/>
          <w:color w:val="auto"/>
          <w:sz w:val="32"/>
          <w:szCs w:val="32"/>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lang w:eastAsia="zh-CN"/>
        </w:rPr>
        <w:t>；</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三</w:t>
      </w:r>
      <w:r>
        <w:rPr>
          <w:rFonts w:hint="eastAsia" w:ascii="仿宋_GB2312" w:hAnsi="仿宋" w:eastAsia="仿宋_GB2312" w:cs="仿宋"/>
          <w:color w:val="auto"/>
          <w:sz w:val="32"/>
          <w:szCs w:val="32"/>
        </w:rPr>
        <w:t>）单位负责人为同一人或者存在直接控股、管理关系的不同供应商，不得同时参加本项目的采购活动。</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、选定供应商方法</w:t>
      </w:r>
    </w:p>
    <w:p>
      <w:pPr>
        <w:keepNext w:val="0"/>
        <w:keepLines w:val="0"/>
        <w:pageBreakBefore w:val="0"/>
        <w:tabs>
          <w:tab w:val="left" w:pos="1820"/>
        </w:tabs>
        <w:kinsoku/>
        <w:wordWrap/>
        <w:overflowPunct/>
        <w:topLinePunct w:val="0"/>
        <w:autoSpaceDE/>
        <w:autoSpaceDN/>
        <w:bidi w:val="0"/>
        <w:adjustRightInd w:val="0"/>
        <w:snapToGrid w:val="0"/>
        <w:spacing w:line="600" w:lineRule="exact"/>
        <w:ind w:firstLine="640" w:firstLineChars="200"/>
        <w:jc w:val="left"/>
        <w:textAlignment w:val="auto"/>
        <w:rPr>
          <w:rFonts w:hint="default" w:ascii="仿宋_GB2312" w:hAnsi="仿宋" w:eastAsia="仿宋_GB2312"/>
          <w:color w:val="auto"/>
          <w:sz w:val="32"/>
          <w:lang w:val="en-US" w:eastAsia="zh-CN"/>
        </w:rPr>
      </w:pPr>
      <w:r>
        <w:rPr>
          <w:rFonts w:hint="eastAsia" w:ascii="仿宋_GB2312" w:hAnsi="仿宋" w:eastAsia="仿宋_GB2312"/>
          <w:color w:val="auto"/>
          <w:sz w:val="32"/>
        </w:rPr>
        <w:t>综合评分法</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bookmarkStart w:id="0" w:name="_GoBack"/>
      <w:bookmarkEnd w:id="0"/>
      <w:r>
        <w:rPr>
          <w:rFonts w:hint="eastAsia" w:ascii="黑体" w:hAnsi="黑体" w:eastAsia="黑体" w:cs="黑体"/>
          <w:color w:val="auto"/>
          <w:sz w:val="32"/>
          <w:szCs w:val="32"/>
        </w:rPr>
        <w:t>、评分要求</w:t>
      </w:r>
    </w:p>
    <w:p>
      <w:pPr>
        <w:pStyle w:val="10"/>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（一）评分规则</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黑体" w:hAnsi="黑体" w:eastAsia="仿宋_GB2312" w:cs="仿宋_GB2312"/>
          <w:bCs/>
          <w:color w:val="auto"/>
          <w:sz w:val="32"/>
          <w:szCs w:val="32"/>
          <w:lang w:eastAsia="zh-CN"/>
        </w:rPr>
      </w:pPr>
      <w:r>
        <w:rPr>
          <w:rFonts w:hint="eastAsia" w:ascii="仿宋_GB2312" w:eastAsia="仿宋_GB2312"/>
          <w:color w:val="auto"/>
          <w:sz w:val="32"/>
          <w:szCs w:val="32"/>
          <w:lang w:eastAsia="zh-CN"/>
        </w:rPr>
        <w:t>本项目将</w:t>
      </w:r>
      <w:r>
        <w:rPr>
          <w:rFonts w:hint="eastAsia" w:ascii="仿宋_GB2312" w:eastAsia="仿宋_GB2312"/>
          <w:color w:val="auto"/>
          <w:sz w:val="32"/>
          <w:szCs w:val="32"/>
        </w:rPr>
        <w:t>采取综合评分标准，</w:t>
      </w:r>
      <w:r>
        <w:rPr>
          <w:rFonts w:hint="eastAsia" w:ascii="仿宋_GB2312" w:eastAsia="仿宋_GB2312"/>
          <w:color w:val="auto"/>
          <w:sz w:val="32"/>
          <w:szCs w:val="32"/>
          <w:lang w:val="en-US" w:eastAsia="zh-CN"/>
        </w:rPr>
        <w:t>得分</w:t>
      </w:r>
      <w:r>
        <w:rPr>
          <w:rFonts w:hint="eastAsia" w:ascii="仿宋_GB2312" w:eastAsia="仿宋_GB2312"/>
          <w:color w:val="auto"/>
          <w:sz w:val="32"/>
          <w:szCs w:val="32"/>
          <w:highlight w:val="none"/>
        </w:rPr>
        <w:t>最高</w:t>
      </w:r>
      <w:r>
        <w:rPr>
          <w:rFonts w:hint="eastAsia" w:ascii="仿宋_GB2312" w:eastAsia="仿宋_GB2312"/>
          <w:color w:val="auto"/>
          <w:sz w:val="32"/>
          <w:szCs w:val="32"/>
        </w:rPr>
        <w:t>的投标人为本项目中标人。</w:t>
      </w:r>
      <w:r>
        <w:rPr>
          <w:rFonts w:hint="eastAsia" w:ascii="仿宋_GB2312" w:eastAsia="仿宋_GB2312"/>
          <w:color w:val="auto"/>
          <w:sz w:val="32"/>
          <w:szCs w:val="32"/>
          <w:lang w:eastAsia="zh-CN"/>
        </w:rPr>
        <w:t>（</w:t>
      </w:r>
      <w:r>
        <w:rPr>
          <w:rFonts w:hint="eastAsia" w:ascii="仿宋_GB2312" w:eastAsia="仿宋_GB2312"/>
          <w:color w:val="auto"/>
          <w:sz w:val="32"/>
          <w:szCs w:val="32"/>
        </w:rPr>
        <w:t>注：不</w:t>
      </w:r>
      <w:r>
        <w:rPr>
          <w:rFonts w:hint="eastAsia" w:ascii="仿宋_GB2312" w:eastAsia="仿宋_GB2312"/>
          <w:color w:val="auto"/>
          <w:sz w:val="32"/>
          <w:szCs w:val="32"/>
          <w:lang w:eastAsia="zh-CN"/>
        </w:rPr>
        <w:t>能</w:t>
      </w:r>
      <w:r>
        <w:rPr>
          <w:rFonts w:hint="eastAsia" w:ascii="仿宋_GB2312" w:eastAsia="仿宋_GB2312"/>
          <w:color w:val="auto"/>
          <w:sz w:val="32"/>
          <w:szCs w:val="32"/>
        </w:rPr>
        <w:t>提供证明文件或提供的证明文件不合格者，不得分</w:t>
      </w:r>
      <w:r>
        <w:rPr>
          <w:rFonts w:hint="eastAsia" w:ascii="仿宋_GB2312" w:eastAsia="仿宋_GB2312"/>
          <w:color w:val="auto"/>
          <w:sz w:val="32"/>
          <w:szCs w:val="32"/>
          <w:lang w:eastAsia="zh-CN"/>
        </w:rPr>
        <w:t>）</w:t>
      </w:r>
    </w:p>
    <w:p>
      <w:pPr>
        <w:pStyle w:val="10"/>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（二）评分权重</w:t>
      </w:r>
    </w:p>
    <w:tbl>
      <w:tblPr>
        <w:tblStyle w:val="7"/>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2295"/>
        <w:gridCol w:w="2029"/>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161" w:type="dxa"/>
            <w:noWrap w:val="0"/>
            <w:vAlign w:val="top"/>
          </w:tcPr>
          <w:p>
            <w:pPr>
              <w:pStyle w:val="10"/>
              <w:spacing w:line="560" w:lineRule="exact"/>
              <w:jc w:val="center"/>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评分内容</w:t>
            </w:r>
          </w:p>
        </w:tc>
        <w:tc>
          <w:tcPr>
            <w:tcW w:w="2295" w:type="dxa"/>
            <w:noWrap w:val="0"/>
            <w:vAlign w:val="top"/>
          </w:tcPr>
          <w:p>
            <w:pPr>
              <w:pStyle w:val="10"/>
              <w:spacing w:line="560" w:lineRule="exact"/>
              <w:jc w:val="center"/>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商务能力</w:t>
            </w:r>
          </w:p>
        </w:tc>
        <w:tc>
          <w:tcPr>
            <w:tcW w:w="2029" w:type="dxa"/>
            <w:noWrap w:val="0"/>
            <w:vAlign w:val="top"/>
          </w:tcPr>
          <w:p>
            <w:pPr>
              <w:pStyle w:val="10"/>
              <w:spacing w:line="560" w:lineRule="exact"/>
              <w:jc w:val="center"/>
              <w:rPr>
                <w:rFonts w:hint="eastAsia" w:ascii="仿宋_GB2312" w:hAnsi="仿宋_GB2312" w:eastAsia="仿宋_GB2312" w:cs="仿宋_GB2312"/>
                <w:b/>
                <w:bCs w:val="0"/>
                <w:color w:val="auto"/>
                <w:sz w:val="24"/>
                <w:szCs w:val="24"/>
                <w:lang w:eastAsia="zh-CN"/>
              </w:rPr>
            </w:pPr>
            <w:r>
              <w:rPr>
                <w:rFonts w:hint="eastAsia" w:ascii="仿宋_GB2312" w:hAnsi="仿宋_GB2312" w:eastAsia="仿宋_GB2312" w:cs="仿宋_GB2312"/>
                <w:b/>
                <w:bCs w:val="0"/>
                <w:color w:val="auto"/>
                <w:sz w:val="24"/>
                <w:szCs w:val="24"/>
                <w:lang w:eastAsia="zh-CN"/>
              </w:rPr>
              <w:t>技术能力</w:t>
            </w:r>
          </w:p>
        </w:tc>
        <w:tc>
          <w:tcPr>
            <w:tcW w:w="2085" w:type="dxa"/>
            <w:noWrap w:val="0"/>
            <w:vAlign w:val="top"/>
          </w:tcPr>
          <w:p>
            <w:pPr>
              <w:pStyle w:val="10"/>
              <w:spacing w:line="560" w:lineRule="exact"/>
              <w:jc w:val="center"/>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161" w:type="dxa"/>
            <w:noWrap w:val="0"/>
            <w:vAlign w:val="top"/>
          </w:tcPr>
          <w:p>
            <w:pPr>
              <w:pStyle w:val="10"/>
              <w:spacing w:line="56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分值</w:t>
            </w:r>
          </w:p>
        </w:tc>
        <w:tc>
          <w:tcPr>
            <w:tcW w:w="2295" w:type="dxa"/>
            <w:noWrap w:val="0"/>
            <w:vAlign w:val="top"/>
          </w:tcPr>
          <w:p>
            <w:pPr>
              <w:pStyle w:val="10"/>
              <w:spacing w:line="56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30</w:t>
            </w:r>
            <w:r>
              <w:rPr>
                <w:rFonts w:hint="eastAsia" w:ascii="仿宋_GB2312" w:hAnsi="仿宋_GB2312" w:eastAsia="仿宋_GB2312" w:cs="仿宋_GB2312"/>
                <w:b w:val="0"/>
                <w:bCs/>
                <w:color w:val="auto"/>
                <w:sz w:val="24"/>
                <w:szCs w:val="24"/>
              </w:rPr>
              <w:t>分</w:t>
            </w:r>
          </w:p>
        </w:tc>
        <w:tc>
          <w:tcPr>
            <w:tcW w:w="2029" w:type="dxa"/>
            <w:noWrap w:val="0"/>
            <w:vAlign w:val="top"/>
          </w:tcPr>
          <w:p>
            <w:pPr>
              <w:pStyle w:val="10"/>
              <w:spacing w:line="56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50</w:t>
            </w:r>
            <w:r>
              <w:rPr>
                <w:rFonts w:hint="eastAsia" w:ascii="仿宋_GB2312" w:hAnsi="仿宋_GB2312" w:eastAsia="仿宋_GB2312" w:cs="仿宋_GB2312"/>
                <w:b w:val="0"/>
                <w:bCs/>
                <w:color w:val="auto"/>
                <w:sz w:val="24"/>
                <w:szCs w:val="24"/>
              </w:rPr>
              <w:t>分</w:t>
            </w:r>
          </w:p>
        </w:tc>
        <w:tc>
          <w:tcPr>
            <w:tcW w:w="2085" w:type="dxa"/>
            <w:noWrap w:val="0"/>
            <w:vAlign w:val="top"/>
          </w:tcPr>
          <w:p>
            <w:pPr>
              <w:pStyle w:val="10"/>
              <w:spacing w:line="56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20</w:t>
            </w:r>
            <w:r>
              <w:rPr>
                <w:rFonts w:hint="eastAsia" w:ascii="仿宋_GB2312" w:hAnsi="仿宋_GB2312" w:eastAsia="仿宋_GB2312" w:cs="仿宋_GB2312"/>
                <w:b w:val="0"/>
                <w:bCs/>
                <w:color w:val="auto"/>
                <w:sz w:val="24"/>
                <w:szCs w:val="24"/>
              </w:rPr>
              <w:t>分</w:t>
            </w:r>
          </w:p>
        </w:tc>
      </w:tr>
    </w:tbl>
    <w:p>
      <w:pPr>
        <w:pStyle w:val="10"/>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（三）评分标准</w:t>
      </w:r>
    </w:p>
    <w:p>
      <w:pPr>
        <w:spacing w:line="560" w:lineRule="exact"/>
        <w:ind w:firstLine="642"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1.商务能力</w:t>
      </w:r>
    </w:p>
    <w:tbl>
      <w:tblPr>
        <w:tblStyle w:val="7"/>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504"/>
        <w:gridCol w:w="2981"/>
        <w:gridCol w:w="3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950" w:type="dxa"/>
            <w:gridSpan w:val="3"/>
            <w:noWrap w:val="0"/>
            <w:vAlign w:val="center"/>
          </w:tcPr>
          <w:p>
            <w:pPr>
              <w:widowControl/>
              <w:spacing w:line="560" w:lineRule="exact"/>
              <w:jc w:val="center"/>
              <w:rPr>
                <w:rFonts w:hint="eastAsia" w:ascii="仿宋_GB2312" w:hAnsi="仿宋_GB2312" w:eastAsia="仿宋_GB2312" w:cs="仿宋_GB2312"/>
                <w:b/>
                <w:bCs w:val="0"/>
                <w:color w:val="auto"/>
                <w:kern w:val="0"/>
                <w:sz w:val="24"/>
                <w:szCs w:val="24"/>
              </w:rPr>
            </w:pPr>
            <w:r>
              <w:rPr>
                <w:rFonts w:hint="eastAsia" w:ascii="仿宋_GB2312" w:hAnsi="仿宋_GB2312" w:eastAsia="仿宋_GB2312" w:cs="仿宋_GB2312"/>
                <w:b/>
                <w:bCs w:val="0"/>
                <w:color w:val="auto"/>
                <w:kern w:val="0"/>
                <w:sz w:val="24"/>
                <w:szCs w:val="24"/>
              </w:rPr>
              <w:t>项目</w:t>
            </w:r>
          </w:p>
        </w:tc>
        <w:tc>
          <w:tcPr>
            <w:tcW w:w="3810" w:type="dxa"/>
            <w:noWrap w:val="0"/>
            <w:vAlign w:val="center"/>
          </w:tcPr>
          <w:p>
            <w:pPr>
              <w:widowControl/>
              <w:spacing w:line="560" w:lineRule="exact"/>
              <w:jc w:val="center"/>
              <w:rPr>
                <w:rFonts w:hint="eastAsia" w:ascii="仿宋_GB2312" w:hAnsi="仿宋_GB2312" w:eastAsia="仿宋_GB2312" w:cs="仿宋_GB2312"/>
                <w:b/>
                <w:bCs w:val="0"/>
                <w:color w:val="auto"/>
                <w:kern w:val="0"/>
                <w:sz w:val="24"/>
                <w:szCs w:val="24"/>
              </w:rPr>
            </w:pPr>
            <w:r>
              <w:rPr>
                <w:rFonts w:hint="eastAsia" w:ascii="仿宋_GB2312" w:hAnsi="仿宋_GB2312" w:eastAsia="仿宋_GB2312" w:cs="仿宋_GB2312"/>
                <w:b/>
                <w:bCs w:val="0"/>
                <w:color w:val="auto"/>
                <w:kern w:val="0"/>
                <w:sz w:val="24"/>
                <w:szCs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465" w:type="dxa"/>
            <w:vMerge w:val="restart"/>
            <w:noWrap w:val="0"/>
            <w:vAlign w:val="center"/>
          </w:tcPr>
          <w:p>
            <w:pPr>
              <w:spacing w:line="560" w:lineRule="exact"/>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sz w:val="24"/>
                <w:szCs w:val="24"/>
                <w:lang w:eastAsia="zh-CN"/>
              </w:rPr>
              <w:t>商务</w:t>
            </w:r>
            <w:r>
              <w:rPr>
                <w:rFonts w:hint="eastAsia" w:ascii="仿宋_GB2312" w:hAnsi="仿宋_GB2312" w:eastAsia="仿宋_GB2312" w:cs="仿宋_GB2312"/>
                <w:b/>
                <w:bCs w:val="0"/>
                <w:color w:val="auto"/>
                <w:sz w:val="24"/>
                <w:szCs w:val="24"/>
              </w:rPr>
              <w:t>能力评分</w:t>
            </w:r>
          </w:p>
        </w:tc>
        <w:tc>
          <w:tcPr>
            <w:tcW w:w="1504" w:type="dxa"/>
            <w:noWrap w:val="0"/>
            <w:vAlign w:val="center"/>
          </w:tcPr>
          <w:p>
            <w:pPr>
              <w:spacing w:line="240" w:lineRule="auto"/>
              <w:jc w:val="center"/>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同类经验</w:t>
            </w:r>
          </w:p>
          <w:p>
            <w:pPr>
              <w:spacing w:line="240" w:lineRule="auto"/>
              <w:jc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val="en-US" w:eastAsia="zh-CN"/>
              </w:rPr>
              <w:t>15</w:t>
            </w:r>
            <w:r>
              <w:rPr>
                <w:rFonts w:hint="eastAsia" w:ascii="仿宋_GB2312" w:hAnsi="仿宋_GB2312" w:eastAsia="仿宋_GB2312" w:cs="仿宋_GB2312"/>
                <w:bCs/>
                <w:color w:val="auto"/>
                <w:sz w:val="24"/>
                <w:szCs w:val="24"/>
              </w:rPr>
              <w:t>分）</w:t>
            </w:r>
          </w:p>
        </w:tc>
        <w:tc>
          <w:tcPr>
            <w:tcW w:w="2981" w:type="dxa"/>
            <w:noWrap w:val="0"/>
            <w:vAlign w:val="center"/>
          </w:tcPr>
          <w:p>
            <w:pPr>
              <w:spacing w:line="240" w:lineRule="auto"/>
              <w:jc w:val="left"/>
              <w:rPr>
                <w:rFonts w:hint="eastAsia" w:ascii="Calibri" w:hAnsi="Calibri" w:eastAsia="宋体" w:cs="Times New Roman"/>
                <w:kern w:val="2"/>
                <w:sz w:val="24"/>
                <w:szCs w:val="24"/>
                <w:lang w:val="en-US" w:eastAsia="zh-CN" w:bidi="ar-SA"/>
              </w:rPr>
            </w:pPr>
            <w:r>
              <w:rPr>
                <w:rFonts w:hint="eastAsia" w:ascii="仿宋_GB2312" w:hAnsi="仿宋_GB2312" w:eastAsia="仿宋_GB2312" w:cs="仿宋_GB2312"/>
                <w:bCs/>
                <w:color w:val="auto"/>
                <w:sz w:val="24"/>
                <w:szCs w:val="24"/>
              </w:rPr>
              <w:t>近三年</w:t>
            </w:r>
            <w:r>
              <w:rPr>
                <w:rFonts w:hint="eastAsia" w:ascii="仿宋_GB2312" w:hAnsi="仿宋_GB2312" w:eastAsia="仿宋_GB2312" w:cs="仿宋_GB2312"/>
                <w:bCs/>
                <w:color w:val="auto"/>
                <w:sz w:val="24"/>
                <w:szCs w:val="24"/>
                <w:lang w:eastAsia="zh-CN"/>
              </w:rPr>
              <w:t>，承接过同类型项目，1个得5分，两个得10分三个得</w:t>
            </w:r>
            <w:r>
              <w:rPr>
                <w:rFonts w:hint="eastAsia" w:ascii="仿宋_GB2312" w:hAnsi="仿宋_GB2312" w:eastAsia="仿宋_GB2312" w:cs="仿宋_GB2312"/>
                <w:bCs/>
                <w:color w:val="auto"/>
                <w:sz w:val="24"/>
                <w:szCs w:val="24"/>
                <w:lang w:val="en-US" w:eastAsia="zh-CN"/>
              </w:rPr>
              <w:t>15分</w:t>
            </w:r>
            <w:r>
              <w:rPr>
                <w:rFonts w:hint="eastAsia" w:ascii="仿宋_GB2312" w:hAnsi="仿宋_GB2312" w:eastAsia="仿宋_GB2312" w:cs="仿宋_GB2312"/>
                <w:bCs/>
                <w:color w:val="auto"/>
                <w:sz w:val="24"/>
                <w:szCs w:val="24"/>
                <w:lang w:eastAsia="zh-CN"/>
              </w:rPr>
              <w:t>；本项最高得</w:t>
            </w:r>
            <w:r>
              <w:rPr>
                <w:rFonts w:hint="eastAsia" w:ascii="仿宋_GB2312" w:hAnsi="仿宋_GB2312" w:eastAsia="仿宋_GB2312" w:cs="仿宋_GB2312"/>
                <w:bCs/>
                <w:color w:val="auto"/>
                <w:sz w:val="24"/>
                <w:szCs w:val="24"/>
                <w:lang w:val="en-US" w:eastAsia="zh-CN"/>
              </w:rPr>
              <w:t>15</w:t>
            </w:r>
            <w:r>
              <w:rPr>
                <w:rFonts w:hint="eastAsia" w:ascii="仿宋_GB2312" w:hAnsi="仿宋_GB2312" w:eastAsia="仿宋_GB2312" w:cs="仿宋_GB2312"/>
                <w:bCs/>
                <w:color w:val="auto"/>
                <w:sz w:val="24"/>
                <w:szCs w:val="24"/>
                <w:lang w:eastAsia="zh-CN"/>
              </w:rPr>
              <w:t>分。</w:t>
            </w:r>
          </w:p>
        </w:tc>
        <w:tc>
          <w:tcPr>
            <w:tcW w:w="3810" w:type="dxa"/>
            <w:noWrap w:val="0"/>
            <w:vAlign w:val="center"/>
          </w:tcPr>
          <w:p>
            <w:pPr>
              <w:spacing w:line="240" w:lineRule="auto"/>
              <w:jc w:val="left"/>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rPr>
              <w:t>1</w:t>
            </w:r>
            <w:r>
              <w:rPr>
                <w:rFonts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rPr>
              <w:t>需提供项目合同关键页或中标通知书复印件</w:t>
            </w:r>
            <w:r>
              <w:rPr>
                <w:rFonts w:hint="eastAsia" w:ascii="仿宋_GB2312" w:hAnsi="仿宋_GB2312" w:eastAsia="仿宋_GB2312" w:cs="仿宋_GB2312"/>
                <w:bCs/>
                <w:color w:val="auto"/>
                <w:sz w:val="24"/>
                <w:szCs w:val="24"/>
                <w:lang w:eastAsia="zh-CN"/>
              </w:rPr>
              <w:t>。</w:t>
            </w:r>
          </w:p>
          <w:p>
            <w:pPr>
              <w:spacing w:line="240" w:lineRule="auto"/>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w:t>
            </w:r>
            <w:r>
              <w:rPr>
                <w:rFonts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rPr>
              <w:t>未按要求提供或提供不清晰导致无法判断的不得分。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2" w:hRule="atLeast"/>
          <w:jc w:val="center"/>
        </w:trPr>
        <w:tc>
          <w:tcPr>
            <w:tcW w:w="465" w:type="dxa"/>
            <w:vMerge w:val="continue"/>
            <w:noWrap w:val="0"/>
            <w:vAlign w:val="center"/>
          </w:tcPr>
          <w:p>
            <w:pPr>
              <w:spacing w:line="560" w:lineRule="exact"/>
              <w:jc w:val="center"/>
              <w:rPr>
                <w:rFonts w:hint="eastAsia" w:ascii="仿宋_GB2312" w:hAnsi="仿宋_GB2312" w:eastAsia="仿宋_GB2312" w:cs="仿宋_GB2312"/>
                <w:bCs/>
                <w:color w:val="auto"/>
                <w:sz w:val="24"/>
                <w:szCs w:val="24"/>
              </w:rPr>
            </w:pPr>
          </w:p>
        </w:tc>
        <w:tc>
          <w:tcPr>
            <w:tcW w:w="1504" w:type="dxa"/>
            <w:noWrap w:val="0"/>
            <w:vAlign w:val="center"/>
          </w:tcPr>
          <w:p>
            <w:pPr>
              <w:spacing w:line="240" w:lineRule="auto"/>
              <w:jc w:val="center"/>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rPr>
              <w:t>项目</w:t>
            </w:r>
            <w:r>
              <w:rPr>
                <w:rFonts w:hint="eastAsia" w:ascii="仿宋_GB2312" w:hAnsi="仿宋_GB2312" w:eastAsia="仿宋_GB2312" w:cs="仿宋_GB2312"/>
                <w:bCs/>
                <w:color w:val="auto"/>
                <w:sz w:val="24"/>
                <w:szCs w:val="24"/>
                <w:lang w:eastAsia="zh-CN"/>
              </w:rPr>
              <w:t>人员</w:t>
            </w:r>
          </w:p>
          <w:p>
            <w:pPr>
              <w:spacing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资质</w:t>
            </w:r>
            <w:r>
              <w:rPr>
                <w:rFonts w:hint="eastAsia" w:ascii="仿宋_GB2312" w:hAnsi="仿宋_GB2312" w:eastAsia="仿宋_GB2312" w:cs="仿宋_GB2312"/>
                <w:bCs/>
                <w:color w:val="auto"/>
                <w:sz w:val="24"/>
                <w:szCs w:val="24"/>
              </w:rPr>
              <w:t>情况</w:t>
            </w:r>
          </w:p>
          <w:p>
            <w:pPr>
              <w:spacing w:line="240" w:lineRule="auto"/>
              <w:jc w:val="center"/>
              <w:rPr>
                <w:rFonts w:hint="default" w:ascii="仿宋_GB2312" w:hAnsi="仿宋_GB2312" w:eastAsia="仿宋_GB2312" w:cs="仿宋_GB2312"/>
                <w:bCs/>
                <w:color w:val="auto"/>
                <w:kern w:val="0"/>
                <w:sz w:val="24"/>
                <w:szCs w:val="24"/>
                <w:lang w:val="en-US" w:eastAsia="zh-CN" w:bidi="ar-SA"/>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val="en-US" w:eastAsia="zh-CN"/>
              </w:rPr>
              <w:t>10</w:t>
            </w:r>
            <w:r>
              <w:rPr>
                <w:rFonts w:hint="eastAsia" w:ascii="仿宋_GB2312" w:hAnsi="仿宋_GB2312" w:eastAsia="仿宋_GB2312" w:cs="仿宋_GB2312"/>
                <w:bCs/>
                <w:color w:val="auto"/>
                <w:sz w:val="24"/>
                <w:szCs w:val="24"/>
              </w:rPr>
              <w:t>分）</w:t>
            </w:r>
          </w:p>
        </w:tc>
        <w:tc>
          <w:tcPr>
            <w:tcW w:w="2981" w:type="dxa"/>
            <w:noWrap w:val="0"/>
            <w:vAlign w:val="center"/>
          </w:tcPr>
          <w:p>
            <w:pPr>
              <w:widowControl/>
              <w:numPr>
                <w:ilvl w:val="0"/>
                <w:numId w:val="0"/>
              </w:numPr>
              <w:spacing w:after="240" w:line="240" w:lineRule="auto"/>
              <w:jc w:val="left"/>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szCs w:val="24"/>
                <w:lang w:bidi="ar"/>
              </w:rPr>
              <w:t>具备</w:t>
            </w:r>
            <w:r>
              <w:rPr>
                <w:rFonts w:hint="eastAsia" w:ascii="仿宋_GB2312" w:hAnsi="仿宋_GB2312" w:eastAsia="仿宋_GB2312" w:cs="仿宋_GB2312"/>
                <w:bCs/>
                <w:color w:val="auto"/>
                <w:sz w:val="24"/>
                <w:szCs w:val="24"/>
                <w:lang w:val="en-US" w:eastAsia="zh-CN" w:bidi="ar"/>
              </w:rPr>
              <w:t>出国经验，得5分；</w:t>
            </w:r>
            <w:r>
              <w:rPr>
                <w:rFonts w:hint="eastAsia" w:ascii="仿宋_GB2312" w:hAnsi="仿宋_GB2312" w:eastAsia="仿宋_GB2312" w:cs="仿宋_GB2312"/>
                <w:bCs/>
                <w:color w:val="auto"/>
                <w:sz w:val="24"/>
                <w:szCs w:val="24"/>
              </w:rPr>
              <w:t>英语专八语言证书或雅思7分或托福100分及以上</w:t>
            </w:r>
            <w:r>
              <w:rPr>
                <w:rFonts w:hint="eastAsia" w:ascii="仿宋_GB2312" w:hAnsi="仿宋_GB2312" w:eastAsia="仿宋_GB2312" w:cs="仿宋_GB2312"/>
                <w:bCs/>
                <w:color w:val="auto"/>
                <w:sz w:val="24"/>
                <w:szCs w:val="24"/>
                <w:lang w:bidi="ar"/>
              </w:rPr>
              <w:t>的</w:t>
            </w:r>
            <w:r>
              <w:rPr>
                <w:rFonts w:hint="eastAsia" w:ascii="仿宋_GB2312" w:hAnsi="仿宋_GB2312" w:eastAsia="仿宋_GB2312" w:cs="仿宋_GB2312"/>
                <w:bCs/>
                <w:color w:val="auto"/>
                <w:sz w:val="24"/>
                <w:szCs w:val="24"/>
                <w:lang w:eastAsia="zh-CN" w:bidi="ar"/>
              </w:rPr>
              <w:t>，</w:t>
            </w:r>
            <w:r>
              <w:rPr>
                <w:rFonts w:hint="eastAsia" w:ascii="仿宋_GB2312" w:hAnsi="仿宋_GB2312" w:eastAsia="仿宋_GB2312" w:cs="仿宋_GB2312"/>
                <w:bCs/>
                <w:color w:val="auto"/>
                <w:sz w:val="24"/>
                <w:szCs w:val="24"/>
                <w:lang w:val="en-US" w:eastAsia="zh-CN" w:bidi="ar"/>
              </w:rPr>
              <w:t>1个得5分，两个得10分；</w:t>
            </w:r>
            <w:r>
              <w:rPr>
                <w:rFonts w:hint="eastAsia" w:ascii="仿宋_GB2312" w:hAnsi="仿宋_GB2312" w:eastAsia="仿宋_GB2312" w:cs="仿宋_GB2312"/>
                <w:bCs/>
                <w:color w:val="auto"/>
                <w:sz w:val="24"/>
                <w:szCs w:val="24"/>
                <w:lang w:bidi="ar"/>
              </w:rPr>
              <w:t>本项最高得</w:t>
            </w:r>
            <w:r>
              <w:rPr>
                <w:rFonts w:hint="eastAsia" w:ascii="仿宋_GB2312" w:hAnsi="仿宋_GB2312" w:eastAsia="仿宋_GB2312" w:cs="仿宋_GB2312"/>
                <w:bCs/>
                <w:color w:val="auto"/>
                <w:sz w:val="24"/>
                <w:szCs w:val="24"/>
                <w:lang w:val="en-US" w:eastAsia="zh-CN" w:bidi="ar"/>
              </w:rPr>
              <w:t>10</w:t>
            </w:r>
            <w:r>
              <w:rPr>
                <w:rFonts w:hint="eastAsia" w:ascii="仿宋_GB2312" w:hAnsi="仿宋_GB2312" w:eastAsia="仿宋_GB2312" w:cs="仿宋_GB2312"/>
                <w:bCs/>
                <w:color w:val="auto"/>
                <w:sz w:val="24"/>
                <w:szCs w:val="24"/>
                <w:lang w:bidi="ar"/>
              </w:rPr>
              <w:t>分</w:t>
            </w:r>
            <w:r>
              <w:rPr>
                <w:rFonts w:hint="eastAsia" w:ascii="仿宋_GB2312" w:hAnsi="仿宋_GB2312" w:eastAsia="仿宋_GB2312" w:cs="仿宋_GB2312"/>
                <w:bCs/>
                <w:color w:val="auto"/>
                <w:sz w:val="24"/>
                <w:szCs w:val="24"/>
                <w:lang w:eastAsia="zh-CN" w:bidi="ar"/>
              </w:rPr>
              <w:t>。</w:t>
            </w:r>
          </w:p>
        </w:tc>
        <w:tc>
          <w:tcPr>
            <w:tcW w:w="3810" w:type="dxa"/>
            <w:noWrap w:val="0"/>
            <w:vAlign w:val="center"/>
          </w:tcPr>
          <w:p>
            <w:pPr>
              <w:spacing w:line="240" w:lineRule="auto"/>
              <w:jc w:val="left"/>
              <w:rPr>
                <w:rFonts w:hint="default"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1.提供过往合同佐证材料，包含该工作人员信息；</w:t>
            </w:r>
          </w:p>
          <w:p>
            <w:pPr>
              <w:spacing w:line="240" w:lineRule="auto"/>
              <w:jc w:val="left"/>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w:t>
            </w:r>
            <w:r>
              <w:rPr>
                <w:rFonts w:hint="eastAsia" w:ascii="仿宋_GB2312" w:hAnsi="仿宋_GB2312" w:eastAsia="仿宋_GB2312" w:cs="仿宋_GB2312"/>
                <w:bCs/>
                <w:color w:val="auto"/>
                <w:sz w:val="24"/>
                <w:szCs w:val="24"/>
              </w:rPr>
              <w:t>提供人员的资质证书扫描件。</w:t>
            </w:r>
            <w:r>
              <w:rPr>
                <w:rFonts w:hint="eastAsia" w:ascii="仿宋_GB2312" w:hAnsi="仿宋_GB2312" w:eastAsia="仿宋_GB2312" w:cs="仿宋_GB2312"/>
                <w:bCs/>
                <w:color w:val="auto"/>
                <w:sz w:val="24"/>
                <w:szCs w:val="24"/>
                <w:lang w:bidi="ar"/>
              </w:rPr>
              <w:t>学历要求还须提供学历认证服务机构出具的学历验证证明或中国高等教育学生信息网（www.chsi.com.cn）验证结果截图，对于较早颁发的学历证书，学信网无法查询的，可提供其他佐证材料，如毕业院校、人社部门等颁发机构或监管机构等单位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465" w:type="dxa"/>
            <w:vMerge w:val="continue"/>
            <w:noWrap w:val="0"/>
            <w:vAlign w:val="center"/>
          </w:tcPr>
          <w:p>
            <w:pPr>
              <w:spacing w:line="560" w:lineRule="exact"/>
              <w:jc w:val="center"/>
              <w:rPr>
                <w:rFonts w:hint="eastAsia" w:ascii="仿宋_GB2312" w:hAnsi="仿宋_GB2312" w:eastAsia="仿宋_GB2312" w:cs="仿宋_GB2312"/>
                <w:bCs/>
                <w:color w:val="auto"/>
                <w:sz w:val="24"/>
                <w:szCs w:val="24"/>
              </w:rPr>
            </w:pPr>
          </w:p>
        </w:tc>
        <w:tc>
          <w:tcPr>
            <w:tcW w:w="1504" w:type="dxa"/>
            <w:noWrap w:val="0"/>
            <w:vAlign w:val="center"/>
          </w:tcPr>
          <w:p>
            <w:pPr>
              <w:spacing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服务承诺</w:t>
            </w:r>
          </w:p>
          <w:p>
            <w:pPr>
              <w:spacing w:line="240" w:lineRule="auto"/>
              <w:jc w:val="center"/>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val="en-US" w:eastAsia="zh-CN"/>
              </w:rPr>
              <w:t>2.5</w:t>
            </w:r>
            <w:r>
              <w:rPr>
                <w:rFonts w:hint="eastAsia" w:ascii="仿宋_GB2312" w:hAnsi="仿宋_GB2312" w:eastAsia="仿宋_GB2312" w:cs="仿宋_GB2312"/>
                <w:bCs/>
                <w:color w:val="auto"/>
                <w:sz w:val="24"/>
                <w:szCs w:val="24"/>
              </w:rPr>
              <w:t>分）</w:t>
            </w:r>
          </w:p>
        </w:tc>
        <w:tc>
          <w:tcPr>
            <w:tcW w:w="2981" w:type="dxa"/>
            <w:noWrap w:val="0"/>
            <w:vAlign w:val="center"/>
          </w:tcPr>
          <w:p>
            <w:pPr>
              <w:spacing w:line="240" w:lineRule="auto"/>
              <w:jc w:val="left"/>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szCs w:val="24"/>
              </w:rPr>
              <w:t>承</w:t>
            </w:r>
            <w:r>
              <w:rPr>
                <w:rFonts w:hint="eastAsia" w:ascii="仿宋_GB2312" w:hAnsi="仿宋_GB2312" w:eastAsia="仿宋_GB2312" w:cs="仿宋_GB2312"/>
                <w:bCs/>
                <w:color w:val="auto"/>
                <w:sz w:val="24"/>
                <w:szCs w:val="24"/>
                <w:lang w:bidi="ar"/>
              </w:rPr>
              <w:t>诺满足招标文件要求，保证措施合理且有针对性，有具体的</w:t>
            </w:r>
            <w:r>
              <w:rPr>
                <w:rFonts w:hint="eastAsia" w:ascii="仿宋_GB2312" w:hAnsi="仿宋_GB2312" w:eastAsia="仿宋_GB2312" w:cs="仿宋_GB2312"/>
                <w:bCs/>
                <w:color w:val="auto"/>
                <w:sz w:val="24"/>
                <w:szCs w:val="24"/>
                <w:lang w:eastAsia="zh-CN" w:bidi="ar"/>
              </w:rPr>
              <w:t>服务</w:t>
            </w:r>
            <w:r>
              <w:rPr>
                <w:rFonts w:hint="eastAsia" w:ascii="仿宋_GB2312" w:hAnsi="仿宋_GB2312" w:eastAsia="仿宋_GB2312" w:cs="仿宋_GB2312"/>
                <w:bCs/>
                <w:color w:val="auto"/>
                <w:sz w:val="24"/>
                <w:szCs w:val="24"/>
                <w:lang w:bidi="ar"/>
              </w:rPr>
              <w:t>承诺</w:t>
            </w:r>
            <w:r>
              <w:rPr>
                <w:rFonts w:hint="eastAsia" w:ascii="仿宋_GB2312" w:hAnsi="仿宋_GB2312" w:eastAsia="仿宋_GB2312" w:cs="仿宋_GB2312"/>
                <w:bCs/>
                <w:color w:val="auto"/>
                <w:sz w:val="24"/>
                <w:szCs w:val="24"/>
                <w:lang w:eastAsia="zh-CN" w:bidi="ar"/>
              </w:rPr>
              <w:t>；</w:t>
            </w:r>
            <w:r>
              <w:rPr>
                <w:rFonts w:hint="eastAsia" w:ascii="仿宋_GB2312" w:hAnsi="仿宋_GB2312" w:eastAsia="仿宋_GB2312" w:cs="仿宋_GB2312"/>
                <w:bCs/>
                <w:color w:val="auto"/>
                <w:sz w:val="24"/>
                <w:szCs w:val="24"/>
                <w:lang w:bidi="ar"/>
              </w:rPr>
              <w:t>满分</w:t>
            </w:r>
            <w:r>
              <w:rPr>
                <w:rFonts w:hint="eastAsia" w:ascii="仿宋_GB2312" w:hAnsi="仿宋_GB2312" w:eastAsia="仿宋_GB2312" w:cs="仿宋_GB2312"/>
                <w:bCs/>
                <w:color w:val="auto"/>
                <w:sz w:val="24"/>
                <w:szCs w:val="24"/>
                <w:lang w:val="en-US" w:eastAsia="zh-CN" w:bidi="ar"/>
              </w:rPr>
              <w:t>2.</w:t>
            </w:r>
            <w:r>
              <w:rPr>
                <w:rFonts w:hint="eastAsia" w:ascii="仿宋_GB2312" w:hAnsi="仿宋_GB2312" w:eastAsia="仿宋_GB2312" w:cs="仿宋_GB2312"/>
                <w:bCs/>
                <w:color w:val="auto"/>
                <w:sz w:val="24"/>
                <w:szCs w:val="24"/>
                <w:lang w:bidi="ar"/>
              </w:rPr>
              <w:t>5分。</w:t>
            </w:r>
          </w:p>
        </w:tc>
        <w:tc>
          <w:tcPr>
            <w:tcW w:w="3810" w:type="dxa"/>
            <w:noWrap w:val="0"/>
            <w:vAlign w:val="center"/>
          </w:tcPr>
          <w:p>
            <w:pPr>
              <w:spacing w:line="240" w:lineRule="auto"/>
              <w:jc w:val="left"/>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szCs w:val="24"/>
                <w:lang w:eastAsia="zh-CN"/>
              </w:rPr>
              <w:t>提供盖章版诚信承诺函，具体格式详见附件，</w:t>
            </w:r>
            <w:r>
              <w:rPr>
                <w:rFonts w:hint="eastAsia" w:ascii="仿宋_GB2312" w:hAnsi="仿宋_GB2312" w:eastAsia="仿宋_GB2312" w:cs="仿宋_GB2312"/>
                <w:bCs/>
                <w:color w:val="auto"/>
                <w:sz w:val="24"/>
                <w:szCs w:val="24"/>
                <w:highlight w:val="none"/>
              </w:rPr>
              <w:t>不符或不提供不得分</w:t>
            </w:r>
            <w:r>
              <w:rPr>
                <w:rFonts w:hint="eastAsia" w:ascii="仿宋_GB2312" w:hAnsi="仿宋_GB2312" w:eastAsia="仿宋_GB2312" w:cs="仿宋_GB2312"/>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jc w:val="center"/>
        </w:trPr>
        <w:tc>
          <w:tcPr>
            <w:tcW w:w="465" w:type="dxa"/>
            <w:vMerge w:val="continue"/>
            <w:noWrap w:val="0"/>
            <w:vAlign w:val="center"/>
          </w:tcPr>
          <w:p>
            <w:pPr>
              <w:spacing w:line="560" w:lineRule="exact"/>
              <w:jc w:val="center"/>
              <w:rPr>
                <w:rFonts w:hint="eastAsia" w:ascii="仿宋_GB2312" w:hAnsi="仿宋_GB2312" w:eastAsia="仿宋_GB2312" w:cs="仿宋_GB2312"/>
                <w:bCs/>
                <w:color w:val="auto"/>
                <w:sz w:val="24"/>
                <w:szCs w:val="24"/>
              </w:rPr>
            </w:pPr>
          </w:p>
        </w:tc>
        <w:tc>
          <w:tcPr>
            <w:tcW w:w="1504" w:type="dxa"/>
            <w:noWrap w:val="0"/>
            <w:vAlign w:val="center"/>
          </w:tcPr>
          <w:p>
            <w:pPr>
              <w:spacing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诚信承诺函</w:t>
            </w:r>
          </w:p>
          <w:p>
            <w:pPr>
              <w:spacing w:line="240" w:lineRule="auto"/>
              <w:jc w:val="center"/>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val="en-US" w:eastAsia="zh-CN"/>
              </w:rPr>
              <w:t>2.5</w:t>
            </w:r>
            <w:r>
              <w:rPr>
                <w:rFonts w:hint="eastAsia" w:ascii="仿宋_GB2312" w:hAnsi="仿宋_GB2312" w:eastAsia="仿宋_GB2312" w:cs="仿宋_GB2312"/>
                <w:bCs/>
                <w:color w:val="auto"/>
                <w:sz w:val="24"/>
                <w:szCs w:val="24"/>
              </w:rPr>
              <w:t>分）</w:t>
            </w:r>
          </w:p>
        </w:tc>
        <w:tc>
          <w:tcPr>
            <w:tcW w:w="2981" w:type="dxa"/>
            <w:noWrap w:val="0"/>
            <w:vAlign w:val="center"/>
          </w:tcPr>
          <w:p>
            <w:pPr>
              <w:spacing w:after="240" w:line="240" w:lineRule="auto"/>
              <w:jc w:val="both"/>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rPr>
              <w:t>根据《深圳市财政委员会关于加强招投标评审环节诚信管理的通知》（深财购</w:t>
            </w:r>
            <w:r>
              <w:rPr>
                <w:rFonts w:ascii="仿宋_GB2312" w:hAnsi="仿宋_GB2312" w:eastAsia="仿宋_GB2312" w:cs="仿宋_GB2312"/>
                <w:bCs/>
                <w:color w:val="auto"/>
                <w:sz w:val="24"/>
                <w:szCs w:val="24"/>
              </w:rPr>
              <w:t>[2013]27号）相关规定，投标人在参与政府采购活动中出现诚信相关问题且在相关主管部门处理措施实施期限内的本项不得分，否则得满分</w:t>
            </w:r>
            <w:r>
              <w:rPr>
                <w:rFonts w:hint="eastAsia" w:ascii="仿宋_GB2312" w:hAnsi="仿宋_GB2312" w:eastAsia="仿宋_GB2312" w:cs="仿宋_GB2312"/>
                <w:bCs/>
                <w:color w:val="auto"/>
                <w:sz w:val="24"/>
                <w:szCs w:val="24"/>
                <w:lang w:val="en-US" w:eastAsia="zh-CN"/>
              </w:rPr>
              <w:t>2.5分</w:t>
            </w:r>
            <w:r>
              <w:rPr>
                <w:rFonts w:ascii="仿宋_GB2312" w:hAnsi="仿宋_GB2312" w:eastAsia="仿宋_GB2312" w:cs="仿宋_GB2312"/>
                <w:bCs/>
                <w:color w:val="auto"/>
                <w:sz w:val="24"/>
                <w:szCs w:val="24"/>
              </w:rPr>
              <w:t>。</w:t>
            </w:r>
          </w:p>
        </w:tc>
        <w:tc>
          <w:tcPr>
            <w:tcW w:w="3810" w:type="dxa"/>
            <w:noWrap w:val="0"/>
            <w:vAlign w:val="center"/>
          </w:tcPr>
          <w:p>
            <w:pPr>
              <w:numPr>
                <w:ilvl w:val="0"/>
                <w:numId w:val="0"/>
              </w:numPr>
              <w:spacing w:after="240" w:line="240" w:lineRule="auto"/>
              <w:ind w:left="0" w:leftChars="0" w:firstLine="0" w:firstLineChars="0"/>
              <w:jc w:val="left"/>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highlight w:val="none"/>
              </w:rPr>
              <w:t>提供</w:t>
            </w:r>
            <w:r>
              <w:rPr>
                <w:rFonts w:hint="eastAsia" w:ascii="仿宋_GB2312" w:hAnsi="仿宋_GB2312" w:eastAsia="仿宋_GB2312" w:cs="仿宋_GB2312"/>
                <w:bCs/>
                <w:color w:val="auto"/>
                <w:sz w:val="24"/>
                <w:szCs w:val="24"/>
                <w:lang w:eastAsia="zh-CN"/>
              </w:rPr>
              <w:t>盖章版</w:t>
            </w:r>
            <w:r>
              <w:rPr>
                <w:rFonts w:hint="eastAsia" w:ascii="仿宋_GB2312" w:hAnsi="仿宋_GB2312" w:eastAsia="仿宋_GB2312" w:cs="仿宋_GB2312"/>
                <w:bCs/>
                <w:color w:val="auto"/>
                <w:sz w:val="24"/>
                <w:szCs w:val="24"/>
                <w:highlight w:val="none"/>
              </w:rPr>
              <w:t>诚信承诺函，</w:t>
            </w:r>
            <w:r>
              <w:rPr>
                <w:rFonts w:hint="eastAsia" w:ascii="仿宋_GB2312" w:hAnsi="仿宋_GB2312" w:eastAsia="仿宋_GB2312" w:cs="仿宋_GB2312"/>
                <w:bCs/>
                <w:color w:val="auto"/>
                <w:sz w:val="24"/>
                <w:szCs w:val="24"/>
                <w:lang w:eastAsia="zh-CN"/>
              </w:rPr>
              <w:t>具体格式详见附件</w:t>
            </w:r>
            <w:r>
              <w:rPr>
                <w:rFonts w:hint="eastAsia" w:ascii="仿宋_GB2312" w:hAnsi="仿宋_GB2312" w:eastAsia="仿宋_GB2312" w:cs="仿宋_GB2312"/>
                <w:bCs/>
                <w:color w:val="auto"/>
                <w:sz w:val="24"/>
                <w:szCs w:val="24"/>
                <w:highlight w:val="none"/>
              </w:rPr>
              <w:t>，不符或不提供不得分</w:t>
            </w:r>
            <w:r>
              <w:rPr>
                <w:rFonts w:hint="eastAsia" w:ascii="仿宋_GB2312" w:hAnsi="仿宋_GB2312" w:eastAsia="仿宋_GB2312" w:cs="仿宋_GB2312"/>
                <w:bCs/>
                <w:color w:val="auto"/>
                <w:sz w:val="24"/>
                <w:szCs w:val="24"/>
                <w:highlight w:val="none"/>
                <w:lang w:eastAsia="zh-CN"/>
              </w:rPr>
              <w:t>。</w:t>
            </w:r>
          </w:p>
        </w:tc>
      </w:tr>
    </w:tbl>
    <w:p>
      <w:pPr>
        <w:spacing w:line="560" w:lineRule="exact"/>
        <w:rPr>
          <w:rFonts w:hint="eastAsia" w:ascii="仿宋_GB2312" w:eastAsia="仿宋_GB2312"/>
          <w:b/>
          <w:bCs/>
          <w:color w:val="auto"/>
          <w:sz w:val="32"/>
          <w:szCs w:val="32"/>
        </w:rPr>
      </w:pPr>
      <w:r>
        <w:rPr>
          <w:rFonts w:hint="eastAsia" w:ascii="仿宋_GB2312" w:eastAsia="仿宋_GB2312"/>
          <w:b/>
          <w:bCs/>
          <w:color w:val="auto"/>
          <w:sz w:val="32"/>
          <w:szCs w:val="32"/>
        </w:rPr>
        <w:t>2.技术能力</w:t>
      </w:r>
    </w:p>
    <w:tbl>
      <w:tblPr>
        <w:tblStyle w:val="7"/>
        <w:tblpPr w:leftFromText="180" w:rightFromText="180" w:vertAnchor="text" w:horzAnchor="page" w:tblpX="1754" w:tblpY="907"/>
        <w:tblOverlap w:val="never"/>
        <w:tblW w:w="8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320"/>
        <w:gridCol w:w="4230"/>
        <w:gridCol w:w="2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060" w:type="dxa"/>
            <w:gridSpan w:val="3"/>
            <w:noWrap w:val="0"/>
            <w:vAlign w:val="center"/>
          </w:tcPr>
          <w:p>
            <w:pPr>
              <w:widowControl/>
              <w:spacing w:line="240" w:lineRule="auto"/>
              <w:jc w:val="center"/>
              <w:rPr>
                <w:rFonts w:hint="eastAsia" w:ascii="仿宋_GB2312" w:hAnsi="仿宋_GB2312" w:eastAsia="仿宋_GB2312" w:cs="仿宋_GB2312"/>
                <w:b/>
                <w:bCs w:val="0"/>
                <w:color w:val="auto"/>
                <w:kern w:val="0"/>
                <w:sz w:val="24"/>
                <w:szCs w:val="24"/>
              </w:rPr>
            </w:pPr>
            <w:r>
              <w:rPr>
                <w:rFonts w:hint="eastAsia" w:ascii="仿宋_GB2312" w:hAnsi="仿宋_GB2312" w:eastAsia="仿宋_GB2312" w:cs="仿宋_GB2312"/>
                <w:b/>
                <w:bCs w:val="0"/>
                <w:color w:val="auto"/>
                <w:kern w:val="0"/>
                <w:sz w:val="24"/>
                <w:szCs w:val="24"/>
              </w:rPr>
              <w:t>项目</w:t>
            </w:r>
          </w:p>
        </w:tc>
        <w:tc>
          <w:tcPr>
            <w:tcW w:w="2673" w:type="dxa"/>
            <w:noWrap w:val="0"/>
            <w:vAlign w:val="center"/>
          </w:tcPr>
          <w:p>
            <w:pPr>
              <w:widowControl/>
              <w:spacing w:line="240" w:lineRule="auto"/>
              <w:jc w:val="center"/>
              <w:rPr>
                <w:rFonts w:hint="eastAsia" w:ascii="仿宋_GB2312" w:hAnsi="仿宋_GB2312" w:eastAsia="仿宋_GB2312" w:cs="仿宋_GB2312"/>
                <w:b/>
                <w:bCs w:val="0"/>
                <w:color w:val="auto"/>
                <w:kern w:val="0"/>
                <w:sz w:val="24"/>
                <w:szCs w:val="24"/>
              </w:rPr>
            </w:pPr>
            <w:r>
              <w:rPr>
                <w:rFonts w:hint="eastAsia" w:ascii="仿宋_GB2312" w:hAnsi="仿宋_GB2312" w:eastAsia="仿宋_GB2312" w:cs="仿宋_GB2312"/>
                <w:b/>
                <w:bCs w:val="0"/>
                <w:color w:val="auto"/>
                <w:kern w:val="0"/>
                <w:sz w:val="24"/>
                <w:szCs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5" w:hRule="atLeast"/>
        </w:trPr>
        <w:tc>
          <w:tcPr>
            <w:tcW w:w="510" w:type="dxa"/>
            <w:vMerge w:val="restart"/>
            <w:noWrap w:val="0"/>
            <w:vAlign w:val="center"/>
          </w:tcPr>
          <w:p>
            <w:pPr>
              <w:spacing w:line="560" w:lineRule="exact"/>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color w:val="auto"/>
                <w:sz w:val="24"/>
                <w:szCs w:val="24"/>
              </w:rPr>
              <w:t>技术能力</w:t>
            </w:r>
          </w:p>
        </w:tc>
        <w:tc>
          <w:tcPr>
            <w:tcW w:w="1320" w:type="dxa"/>
            <w:noWrap w:val="0"/>
            <w:vAlign w:val="center"/>
          </w:tcPr>
          <w:p>
            <w:pPr>
              <w:spacing w:line="400" w:lineRule="exact"/>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项目</w:t>
            </w:r>
            <w:r>
              <w:rPr>
                <w:rFonts w:hint="eastAsia" w:ascii="仿宋_GB2312" w:hAnsi="仿宋_GB2312" w:eastAsia="仿宋_GB2312" w:cs="仿宋_GB2312"/>
                <w:bCs/>
                <w:color w:val="auto"/>
                <w:sz w:val="24"/>
                <w:szCs w:val="24"/>
              </w:rPr>
              <w:t>方案</w:t>
            </w:r>
          </w:p>
          <w:p>
            <w:pPr>
              <w:spacing w:line="400" w:lineRule="exact"/>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30分</w:t>
            </w:r>
            <w:r>
              <w:rPr>
                <w:rFonts w:hint="eastAsia" w:ascii="仿宋_GB2312" w:hAnsi="仿宋_GB2312" w:eastAsia="仿宋_GB2312" w:cs="仿宋_GB2312"/>
                <w:bCs/>
                <w:color w:val="auto"/>
                <w:sz w:val="24"/>
                <w:szCs w:val="24"/>
                <w:lang w:eastAsia="zh-CN"/>
              </w:rPr>
              <w:t>）</w:t>
            </w:r>
          </w:p>
        </w:tc>
        <w:tc>
          <w:tcPr>
            <w:tcW w:w="4230" w:type="dxa"/>
            <w:noWrap w:val="0"/>
            <w:vAlign w:val="center"/>
          </w:tcPr>
          <w:p>
            <w:pPr>
              <w:numPr>
                <w:ilvl w:val="0"/>
                <w:numId w:val="0"/>
              </w:numPr>
              <w:spacing w:after="0" w:line="400" w:lineRule="exact"/>
              <w:jc w:val="left"/>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（一）投标人应根据采购文件服务需求，提供合理的项目策划方案</w:t>
            </w:r>
            <w:r>
              <w:rPr>
                <w:rFonts w:hint="eastAsia" w:ascii="仿宋_GB2312" w:hAnsi="仿宋_GB2312" w:eastAsia="仿宋_GB2312" w:cs="仿宋_GB2312"/>
                <w:b/>
                <w:bCs w:val="0"/>
                <w:color w:val="auto"/>
                <w:kern w:val="2"/>
                <w:sz w:val="24"/>
                <w:szCs w:val="24"/>
                <w:highlight w:val="none"/>
                <w:lang w:eastAsia="zh-CN"/>
              </w:rPr>
              <w:t>，</w:t>
            </w:r>
            <w:r>
              <w:rPr>
                <w:rFonts w:hint="eastAsia" w:ascii="仿宋_GB2312" w:hAnsi="仿宋_GB2312" w:eastAsia="仿宋_GB2312" w:cs="仿宋_GB2312"/>
                <w:b/>
                <w:bCs w:val="0"/>
                <w:color w:val="auto"/>
                <w:sz w:val="24"/>
                <w:szCs w:val="24"/>
                <w:highlight w:val="none"/>
                <w:lang w:val="en-US" w:eastAsia="zh-CN"/>
              </w:rPr>
              <w:t>内容包括但不限于：</w:t>
            </w:r>
          </w:p>
          <w:p>
            <w:pPr>
              <w:numPr>
                <w:ilvl w:val="0"/>
                <w:numId w:val="0"/>
              </w:numPr>
              <w:spacing w:after="0" w:line="400" w:lineRule="exact"/>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（1）项目整体规划方案；</w:t>
            </w:r>
          </w:p>
          <w:p>
            <w:pPr>
              <w:numPr>
                <w:ilvl w:val="0"/>
                <w:numId w:val="0"/>
              </w:numPr>
              <w:spacing w:after="0" w:line="400" w:lineRule="exact"/>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（2）项目前期准备工作措施；</w:t>
            </w:r>
          </w:p>
          <w:p>
            <w:pPr>
              <w:numPr>
                <w:ilvl w:val="0"/>
                <w:numId w:val="0"/>
              </w:numPr>
              <w:spacing w:after="0" w:line="400" w:lineRule="exact"/>
              <w:ind w:leftChars="0"/>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（3）项目各阶段任务分析；</w:t>
            </w:r>
          </w:p>
          <w:p>
            <w:pPr>
              <w:numPr>
                <w:ilvl w:val="0"/>
                <w:numId w:val="0"/>
              </w:numPr>
              <w:spacing w:after="0" w:line="400" w:lineRule="exact"/>
              <w:ind w:leftChars="0"/>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（4）项目开展实施保障计划；</w:t>
            </w:r>
          </w:p>
          <w:p>
            <w:pPr>
              <w:numPr>
                <w:ilvl w:val="0"/>
                <w:numId w:val="0"/>
              </w:numPr>
              <w:spacing w:after="0" w:line="400" w:lineRule="exact"/>
              <w:ind w:leftChars="0"/>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（5）突发情况应急预案</w:t>
            </w:r>
            <w:r>
              <w:rPr>
                <w:rFonts w:hint="eastAsia" w:ascii="仿宋_GB2312" w:hAnsi="仿宋_GB2312" w:eastAsia="仿宋_GB2312" w:cs="仿宋_GB2312"/>
                <w:bCs/>
                <w:color w:val="auto"/>
                <w:sz w:val="24"/>
                <w:szCs w:val="24"/>
                <w:highlight w:val="none"/>
                <w:lang w:val="en-US" w:eastAsia="zh-CN"/>
              </w:rPr>
              <w:t>等。</w:t>
            </w:r>
          </w:p>
          <w:p>
            <w:pPr>
              <w:spacing w:after="0" w:line="400" w:lineRule="exact"/>
              <w:jc w:val="left"/>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（二）在此基础上，由评标委员会对实施方案进一步评审：</w:t>
            </w:r>
          </w:p>
          <w:p>
            <w:pPr>
              <w:spacing w:after="0" w:line="400" w:lineRule="exact"/>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（1）实施方案内容全面。</w:t>
            </w:r>
          </w:p>
          <w:p>
            <w:pPr>
              <w:spacing w:after="0" w:line="400" w:lineRule="exact"/>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（2）实施方案内容具体。</w:t>
            </w:r>
          </w:p>
          <w:p>
            <w:pPr>
              <w:spacing w:after="0" w:line="400" w:lineRule="exact"/>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（3）实施方案内容科学合理。</w:t>
            </w:r>
          </w:p>
          <w:p>
            <w:pPr>
              <w:spacing w:after="0" w:line="400" w:lineRule="exact"/>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（4）实施方案内容针对性强。</w:t>
            </w:r>
          </w:p>
          <w:p>
            <w:pPr>
              <w:spacing w:after="0" w:line="400" w:lineRule="exact"/>
              <w:jc w:val="left"/>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（5）实施方案内容可操作性强。</w:t>
            </w:r>
          </w:p>
        </w:tc>
        <w:tc>
          <w:tcPr>
            <w:tcW w:w="2673" w:type="dxa"/>
            <w:noWrap w:val="0"/>
            <w:vAlign w:val="center"/>
          </w:tcPr>
          <w:p>
            <w:pPr>
              <w:keepNext w:val="0"/>
              <w:keepLines w:val="0"/>
              <w:widowControl/>
              <w:suppressLineNumbers w:val="0"/>
              <w:jc w:val="left"/>
              <w:textAlignment w:val="center"/>
              <w:rPr>
                <w:rFonts w:hint="eastAsia"/>
              </w:rPr>
            </w:pPr>
            <w:r>
              <w:rPr>
                <w:rFonts w:hint="eastAsia" w:ascii="仿宋_GB2312" w:hAnsi="宋体" w:eastAsia="仿宋_GB2312" w:cs="仿宋_GB2312"/>
                <w:i w:val="0"/>
                <w:iCs w:val="0"/>
                <w:color w:val="000000"/>
                <w:kern w:val="0"/>
                <w:sz w:val="24"/>
                <w:szCs w:val="24"/>
                <w:u w:val="none"/>
                <w:lang w:val="en-US" w:eastAsia="zh-CN" w:bidi="ar"/>
              </w:rPr>
              <w:t>（一）满足以上任意一项内容得6分，最高30分。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二）优评分标准：满足以上五项要求的评价为优，得30分。良评分标准：满足以上四项要求的评价为良，得24分。中评分标准：满足以上三项要求的评价为中，得18分。差评分标准：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9" w:hRule="atLeast"/>
        </w:trPr>
        <w:tc>
          <w:tcPr>
            <w:tcW w:w="510" w:type="dxa"/>
            <w:vMerge w:val="continue"/>
            <w:noWrap w:val="0"/>
            <w:vAlign w:val="center"/>
          </w:tcPr>
          <w:p>
            <w:pPr>
              <w:spacing w:line="560" w:lineRule="exact"/>
              <w:jc w:val="center"/>
              <w:rPr>
                <w:rFonts w:hint="eastAsia" w:ascii="仿宋_GB2312" w:hAnsi="仿宋_GB2312" w:eastAsia="仿宋_GB2312" w:cs="仿宋_GB2312"/>
                <w:bCs/>
                <w:color w:val="auto"/>
                <w:sz w:val="24"/>
                <w:szCs w:val="24"/>
              </w:rPr>
            </w:pPr>
          </w:p>
        </w:tc>
        <w:tc>
          <w:tcPr>
            <w:tcW w:w="1320"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项目重点</w:t>
            </w:r>
          </w:p>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难点分析</w:t>
            </w:r>
          </w:p>
          <w:p>
            <w:pPr>
              <w:keepNext w:val="0"/>
              <w:keepLines w:val="0"/>
              <w:spacing w:line="400" w:lineRule="exact"/>
              <w:jc w:val="center"/>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10分</w:t>
            </w:r>
            <w:r>
              <w:rPr>
                <w:rFonts w:hint="eastAsia" w:ascii="仿宋_GB2312" w:hAnsi="仿宋_GB2312" w:eastAsia="仿宋_GB2312" w:cs="仿宋_GB2312"/>
                <w:b w:val="0"/>
                <w:bCs/>
                <w:color w:val="auto"/>
                <w:sz w:val="24"/>
                <w:szCs w:val="24"/>
                <w:highlight w:val="none"/>
                <w:lang w:eastAsia="zh-CN"/>
              </w:rPr>
              <w:t>）</w:t>
            </w:r>
          </w:p>
        </w:tc>
        <w:tc>
          <w:tcPr>
            <w:tcW w:w="4230" w:type="dxa"/>
            <w:noWrap w:val="0"/>
            <w:vAlign w:val="center"/>
          </w:tcPr>
          <w:p>
            <w:pPr>
              <w:numPr>
                <w:ilvl w:val="0"/>
                <w:numId w:val="0"/>
              </w:numPr>
              <w:spacing w:after="0" w:line="400" w:lineRule="exact"/>
              <w:jc w:val="left"/>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（一）投标人应根据采购文件服务需求，</w:t>
            </w:r>
            <w:r>
              <w:rPr>
                <w:rFonts w:hint="eastAsia" w:ascii="仿宋_GB2312" w:hAnsi="仿宋_GB2312" w:eastAsia="仿宋_GB2312" w:cs="仿宋_GB2312"/>
                <w:b/>
                <w:bCs w:val="0"/>
                <w:color w:val="000000"/>
                <w:sz w:val="24"/>
                <w:szCs w:val="24"/>
                <w:highlight w:val="none"/>
                <w:lang w:eastAsia="zh-CN"/>
              </w:rPr>
              <w:t>提供</w:t>
            </w:r>
            <w:r>
              <w:rPr>
                <w:rFonts w:hint="eastAsia" w:ascii="仿宋_GB2312" w:hAnsi="仿宋_GB2312" w:eastAsia="仿宋_GB2312" w:cs="仿宋_GB2312"/>
                <w:b/>
                <w:bCs w:val="0"/>
                <w:color w:val="auto"/>
                <w:sz w:val="24"/>
                <w:szCs w:val="24"/>
                <w:highlight w:val="none"/>
                <w:lang w:val="en-US" w:eastAsia="zh-CN"/>
              </w:rPr>
              <w:t>本项目相关重点难点分析、应对措施及合理化建议，内容包括但不限于：</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（1）重点难点分析；</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（2）应对措施；</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（3）合理化建议。</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（二）在此基础上，由评标委员会对实施方案进一步评审：</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（1）建议内容全面。</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（2）建议内容具体。</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（3）建议内容科学合理。</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（4）建议内容针对性强。</w:t>
            </w:r>
          </w:p>
          <w:p>
            <w:pPr>
              <w:keepNext w:val="0"/>
              <w:keepLines w:val="0"/>
              <w:pageBreakBefore w:val="0"/>
              <w:kinsoku/>
              <w:wordWrap/>
              <w:overflowPunct/>
              <w:topLinePunct w:val="0"/>
              <w:autoSpaceDE/>
              <w:autoSpaceDN/>
              <w:bidi w:val="0"/>
              <w:spacing w:line="400" w:lineRule="exact"/>
              <w:jc w:val="left"/>
              <w:textAlignment w:val="auto"/>
              <w:rPr>
                <w:rFonts w:hint="default" w:ascii="仿宋_GB2312" w:hAnsi="仿宋_GB2312" w:eastAsia="仿宋_GB2312" w:cs="仿宋_GB2312"/>
                <w:bCs/>
                <w:color w:val="auto"/>
                <w:sz w:val="24"/>
                <w:szCs w:val="24"/>
                <w:highlight w:val="none"/>
                <w:lang w:val="en-US"/>
              </w:rPr>
            </w:pPr>
            <w:r>
              <w:rPr>
                <w:rFonts w:hint="eastAsia" w:ascii="仿宋_GB2312" w:hAnsi="仿宋_GB2312" w:eastAsia="仿宋_GB2312" w:cs="仿宋_GB2312"/>
                <w:b w:val="0"/>
                <w:bCs/>
                <w:color w:val="auto"/>
                <w:sz w:val="24"/>
                <w:szCs w:val="24"/>
                <w:highlight w:val="none"/>
                <w:lang w:val="en-US" w:eastAsia="zh-CN"/>
              </w:rPr>
              <w:t>（5）建议内容可操作性强。</w:t>
            </w:r>
          </w:p>
        </w:tc>
        <w:tc>
          <w:tcPr>
            <w:tcW w:w="2673" w:type="dxa"/>
            <w:noWrap w:val="0"/>
            <w:vAlign w:val="center"/>
          </w:tcPr>
          <w:p>
            <w:pPr>
              <w:keepNext w:val="0"/>
              <w:keepLines w:val="0"/>
              <w:widowControl/>
              <w:suppressLineNumbers w:val="0"/>
              <w:jc w:val="left"/>
              <w:textAlignment w:val="center"/>
              <w:rPr>
                <w:rFonts w:hint="eastAsia"/>
                <w:lang w:val="en-US" w:eastAsia="zh-CN"/>
              </w:rPr>
            </w:pPr>
            <w:r>
              <w:rPr>
                <w:rFonts w:hint="eastAsia" w:ascii="仿宋_GB2312" w:hAnsi="宋体" w:eastAsia="仿宋_GB2312" w:cs="仿宋_GB2312"/>
                <w:i w:val="0"/>
                <w:iCs w:val="0"/>
                <w:color w:val="000000"/>
                <w:kern w:val="0"/>
                <w:sz w:val="24"/>
                <w:szCs w:val="24"/>
                <w:u w:val="none"/>
                <w:lang w:val="en-US" w:eastAsia="zh-CN" w:bidi="ar"/>
              </w:rPr>
              <w:t>（一）满足以上任意一项内容得2分，最高10分。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二）优评分标准：满足以上五项要求的评价为优，得10分。良评分标准：满足以上四项要求的评价为良，得8分。中评分标准：满足以上三项要求的评价为中，得6分。差评分标准：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510" w:type="dxa"/>
            <w:vMerge w:val="continue"/>
            <w:noWrap w:val="0"/>
            <w:vAlign w:val="center"/>
          </w:tcPr>
          <w:p>
            <w:pPr>
              <w:spacing w:line="560" w:lineRule="exact"/>
              <w:jc w:val="center"/>
              <w:rPr>
                <w:rFonts w:hint="eastAsia" w:ascii="仿宋_GB2312" w:hAnsi="仿宋_GB2312" w:eastAsia="仿宋_GB2312" w:cs="仿宋_GB2312"/>
                <w:bCs/>
                <w:color w:val="auto"/>
                <w:sz w:val="24"/>
                <w:szCs w:val="24"/>
              </w:rPr>
            </w:pPr>
          </w:p>
        </w:tc>
        <w:tc>
          <w:tcPr>
            <w:tcW w:w="1320" w:type="dxa"/>
            <w:noWrap w:val="0"/>
            <w:vAlign w:val="center"/>
          </w:tcPr>
          <w:p>
            <w:pPr>
              <w:jc w:val="center"/>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成果</w:t>
            </w:r>
          </w:p>
          <w:p>
            <w:pPr>
              <w:jc w:val="center"/>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w:t>
            </w:r>
            <w:r>
              <w:rPr>
                <w:rFonts w:hint="eastAsia" w:ascii="仿宋_GB2312" w:hAnsi="仿宋_GB2312" w:eastAsia="仿宋_GB2312" w:cs="仿宋_GB2312"/>
                <w:b w:val="0"/>
                <w:bCs/>
                <w:color w:val="000000"/>
                <w:sz w:val="24"/>
                <w:szCs w:val="24"/>
                <w:highlight w:val="none"/>
                <w:lang w:val="en-US" w:eastAsia="zh-CN"/>
              </w:rPr>
              <w:t>10分</w:t>
            </w:r>
            <w:r>
              <w:rPr>
                <w:rFonts w:hint="eastAsia" w:ascii="仿宋_GB2312" w:hAnsi="仿宋_GB2312" w:eastAsia="仿宋_GB2312" w:cs="仿宋_GB2312"/>
                <w:b w:val="0"/>
                <w:bCs/>
                <w:color w:val="000000"/>
                <w:sz w:val="24"/>
                <w:szCs w:val="24"/>
                <w:highlight w:val="none"/>
                <w:lang w:eastAsia="zh-CN"/>
              </w:rPr>
              <w:t>）</w:t>
            </w:r>
          </w:p>
        </w:tc>
        <w:tc>
          <w:tcPr>
            <w:tcW w:w="4230" w:type="dxa"/>
            <w:noWrap w:val="0"/>
            <w:vAlign w:val="center"/>
          </w:tcPr>
          <w:p>
            <w:pPr>
              <w:rPr>
                <w:rFonts w:hint="eastAsia"/>
                <w:lang w:val="en-US" w:eastAsia="zh-CN"/>
              </w:rPr>
            </w:pPr>
            <w:r>
              <w:rPr>
                <w:rFonts w:hint="eastAsia" w:ascii="仿宋_GB2312" w:hAnsi="仿宋_GB2312" w:eastAsia="仿宋_GB2312" w:cs="仿宋_GB2312"/>
                <w:b w:val="0"/>
                <w:bCs/>
                <w:color w:val="000000"/>
                <w:sz w:val="24"/>
                <w:szCs w:val="24"/>
                <w:highlight w:val="none"/>
                <w:lang w:eastAsia="zh-CN"/>
              </w:rPr>
              <w:t>项目预期效果与项目需求的切合程度</w:t>
            </w:r>
          </w:p>
        </w:tc>
        <w:tc>
          <w:tcPr>
            <w:tcW w:w="2673" w:type="dxa"/>
            <w:noWrap w:val="0"/>
            <w:vAlign w:val="center"/>
          </w:tcPr>
          <w:p>
            <w:pPr>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000000"/>
                <w:sz w:val="24"/>
                <w:szCs w:val="24"/>
                <w:highlight w:val="none"/>
                <w:lang w:eastAsia="zh-CN"/>
              </w:rPr>
              <w:t>提供预期项目成果</w:t>
            </w:r>
          </w:p>
        </w:tc>
      </w:tr>
    </w:tbl>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.报价</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以本次</w:t>
      </w:r>
      <w:r>
        <w:rPr>
          <w:rFonts w:hint="eastAsia" w:ascii="仿宋_GB2312" w:hAnsi="仿宋" w:eastAsia="仿宋_GB2312" w:cs="仿宋_GB2312"/>
          <w:color w:val="auto"/>
          <w:sz w:val="32"/>
          <w:szCs w:val="32"/>
        </w:rPr>
        <w:t>报价或投标</w:t>
      </w:r>
      <w:r>
        <w:rPr>
          <w:rFonts w:hint="eastAsia" w:ascii="仿宋_GB2312" w:eastAsia="仿宋_GB2312"/>
          <w:color w:val="auto"/>
          <w:sz w:val="32"/>
          <w:szCs w:val="32"/>
        </w:rPr>
        <w:t>人所报的有效报价中的最低价作为基准报价。投标人报价得分=（基准价/投标人报价）*</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分。</w:t>
      </w:r>
      <w:r>
        <w:rPr>
          <w:rFonts w:hint="eastAsia" w:ascii="仿宋_GB2312" w:eastAsia="仿宋_GB2312"/>
          <w:color w:val="auto"/>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42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color w:val="auto"/>
        </w:rPr>
        <w:t xml:space="preserve">  </w:t>
      </w:r>
      <w:r>
        <w:rPr>
          <w:rFonts w:hint="eastAsia" w:ascii="楷体_GB2312" w:hAnsi="楷体_GB2312" w:eastAsia="楷体_GB2312" w:cs="楷体_GB2312"/>
          <w:color w:val="auto"/>
          <w:sz w:val="32"/>
          <w:szCs w:val="32"/>
          <w:highlight w:val="none"/>
          <w:lang w:eastAsia="zh-CN"/>
        </w:rPr>
        <w:t>（四）采购评审小组构成</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pPr>
      <w:r>
        <w:rPr>
          <w:rFonts w:hint="eastAsia" w:ascii="仿宋_GB2312" w:hAnsi="仿宋" w:eastAsia="仿宋_GB2312" w:cs="仿宋_GB2312"/>
          <w:color w:val="auto"/>
          <w:sz w:val="32"/>
          <w:szCs w:val="32"/>
          <w:highlight w:val="none"/>
        </w:rPr>
        <w:t>采购评审小组</w:t>
      </w:r>
      <w:r>
        <w:rPr>
          <w:rFonts w:hint="eastAsia" w:ascii="仿宋_GB2312" w:hAnsi="仿宋" w:eastAsia="仿宋_GB2312" w:cs="仿宋_GB2312"/>
          <w:color w:val="auto"/>
          <w:sz w:val="32"/>
          <w:szCs w:val="32"/>
          <w:highlight w:val="none"/>
          <w:lang w:eastAsia="zh-CN"/>
        </w:rPr>
        <w:t>为</w:t>
      </w:r>
      <w:r>
        <w:rPr>
          <w:rFonts w:hint="eastAsia" w:ascii="仿宋_GB2312" w:hAnsi="仿宋" w:eastAsia="仿宋_GB2312" w:cs="仿宋_GB2312"/>
          <w:color w:val="auto"/>
          <w:sz w:val="32"/>
          <w:szCs w:val="32"/>
          <w:highlight w:val="none"/>
          <w:lang w:val="en-US" w:eastAsia="zh-CN"/>
        </w:rPr>
        <w:t>5</w:t>
      </w:r>
      <w:r>
        <w:rPr>
          <w:rFonts w:hint="eastAsia" w:ascii="仿宋_GB2312" w:hAnsi="仿宋" w:eastAsia="仿宋_GB2312" w:cs="仿宋_GB2312"/>
          <w:color w:val="auto"/>
          <w:sz w:val="32"/>
          <w:szCs w:val="32"/>
          <w:highlight w:val="none"/>
        </w:rPr>
        <w:t>人</w:t>
      </w:r>
      <w:r>
        <w:rPr>
          <w:rFonts w:hint="eastAsia" w:ascii="仿宋_GB2312" w:hAnsi="仿宋" w:eastAsia="仿宋_GB2312" w:cs="仿宋_GB2312"/>
          <w:color w:val="auto"/>
          <w:sz w:val="32"/>
          <w:szCs w:val="32"/>
          <w:highlight w:val="none"/>
          <w:lang w:val="en-US" w:eastAsia="zh-CN"/>
        </w:rPr>
        <w:t>，由龙华区工业和信息化局各科室（中心）代表（在编人员）5人，随机抽签选择。</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P8/A0c4AgAAbwQAAA4AAAAAAAAA&#10;AQAgAAAANQEAAGRycy9lMm9Eb2MueG1sUEsFBgAAAAAGAAYAWQEAAN8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D1271"/>
    <w:multiLevelType w:val="singleLevel"/>
    <w:tmpl w:val="FFFD127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FF786CF"/>
    <w:rsid w:val="17DA6664"/>
    <w:rsid w:val="1A86D6DC"/>
    <w:rsid w:val="1AFC601D"/>
    <w:rsid w:val="1CDADC48"/>
    <w:rsid w:val="1FED0B83"/>
    <w:rsid w:val="1FFD6093"/>
    <w:rsid w:val="29E772F1"/>
    <w:rsid w:val="2B931AB8"/>
    <w:rsid w:val="2FD8D3BC"/>
    <w:rsid w:val="35FBE245"/>
    <w:rsid w:val="36F34AB8"/>
    <w:rsid w:val="37AFFE54"/>
    <w:rsid w:val="3AF3B723"/>
    <w:rsid w:val="3BA7B925"/>
    <w:rsid w:val="3EF1F4B6"/>
    <w:rsid w:val="3F7F3702"/>
    <w:rsid w:val="3FB9DEE1"/>
    <w:rsid w:val="3FFF153F"/>
    <w:rsid w:val="41CD08E9"/>
    <w:rsid w:val="4A1947CF"/>
    <w:rsid w:val="4D038BB3"/>
    <w:rsid w:val="4EAA6DA4"/>
    <w:rsid w:val="4F7F4263"/>
    <w:rsid w:val="4FFB14E6"/>
    <w:rsid w:val="52EA0C54"/>
    <w:rsid w:val="577E7554"/>
    <w:rsid w:val="579A46E3"/>
    <w:rsid w:val="5B5D21A8"/>
    <w:rsid w:val="5BF73946"/>
    <w:rsid w:val="5F979DFB"/>
    <w:rsid w:val="5FFCDB56"/>
    <w:rsid w:val="64F3A2E6"/>
    <w:rsid w:val="67BDA70A"/>
    <w:rsid w:val="6CB63C01"/>
    <w:rsid w:val="6D7FD51F"/>
    <w:rsid w:val="6EE3A292"/>
    <w:rsid w:val="6F3E2C5C"/>
    <w:rsid w:val="6F5ECBEA"/>
    <w:rsid w:val="70FD627D"/>
    <w:rsid w:val="73FD0CE8"/>
    <w:rsid w:val="777F17B7"/>
    <w:rsid w:val="77BF7C35"/>
    <w:rsid w:val="77BF7D5C"/>
    <w:rsid w:val="77EF5095"/>
    <w:rsid w:val="77F71DC3"/>
    <w:rsid w:val="79F904C9"/>
    <w:rsid w:val="7BBFCC46"/>
    <w:rsid w:val="7BEB7630"/>
    <w:rsid w:val="7C6F2B90"/>
    <w:rsid w:val="7D4E2520"/>
    <w:rsid w:val="7D77F913"/>
    <w:rsid w:val="7DAFC445"/>
    <w:rsid w:val="7DE82186"/>
    <w:rsid w:val="7DEF7C6A"/>
    <w:rsid w:val="7DF6420A"/>
    <w:rsid w:val="7DF77DE2"/>
    <w:rsid w:val="7DFFBB97"/>
    <w:rsid w:val="7EFBFB50"/>
    <w:rsid w:val="7F3C7E20"/>
    <w:rsid w:val="7F3EFEB5"/>
    <w:rsid w:val="7F8D3DEC"/>
    <w:rsid w:val="7FBD72C5"/>
    <w:rsid w:val="7FD969D7"/>
    <w:rsid w:val="7FFB03DA"/>
    <w:rsid w:val="7FFF31EB"/>
    <w:rsid w:val="7FFF7E35"/>
    <w:rsid w:val="87ADCB05"/>
    <w:rsid w:val="8FE7036B"/>
    <w:rsid w:val="8FEF01CB"/>
    <w:rsid w:val="9FFF06A7"/>
    <w:rsid w:val="ABCB803C"/>
    <w:rsid w:val="AFC7CC92"/>
    <w:rsid w:val="AFFE79E0"/>
    <w:rsid w:val="BBF7AB04"/>
    <w:rsid w:val="BBFFF13A"/>
    <w:rsid w:val="BDFB22FA"/>
    <w:rsid w:val="BEEEBF57"/>
    <w:rsid w:val="BEF855F8"/>
    <w:rsid w:val="BF9FBC05"/>
    <w:rsid w:val="CCFD5A4C"/>
    <w:rsid w:val="CDD9F037"/>
    <w:rsid w:val="CF77296B"/>
    <w:rsid w:val="D3FF4735"/>
    <w:rsid w:val="D5B72858"/>
    <w:rsid w:val="D8BFD638"/>
    <w:rsid w:val="DA7EB6F3"/>
    <w:rsid w:val="DAABC081"/>
    <w:rsid w:val="DBD71C4C"/>
    <w:rsid w:val="DC7DFFFB"/>
    <w:rsid w:val="DF7C9C41"/>
    <w:rsid w:val="DFD59DB1"/>
    <w:rsid w:val="DFDE6817"/>
    <w:rsid w:val="DFF1DA6A"/>
    <w:rsid w:val="DFFEC417"/>
    <w:rsid w:val="E56CF18C"/>
    <w:rsid w:val="E77F17E4"/>
    <w:rsid w:val="EDBE583A"/>
    <w:rsid w:val="EDE68845"/>
    <w:rsid w:val="EF782A3F"/>
    <w:rsid w:val="EF8F0269"/>
    <w:rsid w:val="EFBB4F44"/>
    <w:rsid w:val="EFC128F5"/>
    <w:rsid w:val="EFDDF25A"/>
    <w:rsid w:val="EFE3E57F"/>
    <w:rsid w:val="EFF5126B"/>
    <w:rsid w:val="F11FC43C"/>
    <w:rsid w:val="F53F539D"/>
    <w:rsid w:val="F56E8916"/>
    <w:rsid w:val="F5FB232B"/>
    <w:rsid w:val="F67F77F5"/>
    <w:rsid w:val="F6EEDD77"/>
    <w:rsid w:val="F7BE822D"/>
    <w:rsid w:val="F7C364C0"/>
    <w:rsid w:val="F7DFC524"/>
    <w:rsid w:val="F97FC6EF"/>
    <w:rsid w:val="F9CF84BD"/>
    <w:rsid w:val="FACA167B"/>
    <w:rsid w:val="FAFE214E"/>
    <w:rsid w:val="FB3F2615"/>
    <w:rsid w:val="FB565D67"/>
    <w:rsid w:val="FB9B6112"/>
    <w:rsid w:val="FBFBB0F4"/>
    <w:rsid w:val="FCF716A5"/>
    <w:rsid w:val="FD7E7F93"/>
    <w:rsid w:val="FDD64BF9"/>
    <w:rsid w:val="FDFD6826"/>
    <w:rsid w:val="FEEF1260"/>
    <w:rsid w:val="FEFF2DB5"/>
    <w:rsid w:val="FF5CE084"/>
    <w:rsid w:val="FFCB8600"/>
    <w:rsid w:val="FFDFD1DF"/>
    <w:rsid w:val="FFE76CC0"/>
    <w:rsid w:val="FFE9A928"/>
    <w:rsid w:val="FFE9C170"/>
    <w:rsid w:val="FFEFA500"/>
    <w:rsid w:val="FFFA266B"/>
    <w:rsid w:val="FFFF2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20" w:after="120" w:line="240" w:lineRule="auto"/>
      <w:jc w:val="center"/>
      <w:outlineLvl w:val="0"/>
    </w:pPr>
    <w:rPr>
      <w:rFonts w:ascii="Arial" w:hAnsi="Arial" w:eastAsia="黑体" w:cs="Times New Roman"/>
      <w:kern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tabs>
        <w:tab w:val="left" w:pos="426"/>
      </w:tabs>
      <w:spacing w:after="120"/>
      <w:ind w:left="1440" w:leftChars="700" w:right="1440" w:rightChars="700"/>
    </w:pPr>
  </w:style>
  <w:style w:type="paragraph" w:styleId="4">
    <w:name w:val="footer"/>
    <w:basedOn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USE 1"/>
    <w:basedOn w:val="1"/>
    <w:qFormat/>
    <w:uiPriority w:val="0"/>
    <w:pPr>
      <w:spacing w:line="200" w:lineRule="atLeast"/>
      <w:jc w:val="left"/>
    </w:pPr>
    <w:rPr>
      <w:rFonts w:ascii="宋体" w:hAnsi="宋体"/>
      <w:b/>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2018-07-20T15:11:00Z</dcterms:created>
  <dc:creator>d</dc:creator>
  <cp:lastModifiedBy>zhangmei</cp:lastModifiedBy>
  <cp:lastPrinted>2025-07-29T01:56:00Z</cp:lastPrinted>
  <dcterms:modified xsi:type="dcterms:W3CDTF">2025-10-08T15:25:36Z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A95F083CF3A17BD7F700A366340000E0</vt:lpwstr>
  </property>
</Properties>
</file>