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bookmarkStart w:id="2" w:name="_GoBack"/>
      <w:bookmarkEnd w:id="2"/>
      <w:r>
        <w:rPr>
          <w:rFonts w:hint="eastAsia" w:ascii="方正小标宋简体" w:hAnsi="方正小标宋简体" w:eastAsia="方正小标宋简体" w:cs="方正小标宋简体"/>
          <w:sz w:val="44"/>
          <w:szCs w:val="44"/>
          <w:lang w:val="en-US" w:eastAsia="zh-CN"/>
        </w:rPr>
        <w:t>2025年深圳市“龙华杯”青少年足球比赛</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项目需求书</w:t>
      </w:r>
    </w:p>
    <w:p>
      <w:pPr>
        <w:pStyle w:val="8"/>
        <w:spacing w:line="560" w:lineRule="exact"/>
        <w:jc w:val="center"/>
        <w:rPr>
          <w:rFonts w:ascii="方正小标宋简体" w:hAnsi="方正小标宋简体" w:eastAsia="方正小标宋简体" w:cs="方正小标宋简体"/>
          <w:spacing w:val="17"/>
          <w:sz w:val="44"/>
          <w:szCs w:val="44"/>
        </w:rPr>
      </w:pPr>
    </w:p>
    <w:p>
      <w:pPr>
        <w:numPr>
          <w:ilvl w:val="0"/>
          <w:numId w:val="1"/>
        </w:numPr>
        <w:tabs>
          <w:tab w:val="left" w:pos="1820"/>
        </w:tabs>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lang w:eastAsia="zh-CN"/>
        </w:rPr>
      </w:pPr>
      <w:r>
        <w:rPr>
          <w:rFonts w:hint="eastAsia" w:ascii="仿宋_GB2312" w:hAnsi="仿宋" w:eastAsia="仿宋_GB2312" w:cs="仿宋"/>
          <w:kern w:val="2"/>
          <w:sz w:val="32"/>
          <w:szCs w:val="32"/>
          <w:lang w:val="en-US" w:eastAsia="zh-CN" w:bidi="ar-SA"/>
        </w:rPr>
        <w:t>完成</w:t>
      </w:r>
      <w:r>
        <w:rPr>
          <w:rFonts w:hint="eastAsia" w:ascii="仿宋_GB2312" w:hAnsi="仿宋_GB2312" w:eastAsia="仿宋_GB2312" w:cs="仿宋_GB2312"/>
          <w:i w:val="0"/>
          <w:caps w:val="0"/>
          <w:color w:val="auto"/>
          <w:spacing w:val="8"/>
          <w:kern w:val="2"/>
          <w:sz w:val="32"/>
          <w:szCs w:val="32"/>
          <w:lang w:val="en-US" w:eastAsia="zh-CN" w:bidi="ar-SA"/>
        </w:rPr>
        <w:t>2025年深圳市“龙华杯”青少年足球比赛</w:t>
      </w:r>
      <w:r>
        <w:rPr>
          <w:rFonts w:hint="eastAsia" w:ascii="仿宋_GB2312" w:hAnsi="仿宋" w:eastAsia="仿宋_GB2312" w:cs="仿宋"/>
          <w:kern w:val="2"/>
          <w:sz w:val="32"/>
          <w:szCs w:val="32"/>
          <w:lang w:val="en-US" w:eastAsia="zh-CN" w:bidi="ar-SA"/>
        </w:rPr>
        <w:t>项目落地执行。</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w:t>
      </w:r>
      <w:r>
        <w:rPr>
          <w:rFonts w:hint="eastAsia" w:ascii="黑体" w:hAnsi="黑体" w:eastAsia="黑体" w:cs="黑体"/>
          <w:bCs/>
          <w:sz w:val="32"/>
          <w:szCs w:val="32"/>
          <w:lang w:eastAsia="zh-CN"/>
        </w:rPr>
        <w:t>服务时间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default" w:ascii="仿宋_GB2312" w:eastAsia="仿宋_GB2312"/>
          <w:sz w:val="32"/>
          <w:szCs w:val="32"/>
          <w:lang w:val="en" w:eastAsia="zh-CN"/>
        </w:rPr>
        <w:t>202</w:t>
      </w:r>
      <w:r>
        <w:rPr>
          <w:rFonts w:hint="eastAsia" w:ascii="仿宋_GB2312" w:eastAsia="仿宋_GB2312"/>
          <w:sz w:val="32"/>
          <w:szCs w:val="32"/>
          <w:lang w:val="en-US" w:eastAsia="zh-CN"/>
        </w:rPr>
        <w:t>5</w:t>
      </w:r>
      <w:r>
        <w:rPr>
          <w:rFonts w:hint="default" w:ascii="仿宋_GB2312" w:eastAsia="仿宋_GB2312"/>
          <w:sz w:val="32"/>
          <w:szCs w:val="32"/>
          <w:lang w:val="en" w:eastAsia="zh-CN"/>
        </w:rPr>
        <w:t>年</w:t>
      </w:r>
      <w:r>
        <w:rPr>
          <w:rFonts w:hint="eastAsia" w:ascii="仿宋_GB2312" w:eastAsia="仿宋_GB2312"/>
          <w:sz w:val="32"/>
          <w:szCs w:val="32"/>
          <w:lang w:val="en-US" w:eastAsia="zh-CN"/>
        </w:rPr>
        <w:t>11-12</w:t>
      </w:r>
      <w:r>
        <w:rPr>
          <w:rFonts w:hint="default" w:ascii="仿宋_GB2312" w:eastAsia="仿宋_GB2312"/>
          <w:sz w:val="32"/>
          <w:szCs w:val="32"/>
          <w:lang w:val="en" w:eastAsia="zh-CN"/>
        </w:rPr>
        <w:t>月</w:t>
      </w:r>
      <w:r>
        <w:rPr>
          <w:rFonts w:hint="eastAsia" w:ascii="仿宋_GB2312" w:eastAsia="仿宋_GB2312"/>
          <w:sz w:val="32"/>
          <w:szCs w:val="32"/>
          <w:lang w:val="en" w:eastAsia="zh-CN"/>
        </w:rPr>
        <w:t>（</w:t>
      </w:r>
      <w:r>
        <w:rPr>
          <w:rFonts w:hint="eastAsia" w:ascii="仿宋_GB2312" w:eastAsia="仿宋_GB2312"/>
          <w:sz w:val="32"/>
          <w:szCs w:val="32"/>
          <w:lang w:val="en-US" w:eastAsia="zh-CN"/>
        </w:rPr>
        <w:t>暂定</w:t>
      </w:r>
      <w:r>
        <w:rPr>
          <w:rFonts w:hint="eastAsia" w:ascii="仿宋_GB2312" w:eastAsia="仿宋_GB2312"/>
          <w:sz w:val="32"/>
          <w:szCs w:val="32"/>
          <w:lang w:eastAsia="zh-CN"/>
        </w:rPr>
        <w:t>）</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w:t>
      </w:r>
      <w:bookmarkStart w:id="0" w:name="OLE_LINK2"/>
      <w:r>
        <w:rPr>
          <w:rFonts w:hint="eastAsia" w:ascii="黑体" w:hAnsi="黑体" w:eastAsia="黑体" w:cs="黑体"/>
          <w:bCs/>
          <w:sz w:val="32"/>
          <w:szCs w:val="32"/>
        </w:rPr>
        <w:t>项目内容及要求</w:t>
      </w:r>
      <w:bookmarkEnd w:id="0"/>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（一）项目内容</w:t>
      </w:r>
    </w:p>
    <w:p>
      <w:pPr>
        <w:pStyle w:val="2"/>
        <w:ind w:firstLine="640" w:firstLineChars="200"/>
        <w:rPr>
          <w:rFonts w:hint="eastAsia"/>
        </w:rPr>
      </w:pPr>
      <w:r>
        <w:rPr>
          <w:rFonts w:hint="eastAsia" w:ascii="仿宋_GB2312" w:hAnsi="Calibri" w:eastAsia="仿宋_GB2312" w:cs="仿宋_GB2312"/>
          <w:kern w:val="2"/>
          <w:sz w:val="32"/>
          <w:szCs w:val="32"/>
          <w:highlight w:val="none"/>
          <w:lang w:val="en-US" w:eastAsia="zh-CN" w:bidi="ar"/>
        </w:rPr>
        <w:t>为进一步深化体教融合工作，为全区青少年搭建同台竞技、展示交流的优质赛事平台</w:t>
      </w:r>
      <w:r>
        <w:rPr>
          <w:rFonts w:hint="eastAsia" w:ascii="仿宋_GB2312" w:eastAsia="仿宋_GB2312"/>
          <w:sz w:val="32"/>
          <w:szCs w:val="32"/>
        </w:rPr>
        <w:t>，</w:t>
      </w:r>
      <w:r>
        <w:rPr>
          <w:rFonts w:hint="eastAsia" w:ascii="仿宋_GB2312" w:hAnsi="Calibri" w:eastAsia="仿宋_GB2312" w:cs="仿宋_GB2312"/>
          <w:kern w:val="2"/>
          <w:sz w:val="32"/>
          <w:szCs w:val="32"/>
          <w:lang w:val="en-US" w:eastAsia="zh-CN" w:bidi="ar"/>
        </w:rPr>
        <w:t>联合龙华区教育局</w:t>
      </w:r>
      <w:r>
        <w:rPr>
          <w:rFonts w:hint="default" w:ascii="仿宋_GB2312" w:hAnsi="仿宋_GB2312" w:eastAsia="仿宋_GB2312" w:cs="仿宋_GB2312"/>
          <w:i w:val="0"/>
          <w:caps w:val="0"/>
          <w:color w:val="auto"/>
          <w:spacing w:val="8"/>
          <w:sz w:val="32"/>
          <w:szCs w:val="32"/>
          <w:lang w:val="en" w:eastAsia="zh-CN"/>
        </w:rPr>
        <w:t>，</w:t>
      </w:r>
      <w:r>
        <w:rPr>
          <w:rFonts w:hint="eastAsia" w:ascii="仿宋_GB2312" w:eastAsia="仿宋_GB2312"/>
          <w:sz w:val="32"/>
          <w:szCs w:val="32"/>
        </w:rPr>
        <w:t>结合我区实际，</w:t>
      </w:r>
      <w:r>
        <w:rPr>
          <w:rFonts w:hint="eastAsia" w:ascii="仿宋_GB2312" w:hAnsi="Calibri" w:eastAsia="仿宋_GB2312" w:cs="仿宋_GB2312"/>
          <w:kern w:val="2"/>
          <w:sz w:val="32"/>
          <w:szCs w:val="32"/>
          <w:highlight w:val="none"/>
          <w:lang w:val="en-US" w:eastAsia="zh-CN" w:bidi="ar"/>
        </w:rPr>
        <w:t>拟于2025年11-12月</w:t>
      </w:r>
      <w:r>
        <w:rPr>
          <w:rFonts w:hint="default" w:ascii="仿宋_GB2312" w:hAnsi="仿宋_GB2312" w:eastAsia="仿宋_GB2312" w:cs="仿宋_GB2312"/>
          <w:i w:val="0"/>
          <w:caps w:val="0"/>
          <w:color w:val="auto"/>
          <w:spacing w:val="8"/>
          <w:sz w:val="32"/>
          <w:szCs w:val="32"/>
          <w:lang w:val="en" w:eastAsia="zh-CN"/>
        </w:rPr>
        <w:t>举办</w:t>
      </w:r>
      <w:r>
        <w:rPr>
          <w:rFonts w:hint="eastAsia" w:ascii="仿宋_GB2312" w:hAnsi="仿宋_GB2312" w:eastAsia="仿宋_GB2312" w:cs="仿宋_GB2312"/>
          <w:i w:val="0"/>
          <w:caps w:val="0"/>
          <w:color w:val="auto"/>
          <w:spacing w:val="8"/>
          <w:kern w:val="2"/>
          <w:sz w:val="32"/>
          <w:szCs w:val="32"/>
          <w:lang w:val="en-US" w:eastAsia="zh-CN" w:bidi="ar-SA"/>
        </w:rPr>
        <w:t>2025年深圳市“龙华杯”青少年足球比赛</w:t>
      </w:r>
      <w:r>
        <w:rPr>
          <w:rFonts w:hint="default" w:ascii="仿宋_GB2312" w:hAnsi="仿宋_GB2312" w:eastAsia="仿宋_GB2312" w:cs="仿宋_GB2312"/>
          <w:i w:val="0"/>
          <w:caps w:val="0"/>
          <w:color w:val="auto"/>
          <w:spacing w:val="8"/>
          <w:sz w:val="32"/>
          <w:szCs w:val="32"/>
          <w:lang w:val="en" w:eastAsia="zh-CN"/>
        </w:rPr>
        <w:t>，包括</w:t>
      </w:r>
      <w:r>
        <w:rPr>
          <w:rFonts w:hint="eastAsia" w:ascii="仿宋_GB2312" w:hAnsi="仿宋_GB2312" w:eastAsia="仿宋_GB2312" w:cs="仿宋_GB2312"/>
          <w:i w:val="0"/>
          <w:caps w:val="0"/>
          <w:color w:val="auto"/>
          <w:spacing w:val="8"/>
          <w:sz w:val="32"/>
          <w:szCs w:val="32"/>
          <w:lang w:val="en-US" w:eastAsia="zh-CN"/>
        </w:rPr>
        <w:t>小学男子甲组、小学男子乙组、小学女子甲组、小学女子乙组、初中男子组、初中女子组、高中男子组，共7个组别</w:t>
      </w:r>
      <w:r>
        <w:rPr>
          <w:rFonts w:hint="eastAsia" w:ascii="仿宋_GB2312" w:hAnsi="仿宋_GB2312" w:eastAsia="仿宋_GB2312" w:cs="仿宋_GB2312"/>
          <w:i w:val="0"/>
          <w:caps w:val="0"/>
          <w:color w:val="auto"/>
          <w:spacing w:val="8"/>
          <w:sz w:val="32"/>
          <w:szCs w:val="32"/>
          <w:lang w:val="en" w:eastAsia="zh-CN"/>
        </w:rPr>
        <w:t>，</w:t>
      </w:r>
      <w:r>
        <w:rPr>
          <w:rFonts w:hint="eastAsia" w:ascii="仿宋_GB2312" w:hAnsi="仿宋_GB2312" w:eastAsia="仿宋_GB2312" w:cs="仿宋_GB2312"/>
          <w:color w:val="auto"/>
          <w:spacing w:val="8"/>
          <w:sz w:val="32"/>
          <w:szCs w:val="32"/>
          <w:lang w:val="en"/>
        </w:rPr>
        <w:t>覆盖我区</w:t>
      </w:r>
      <w:r>
        <w:rPr>
          <w:rFonts w:hint="eastAsia" w:ascii="仿宋_GB2312" w:hAnsi="仿宋_GB2312" w:eastAsia="仿宋_GB2312" w:cs="仿宋_GB2312"/>
          <w:color w:val="auto"/>
          <w:spacing w:val="8"/>
          <w:sz w:val="32"/>
          <w:szCs w:val="32"/>
          <w:lang w:val="en-US" w:eastAsia="zh-CN"/>
        </w:rPr>
        <w:t>中小学校</w:t>
      </w:r>
      <w:r>
        <w:rPr>
          <w:rFonts w:hint="eastAsia" w:ascii="仿宋_GB2312" w:hAnsi="仿宋_GB2312" w:eastAsia="仿宋_GB2312" w:cs="仿宋_GB2312"/>
          <w:color w:val="auto"/>
          <w:spacing w:val="8"/>
          <w:sz w:val="32"/>
          <w:szCs w:val="32"/>
          <w:lang w:val="en"/>
        </w:rPr>
        <w:t>，</w:t>
      </w:r>
      <w:r>
        <w:rPr>
          <w:rFonts w:hint="eastAsia" w:ascii="仿宋_GB2312" w:hAnsi="Calibri" w:eastAsia="仿宋_GB2312" w:cs="仿宋_GB2312"/>
          <w:kern w:val="2"/>
          <w:sz w:val="32"/>
          <w:szCs w:val="32"/>
          <w:highlight w:val="none"/>
          <w:lang w:val="en-US" w:eastAsia="zh-CN" w:bidi="ar"/>
        </w:rPr>
        <w:t>预计参加队伍约92支，参加人数约1630人。</w:t>
      </w:r>
    </w:p>
    <w:p>
      <w:pPr>
        <w:numPr>
          <w:ilvl w:val="0"/>
          <w:numId w:val="2"/>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具体要求</w:t>
      </w:r>
    </w:p>
    <w:p>
      <w:pPr>
        <w:pStyle w:val="8"/>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1.制定</w:t>
      </w:r>
      <w:r>
        <w:rPr>
          <w:rFonts w:hint="eastAsia" w:ascii="仿宋_GB2312" w:hAnsi="仿宋_GB2312" w:eastAsia="仿宋_GB2312" w:cs="仿宋_GB2312"/>
          <w:i w:val="0"/>
          <w:caps w:val="0"/>
          <w:color w:val="auto"/>
          <w:spacing w:val="8"/>
          <w:kern w:val="2"/>
          <w:sz w:val="32"/>
          <w:szCs w:val="32"/>
          <w:lang w:val="en-US" w:eastAsia="zh-CN" w:bidi="ar-SA"/>
        </w:rPr>
        <w:t>2025年深圳市“龙华杯”青少年足球比赛</w:t>
      </w:r>
      <w:r>
        <w:rPr>
          <w:rFonts w:hint="eastAsia" w:ascii="仿宋_GB2312" w:hAnsi="仿宋" w:eastAsia="仿宋_GB2312" w:cs="仿宋"/>
          <w:kern w:val="2"/>
          <w:sz w:val="32"/>
          <w:szCs w:val="32"/>
          <w:lang w:val="en-US" w:eastAsia="zh-CN" w:bidi="ar-SA"/>
        </w:rPr>
        <w:t>的具体实施方案和项目报价；</w:t>
      </w:r>
    </w:p>
    <w:p>
      <w:pPr>
        <w:pStyle w:val="7"/>
        <w:keepNext w:val="0"/>
        <w:keepLines w:val="0"/>
        <w:pageBreakBefore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2.负责场地布置及赛事相关物资，包括赛事搭建、印刷（秩序册和赛事物料）、设计、设备租赁等；</w:t>
      </w:r>
    </w:p>
    <w:p>
      <w:pPr>
        <w:pStyle w:val="7"/>
        <w:keepNext w:val="0"/>
        <w:keepLines w:val="0"/>
        <w:pageBreakBefore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3.负责赛事组织的相关工作，包括聘请相关工作人员、选派裁判员、赛事医疗、后勤保障等；</w:t>
      </w:r>
    </w:p>
    <w:p>
      <w:pPr>
        <w:pStyle w:val="7"/>
        <w:keepNext w:val="0"/>
        <w:keepLines w:val="0"/>
        <w:pageBreakBefore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4.负责赛事奖杯、奖牌、奖状等发放；</w:t>
      </w:r>
    </w:p>
    <w:p>
      <w:pPr>
        <w:pStyle w:val="7"/>
        <w:keepNext w:val="0"/>
        <w:keepLines w:val="0"/>
        <w:pageBreakBefore w:val="0"/>
        <w:numPr>
          <w:ilvl w:val="0"/>
          <w:numId w:val="0"/>
        </w:numPr>
        <w:kinsoku/>
        <w:wordWrap/>
        <w:overflowPunct/>
        <w:topLinePunct w:val="0"/>
        <w:autoSpaceDE/>
        <w:autoSpaceDN/>
        <w:bidi w:val="0"/>
        <w:spacing w:after="0" w:line="560" w:lineRule="exact"/>
        <w:ind w:leftChars="0" w:right="0" w:rightChars="0"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5.负责主办方交办的其他事项。</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四、报价限额</w:t>
      </w:r>
    </w:p>
    <w:p>
      <w:pPr>
        <w:pStyle w:val="8"/>
        <w:rPr>
          <w:rFonts w:hint="eastAsia" w:ascii="仿宋_GB2312" w:hAnsi="仿宋_GB2312" w:eastAsia="仿宋_GB2312" w:cs="仿宋_GB2312"/>
          <w:sz w:val="32"/>
          <w:szCs w:val="32"/>
          <w:lang w:eastAsia="zh-CN"/>
        </w:rPr>
      </w:pPr>
      <w:r>
        <w:rPr>
          <w:rFonts w:hint="eastAsia" w:ascii="仿宋_GB2312" w:hAnsi="仿宋" w:eastAsia="仿宋_GB2312" w:cs="仿宋"/>
          <w:kern w:val="2"/>
          <w:sz w:val="32"/>
          <w:szCs w:val="32"/>
          <w:lang w:val="en-US" w:eastAsia="zh-CN" w:bidi="ar-SA"/>
        </w:rPr>
        <w:t>37</w:t>
      </w:r>
      <w:r>
        <w:rPr>
          <w:rFonts w:hint="eastAsia" w:ascii="仿宋_GB2312" w:hAnsi="仿宋_GB2312" w:eastAsia="仿宋_GB2312" w:cs="仿宋_GB2312"/>
          <w:sz w:val="32"/>
          <w:szCs w:val="36"/>
          <w:lang w:eastAsia="zh-CN"/>
        </w:rPr>
        <w:t>万元，</w:t>
      </w:r>
      <w:r>
        <w:rPr>
          <w:rFonts w:hint="eastAsia" w:ascii="仿宋_GB2312" w:hAnsi="仿宋_GB2312" w:eastAsia="仿宋_GB2312" w:cs="仿宋_GB2312"/>
          <w:b/>
          <w:bCs/>
          <w:sz w:val="32"/>
          <w:szCs w:val="32"/>
          <w:lang w:eastAsia="zh-CN"/>
        </w:rPr>
        <w:t>项目报价表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r>
        <w:rPr>
          <w:rFonts w:hint="eastAsia" w:ascii="仿宋_GB2312" w:hAnsi="仿宋_GB2312" w:eastAsia="仿宋_GB2312" w:cs="仿宋_GB2312"/>
          <w:sz w:val="32"/>
          <w:szCs w:val="32"/>
          <w:lang w:eastAsia="zh-CN"/>
        </w:rPr>
        <w:t>：</w:t>
      </w:r>
    </w:p>
    <w:tbl>
      <w:tblPr>
        <w:tblStyle w:val="11"/>
        <w:tblW w:w="9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648"/>
        <w:gridCol w:w="1217"/>
        <w:gridCol w:w="5885"/>
        <w:gridCol w:w="711"/>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w:t>
            </w:r>
          </w:p>
        </w:tc>
        <w:tc>
          <w:tcPr>
            <w:tcW w:w="5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内容说明</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一、奖杯、奖牌、证书制作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奖杯</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小学男子甲组、乙组，小学女子甲组、乙组，初中男子组，初中女子组，高中男子组，共7个组别；各组别前3名，3×7</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21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奖牌</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小学男子甲组、乙组，小学女子甲组、乙组，初中男子组，初中女子组，高中男子组，共7个组别；前4名  7×4×20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560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奖状证书</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优秀教练员证书（各组前3名队伍，7×3）；最佳射手、最佳球员、最佳守门员（各组各项1名，7×3）；各组别前4名的运动员 7×4×20，备用证书8张</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610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牌匾</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体育道德风尚奖（小学各组3名 3×4、初高中组各2名 2×3）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18 </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二、工作人员费用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比赛用水</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比赛用水（25箱/天；20天，含裁判员、工作人员、运动员、教练、领队等）</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工作用餐</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工作用餐（26份/天，20天午餐；26人，含裁判21人、工作人员5人）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竞赛编排与统筹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2人，前期报名、竞赛编排、抽签、比赛成绩统计、赛事组织等工作，工作20天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裁判长劳务费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每天1名裁判长（作为每个赛区总监督），20天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裁判员劳务费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每天20名裁判（含技术官员），20天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工作人员劳务费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每天5名工作人员，20天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医疗人员</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5名医疗人员加急救物资 250元/人/天，20天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主持人</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颁奖仪式主持人，1天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摄影人员</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每天1名摄影人员（含照片直播平台搭建）,20天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秩序册</w:t>
            </w:r>
          </w:p>
        </w:tc>
        <w:tc>
          <w:tcPr>
            <w:tcW w:w="5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排版印刷赛事秩序册，预计92支队伍，每个队伍1本，备用8本。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场地布置</w:t>
            </w:r>
          </w:p>
        </w:tc>
        <w:tc>
          <w:tcPr>
            <w:tcW w:w="5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背景板3m*10m（框架搭建）、颁奖台，5个赛区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i w:val="0"/>
                <w:iCs w:val="0"/>
                <w:color w:val="000000"/>
                <w:sz w:val="20"/>
                <w:szCs w:val="20"/>
                <w:u w:val="none"/>
              </w:rPr>
            </w:pPr>
          </w:p>
        </w:tc>
        <w:tc>
          <w:tcPr>
            <w:tcW w:w="5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A字板、海报、横幅、音箱、指示牌、手举牌、成绩公告栏等含搭建布置，5个赛区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2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体育用品</w:t>
            </w:r>
          </w:p>
        </w:tc>
        <w:tc>
          <w:tcPr>
            <w:tcW w:w="5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比赛用球（每个赛区10个赛事用球），5个赛区</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217"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i w:val="0"/>
                <w:iCs w:val="0"/>
                <w:color w:val="000000"/>
                <w:sz w:val="20"/>
                <w:szCs w:val="20"/>
                <w:u w:val="none"/>
              </w:rPr>
            </w:pPr>
          </w:p>
        </w:tc>
        <w:tc>
          <w:tcPr>
            <w:tcW w:w="5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哨子、比分牌租赁、赛事器具等</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物料运输</w:t>
            </w:r>
          </w:p>
        </w:tc>
        <w:tc>
          <w:tcPr>
            <w:tcW w:w="5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物料运输（背景板框架、赛事所需器具等），5个赛区，共10趟，每趟500元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宣传费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赛事报道（赛前预热、赛事总结)共2篇，每篇稿件600-1000字以内</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21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赛事设计费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设计（背景板、奖杯、奖牌、牌匾、证书、场地A字板、横幅、海报等）</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供应商报价（元）</w:t>
            </w:r>
          </w:p>
        </w:tc>
        <w:tc>
          <w:tcPr>
            <w:tcW w:w="5885" w:type="dxa"/>
            <w:tcBorders>
              <w:top w:val="single" w:color="000000" w:sz="4" w:space="0"/>
              <w:left w:val="nil"/>
              <w:bottom w:val="single" w:color="000000" w:sz="4" w:space="0"/>
              <w:right w:val="nil"/>
            </w:tcBorders>
            <w:shd w:val="clear" w:color="auto" w:fill="auto"/>
            <w:noWrap/>
            <w:vAlign w:val="center"/>
          </w:tcPr>
          <w:p>
            <w:pPr>
              <w:snapToGrid w:val="0"/>
              <w:jc w:val="center"/>
              <w:rPr>
                <w:rFonts w:hint="eastAsia" w:ascii="微软雅黑" w:hAnsi="微软雅黑" w:eastAsia="微软雅黑" w:cs="微软雅黑"/>
                <w:i w:val="0"/>
                <w:iCs w:val="0"/>
                <w:color w:val="000000"/>
                <w:sz w:val="24"/>
                <w:szCs w:val="24"/>
                <w:u w:val="none"/>
              </w:rPr>
            </w:pPr>
          </w:p>
        </w:tc>
        <w:tc>
          <w:tcPr>
            <w:tcW w:w="711" w:type="dxa"/>
            <w:tcBorders>
              <w:top w:val="single" w:color="000000" w:sz="4" w:space="0"/>
              <w:left w:val="nil"/>
              <w:bottom w:val="single" w:color="000000" w:sz="4" w:space="0"/>
              <w:right w:val="nil"/>
            </w:tcBorders>
            <w:shd w:val="clear" w:color="auto" w:fill="auto"/>
            <w:noWrap/>
            <w:vAlign w:val="center"/>
          </w:tcPr>
          <w:p>
            <w:pPr>
              <w:snapToGrid w:val="0"/>
              <w:jc w:val="center"/>
              <w:rPr>
                <w:rFonts w:hint="eastAsia" w:ascii="微软雅黑" w:hAnsi="微软雅黑" w:eastAsia="微软雅黑" w:cs="微软雅黑"/>
                <w:i w:val="0"/>
                <w:iCs w:val="0"/>
                <w:color w:val="000000"/>
                <w:sz w:val="24"/>
                <w:szCs w:val="24"/>
                <w:u w:val="none"/>
              </w:rPr>
            </w:pPr>
          </w:p>
        </w:tc>
        <w:tc>
          <w:tcPr>
            <w:tcW w:w="648" w:type="dxa"/>
            <w:tcBorders>
              <w:top w:val="single" w:color="000000" w:sz="4" w:space="0"/>
              <w:left w:val="nil"/>
              <w:bottom w:val="single" w:color="000000" w:sz="4" w:space="0"/>
              <w:right w:val="single" w:color="000000" w:sz="4" w:space="0"/>
            </w:tcBorders>
            <w:shd w:val="clear" w:color="auto" w:fill="auto"/>
            <w:noWrap/>
            <w:vAlign w:val="center"/>
          </w:tcPr>
          <w:p>
            <w:pPr>
              <w:snapToGrid w:val="0"/>
              <w:jc w:val="center"/>
              <w:rPr>
                <w:rFonts w:hint="eastAsia" w:ascii="微软雅黑" w:hAnsi="微软雅黑" w:eastAsia="微软雅黑" w:cs="微软雅黑"/>
                <w:i w:val="0"/>
                <w:iCs w:val="0"/>
                <w:color w:val="000000"/>
                <w:sz w:val="24"/>
                <w:szCs w:val="24"/>
                <w:u w:val="none"/>
              </w:rPr>
            </w:pPr>
          </w:p>
        </w:tc>
      </w:tr>
    </w:tbl>
    <w:p>
      <w:pPr>
        <w:pStyle w:val="8"/>
        <w:rPr>
          <w:rFonts w:hint="eastAsia"/>
          <w:lang w:eastAsia="zh-CN"/>
        </w:rPr>
      </w:pPr>
    </w:p>
    <w:p>
      <w:pPr>
        <w:pStyle w:val="8"/>
        <w:rPr>
          <w:rFonts w:hint="eastAsia"/>
          <w:lang w:eastAsia="zh-CN"/>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4"/>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14"/>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cs="仿宋"/>
          <w:sz w:val="32"/>
          <w:szCs w:val="32"/>
          <w:lang w:eastAsia="zh-CN"/>
        </w:rPr>
        <w:t>；</w:t>
      </w:r>
    </w:p>
    <w:p>
      <w:pPr>
        <w:pStyle w:val="14"/>
        <w:spacing w:line="560" w:lineRule="exact"/>
        <w:ind w:firstLine="64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（三）</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cs="仿宋"/>
          <w:sz w:val="32"/>
          <w:szCs w:val="32"/>
          <w:highlight w:val="none"/>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spacing w:line="560" w:lineRule="exact"/>
        <w:ind w:firstLine="640" w:firstLineChars="200"/>
        <w:rPr>
          <w:rFonts w:hint="eastAsia" w:ascii="仿宋_GB2312" w:hAnsi="仿宋" w:eastAsia="仿宋_GB2312"/>
          <w:sz w:val="32"/>
          <w:highlight w:val="none"/>
          <w:lang w:val="en-US" w:eastAsia="zh-CN"/>
        </w:rPr>
      </w:pPr>
      <w:r>
        <w:rPr>
          <w:rFonts w:hint="eastAsia" w:ascii="仿宋_GB2312" w:hAnsi="仿宋" w:eastAsia="仿宋_GB2312"/>
          <w:sz w:val="32"/>
          <w:highlight w:val="none"/>
        </w:rPr>
        <w:t>综合评分法</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七、评分要求</w:t>
      </w:r>
    </w:p>
    <w:p>
      <w:pPr>
        <w:pStyle w:val="16"/>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16"/>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11"/>
        <w:tblW w:w="835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商务</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技术</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25分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45分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6"/>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16"/>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tbl>
      <w:tblPr>
        <w:tblStyle w:val="12"/>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61"/>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报价</w:t>
            </w:r>
          </w:p>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30分</w:t>
            </w:r>
            <w:r>
              <w:rPr>
                <w:rFonts w:hint="eastAsia" w:ascii="仿宋_GB2312" w:hAnsi="仿宋_GB2312" w:eastAsia="仿宋_GB2312" w:cs="仿宋_GB2312"/>
                <w:sz w:val="24"/>
                <w:szCs w:val="24"/>
                <w:vertAlign w:val="baseline"/>
                <w:lang w:eastAsia="zh-CN"/>
              </w:rPr>
              <w:t>）</w:t>
            </w:r>
          </w:p>
        </w:tc>
        <w:tc>
          <w:tcPr>
            <w:tcW w:w="861" w:type="dxa"/>
            <w:noWrap w:val="0"/>
            <w:vAlign w:val="top"/>
          </w:tcPr>
          <w:p>
            <w:pPr>
              <w:spacing w:line="560" w:lineRule="exact"/>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评分因素</w:t>
            </w:r>
          </w:p>
        </w:tc>
        <w:tc>
          <w:tcPr>
            <w:tcW w:w="6916" w:type="dxa"/>
            <w:noWrap w:val="0"/>
            <w:vAlign w:val="top"/>
          </w:tcPr>
          <w:p>
            <w:pPr>
              <w:spacing w:line="560" w:lineRule="exact"/>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价格</w:t>
            </w:r>
          </w:p>
        </w:tc>
        <w:tc>
          <w:tcPr>
            <w:tcW w:w="6916"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商务</w:t>
            </w:r>
          </w:p>
          <w:p>
            <w:pPr>
              <w:pStyle w:val="6"/>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部分</w:t>
            </w:r>
          </w:p>
          <w:p>
            <w:pPr>
              <w:pStyle w:val="6"/>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25分</w:t>
            </w:r>
            <w:r>
              <w:rPr>
                <w:rFonts w:hint="eastAsia" w:ascii="仿宋_GB2312" w:hAnsi="仿宋_GB2312" w:eastAsia="仿宋_GB2312" w:cs="仿宋_GB2312"/>
                <w:sz w:val="24"/>
                <w:szCs w:val="24"/>
                <w:vertAlign w:val="baseline"/>
                <w:lang w:eastAsia="zh-CN"/>
              </w:rPr>
              <w:t>）</w:t>
            </w:r>
          </w:p>
        </w:tc>
        <w:tc>
          <w:tcPr>
            <w:tcW w:w="861" w:type="dxa"/>
            <w:noWrap w:val="0"/>
            <w:vAlign w:val="top"/>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评分因素</w:t>
            </w:r>
          </w:p>
        </w:tc>
        <w:tc>
          <w:tcPr>
            <w:tcW w:w="6916" w:type="dxa"/>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同类项目经验（</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tc>
        <w:tc>
          <w:tcPr>
            <w:tcW w:w="6916" w:type="dxa"/>
            <w:noWrap w:val="0"/>
            <w:vAlign w:val="top"/>
          </w:tcPr>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topLinePunct/>
              <w:snapToGrid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投标人自202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年1月1日至本项目投标截止日（以合同签订日期为准），</w:t>
            </w:r>
            <w:r>
              <w:rPr>
                <w:rFonts w:hint="eastAsia" w:ascii="仿宋_GB2312" w:hAnsi="仿宋_GB2312" w:eastAsia="仿宋_GB2312" w:cs="仿宋_GB2312"/>
                <w:sz w:val="24"/>
                <w:szCs w:val="24"/>
                <w:lang w:val="en-US" w:eastAsia="zh-CN"/>
              </w:rPr>
              <w:t>每提供一项相关文体组织类活动</w:t>
            </w:r>
            <w:r>
              <w:rPr>
                <w:rFonts w:hint="eastAsia" w:ascii="仿宋_GB2312" w:hAnsi="仿宋_GB2312" w:eastAsia="仿宋_GB2312" w:cs="仿宋_GB2312"/>
                <w:sz w:val="24"/>
                <w:szCs w:val="24"/>
                <w:lang w:eastAsia="zh-CN"/>
              </w:rPr>
              <w:t>项目业绩得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lang w:val="en-US" w:eastAsia="zh-CN"/>
              </w:rPr>
              <w:t>。</w:t>
            </w:r>
          </w:p>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每项业绩按以下要求提供完整准确的证明文件，一个合同计算一个业绩，一年一签的续签合同只计算一个业绩：</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合同关键页（关键信息包括但不仅限于合同的项目名称、服务内容、合同服务的起止时间、合同双方的盖章、签订日期等）；</w:t>
            </w:r>
          </w:p>
          <w:p>
            <w:pPr>
              <w:topLinePunct/>
              <w:snapToGrid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拟安排项目团队成员</w:t>
            </w:r>
          </w:p>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（5分）</w:t>
            </w:r>
          </w:p>
        </w:tc>
        <w:tc>
          <w:tcPr>
            <w:tcW w:w="6916" w:type="dxa"/>
            <w:noWrap w:val="0"/>
            <w:vAlign w:val="center"/>
          </w:tcPr>
          <w:p>
            <w:pPr>
              <w:numPr>
                <w:ilvl w:val="0"/>
                <w:numId w:val="3"/>
              </w:num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评审内容</w:t>
            </w:r>
          </w:p>
          <w:p>
            <w:pPr>
              <w:numPr>
                <w:ilvl w:val="0"/>
                <w:numId w:val="0"/>
              </w:num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拟安排的项目团队成员情况：</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1.具有相关体育专业本科（或以上）学历，每提供上述一类专业学历的得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分（注：提供重复学历的其他人员不累计分值。）；</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具有组织足球</w:t>
            </w:r>
            <w:r>
              <w:rPr>
                <w:rFonts w:hint="eastAsia" w:ascii="仿宋_GB2312" w:hAnsi="仿宋_GB2312" w:eastAsia="仿宋_GB2312" w:cs="仿宋_GB2312"/>
                <w:sz w:val="24"/>
                <w:szCs w:val="24"/>
                <w:lang w:val="en-US" w:eastAsia="zh-CN"/>
              </w:rPr>
              <w:t>活动</w:t>
            </w:r>
            <w:r>
              <w:rPr>
                <w:rFonts w:hint="eastAsia" w:ascii="仿宋_GB2312" w:hAnsi="仿宋_GB2312" w:eastAsia="仿宋_GB2312" w:cs="仿宋_GB2312"/>
                <w:sz w:val="24"/>
                <w:szCs w:val="24"/>
                <w:lang w:eastAsia="zh-CN"/>
              </w:rPr>
              <w:t>有关工作经验，每提供一人得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分；</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同一人具备1和</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项情况的可</w:t>
            </w:r>
            <w:r>
              <w:rPr>
                <w:rFonts w:hint="eastAsia" w:ascii="仿宋_GB2312" w:hAnsi="仿宋_GB2312" w:eastAsia="仿宋_GB2312" w:cs="仿宋_GB2312"/>
                <w:sz w:val="24"/>
                <w:szCs w:val="24"/>
                <w:lang w:val="en-US" w:eastAsia="zh-CN"/>
              </w:rPr>
              <w:t>重复得</w:t>
            </w:r>
            <w:r>
              <w:rPr>
                <w:rFonts w:hint="eastAsia" w:ascii="仿宋_GB2312" w:hAnsi="仿宋_GB2312" w:eastAsia="仿宋_GB2312" w:cs="仿宋_GB2312"/>
                <w:sz w:val="24"/>
                <w:szCs w:val="24"/>
                <w:lang w:eastAsia="zh-CN"/>
              </w:rPr>
              <w:t>分，本项最高得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w:t>
            </w:r>
          </w:p>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提供学位或学历证书</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学信网查询记录，原件备查</w:t>
            </w:r>
            <w:r>
              <w:rPr>
                <w:rFonts w:hint="eastAsia" w:ascii="仿宋_GB2312" w:hAnsi="仿宋_GB2312" w:eastAsia="仿宋_GB2312" w:cs="仿宋_GB2312"/>
                <w:sz w:val="24"/>
                <w:szCs w:val="24"/>
                <w:lang w:eastAsia="zh-CN"/>
              </w:rPr>
              <w:t>；</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工作经验</w:t>
            </w:r>
            <w:r>
              <w:rPr>
                <w:rFonts w:hint="eastAsia" w:ascii="仿宋_GB2312" w:hAnsi="仿宋_GB2312" w:eastAsia="仿宋_GB2312" w:cs="仿宋_GB2312"/>
                <w:sz w:val="24"/>
                <w:szCs w:val="24"/>
              </w:rPr>
              <w:t>需提供合同关键页或其他可以证明的材料；合同关键（关键信息包括但不仅限于合同的项目名称、</w:t>
            </w:r>
            <w:r>
              <w:rPr>
                <w:rFonts w:hint="eastAsia" w:ascii="仿宋_GB2312" w:hAnsi="仿宋_GB2312" w:eastAsia="仿宋_GB2312" w:cs="仿宋_GB2312"/>
                <w:sz w:val="24"/>
                <w:szCs w:val="24"/>
                <w:lang w:val="en-US" w:eastAsia="zh-CN"/>
              </w:rPr>
              <w:t>项目负责人/团队成员名字、</w:t>
            </w:r>
            <w:r>
              <w:rPr>
                <w:rFonts w:hint="eastAsia" w:ascii="仿宋_GB2312" w:hAnsi="仿宋_GB2312" w:eastAsia="仿宋_GB2312" w:cs="仿宋_GB2312"/>
                <w:sz w:val="24"/>
                <w:szCs w:val="24"/>
              </w:rPr>
              <w:t>服务内容、</w:t>
            </w:r>
            <w:r>
              <w:rPr>
                <w:rFonts w:hint="eastAsia" w:ascii="仿宋_GB2312" w:hAnsi="仿宋_GB2312" w:eastAsia="仿宋_GB2312" w:cs="仿宋_GB2312"/>
                <w:sz w:val="24"/>
                <w:szCs w:val="24"/>
                <w:lang w:val="en-US" w:eastAsia="zh-CN"/>
              </w:rPr>
              <w:t>合同双方盖章页</w:t>
            </w:r>
            <w:r>
              <w:rPr>
                <w:rFonts w:hint="eastAsia" w:ascii="仿宋_GB2312" w:hAnsi="仿宋_GB2312" w:eastAsia="仿宋_GB2312" w:cs="仿宋_GB2312"/>
                <w:sz w:val="24"/>
                <w:szCs w:val="24"/>
              </w:rPr>
              <w:t>），以及满足评分要求的服务内容。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topLinePunct/>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诚信承诺</w:t>
            </w:r>
          </w:p>
          <w:p>
            <w:pPr>
              <w:topLinePunct/>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tc>
        <w:tc>
          <w:tcPr>
            <w:tcW w:w="6916" w:type="dxa"/>
            <w:noWrap w:val="0"/>
            <w:vAlign w:val="top"/>
          </w:tcPr>
          <w:p>
            <w:pPr>
              <w:topLinePunct/>
              <w:snapToGrid w:val="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（一）评审内容：</w:t>
            </w:r>
          </w:p>
          <w:p>
            <w:pPr>
              <w:topLinePunct/>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投标人在参与政府采购活动中出现诚信相关问题且在相关主管部门处理措施实施期限内的本项不得分，否则得满分。</w:t>
            </w:r>
          </w:p>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投标人需按招标文件格式要求提供《诚信承诺函》，</w:t>
            </w:r>
            <w:r>
              <w:rPr>
                <w:rFonts w:hint="eastAsia" w:ascii="仿宋_GB2312" w:hAnsi="仿宋_GB2312" w:eastAsia="仿宋_GB2312" w:cs="仿宋_GB2312"/>
                <w:sz w:val="24"/>
                <w:szCs w:val="24"/>
                <w:lang w:eastAsia="zh-CN"/>
              </w:rPr>
              <w:t>详见附件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违约承诺</w:t>
            </w:r>
          </w:p>
          <w:p>
            <w:pPr>
              <w:pStyle w:val="6"/>
              <w:rPr>
                <w:rFonts w:hint="eastAsia"/>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r>
              <w:rPr>
                <w:rFonts w:hint="eastAsia" w:ascii="仿宋_GB2312" w:hAnsi="仿宋_GB2312" w:eastAsia="仿宋_GB2312" w:cs="仿宋_GB2312"/>
                <w:sz w:val="24"/>
                <w:szCs w:val="24"/>
                <w:lang w:eastAsia="zh-CN"/>
              </w:rPr>
              <w:t>）</w:t>
            </w:r>
          </w:p>
        </w:tc>
        <w:tc>
          <w:tcPr>
            <w:tcW w:w="6916"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spacing w:line="324" w:lineRule="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根据针对本项目做出的违约承诺，考察包括但不限于以下内容：</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严格按照招标文件及投标承诺履行义务；</w:t>
            </w:r>
          </w:p>
          <w:p>
            <w:pPr>
              <w:spacing w:line="324"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合同履行期间如若违约，由此造成的损失由投标人承担</w:t>
            </w:r>
            <w:r>
              <w:rPr>
                <w:rFonts w:hint="eastAsia" w:ascii="仿宋_GB2312" w:hAnsi="仿宋_GB2312" w:eastAsia="仿宋_GB2312" w:cs="仿宋_GB2312"/>
                <w:sz w:val="24"/>
                <w:szCs w:val="24"/>
                <w:lang w:eastAsia="zh-CN"/>
              </w:rPr>
              <w:t>。</w:t>
            </w:r>
          </w:p>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提供</w:t>
            </w:r>
            <w:r>
              <w:rPr>
                <w:rFonts w:hint="eastAsia" w:ascii="仿宋_GB2312" w:hAnsi="仿宋_GB2312" w:eastAsia="仿宋_GB2312" w:cs="仿宋_GB2312"/>
                <w:sz w:val="24"/>
                <w:szCs w:val="24"/>
                <w:lang w:eastAsia="zh-CN"/>
              </w:rPr>
              <w:t>违约</w:t>
            </w:r>
            <w:r>
              <w:rPr>
                <w:rFonts w:hint="eastAsia" w:ascii="仿宋_GB2312" w:hAnsi="仿宋_GB2312" w:eastAsia="仿宋_GB2312" w:cs="仿宋_GB2312"/>
                <w:sz w:val="24"/>
                <w:szCs w:val="24"/>
              </w:rPr>
              <w:t>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技术部分（45分）</w:t>
            </w:r>
          </w:p>
        </w:tc>
        <w:tc>
          <w:tcPr>
            <w:tcW w:w="861" w:type="dxa"/>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实施方案</w:t>
            </w:r>
          </w:p>
          <w:p>
            <w:pPr>
              <w:pStyle w:val="6"/>
              <w:jc w:val="center"/>
              <w:rPr>
                <w:rFonts w:hint="eastAsia"/>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25分</w:t>
            </w:r>
            <w:r>
              <w:rPr>
                <w:rFonts w:hint="eastAsia" w:ascii="仿宋_GB2312" w:hAnsi="仿宋_GB2312" w:eastAsia="仿宋_GB2312" w:cs="仿宋_GB2312"/>
                <w:sz w:val="24"/>
                <w:szCs w:val="24"/>
                <w:vertAlign w:val="baseline"/>
                <w:lang w:eastAsia="zh-CN"/>
              </w:rPr>
              <w:t>）</w:t>
            </w:r>
          </w:p>
        </w:tc>
        <w:tc>
          <w:tcPr>
            <w:tcW w:w="6916"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根据投标人提供的实施方案，考察包括但不限于：</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1.对项目需求的认识和理解；</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2.项目目标和成果；</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3.组织架构和人员管理；</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4.工作思路和流程。</w:t>
            </w:r>
          </w:p>
          <w:p>
            <w:pPr>
              <w:topLinePunct/>
              <w:snapToGrid w:val="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满足以上任意一项要求得4分，最高16得分，在此基础上。</w:t>
            </w:r>
            <w:r>
              <w:rPr>
                <w:rFonts w:hint="eastAsia" w:ascii="仿宋_GB2312" w:hAnsi="仿宋_GB2312" w:eastAsia="仿宋_GB2312" w:cs="仿宋_GB2312"/>
                <w:sz w:val="24"/>
                <w:szCs w:val="24"/>
              </w:rPr>
              <w:t>根据各供应商的具体响应内容按照量化的评审因素指标进一步评审，设定优、良、中、差四个评分标准：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1.优：项目实施方案内容全面、具体、针对性强、科学合理、可操作性强得9分；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2.良：项目实施方案内容较全面、较具体、针对性较强、较科学合理、可操作性较强得7分；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3.中：项目实施方案内容较基本全面、一般具体、针对性一般、一般科学合理、可操作性一般得5分；</w:t>
            </w:r>
          </w:p>
          <w:p>
            <w:pPr>
              <w:keepNext w:val="0"/>
              <w:keepLines w:val="0"/>
              <w:pageBreakBefore w:val="0"/>
              <w:widowControl w:val="0"/>
              <w:snapToGrid/>
              <w:spacing w:line="276" w:lineRule="auto"/>
              <w:ind w:firstLine="0" w:firstLineChars="0"/>
              <w:jc w:val="left"/>
              <w:rPr>
                <w:rFonts w:hint="eastAsia"/>
                <w:lang w:eastAsia="zh-CN"/>
              </w:rPr>
            </w:pPr>
            <w:r>
              <w:rPr>
                <w:rFonts w:hint="eastAsia" w:ascii="仿宋_GB2312" w:hAnsi="仿宋_GB2312" w:eastAsia="仿宋_GB2312" w:cs="仿宋_GB2312"/>
                <w:color w:val="auto"/>
                <w:sz w:val="24"/>
                <w:szCs w:val="24"/>
                <w:highlight w:val="none"/>
                <w:lang w:val="en-US" w:eastAsia="zh-CN"/>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项目重点难点分析、应对措施及相关的合理化建议</w:t>
            </w:r>
          </w:p>
          <w:p>
            <w:pPr>
              <w:keepNext w:val="0"/>
              <w:keepLines w:val="0"/>
              <w:pageBreakBefore w:val="0"/>
              <w:widowControl w:val="0"/>
              <w:snapToGrid/>
              <w:spacing w:line="276" w:lineRule="auto"/>
              <w:ind w:firstLine="0" w:firstLineChars="0"/>
              <w:jc w:val="left"/>
              <w:rPr>
                <w:rFonts w:hint="eastAsia"/>
                <w:lang w:eastAsia="zh-CN"/>
              </w:rPr>
            </w:pPr>
            <w:r>
              <w:rPr>
                <w:rFonts w:hint="eastAsia" w:ascii="仿宋_GB2312" w:hAnsi="仿宋_GB2312" w:eastAsia="仿宋_GB2312" w:cs="仿宋_GB2312"/>
                <w:color w:val="auto"/>
                <w:sz w:val="24"/>
                <w:szCs w:val="24"/>
                <w:highlight w:val="none"/>
                <w:lang w:val="en-US" w:eastAsia="zh-CN"/>
              </w:rPr>
              <w:t>（20分）</w:t>
            </w:r>
          </w:p>
        </w:tc>
        <w:tc>
          <w:tcPr>
            <w:tcW w:w="6916"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考察对项目工作量、可完成度等重点难点问题的识别和分析能力，并就识别出的重点难点提出可行的应对措施及合理化建议。</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包括但不限于以下内容：</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1.详细阐述本项目存在的重难点问题；</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2.根据项目重难点，详细阐述对应的应对措施；</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3.向招标方提出项目实施及与其他建设项目协调的具体建议。</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满足以上任意一项要求得4分，最高得12分，在此基础上。</w:t>
            </w:r>
            <w:r>
              <w:rPr>
                <w:rFonts w:hint="eastAsia" w:ascii="仿宋_GB2312" w:hAnsi="仿宋_GB2312" w:eastAsia="仿宋_GB2312" w:cs="仿宋_GB2312"/>
                <w:sz w:val="24"/>
                <w:szCs w:val="24"/>
              </w:rPr>
              <w:t>根据各供应商的具体响应内容按照量化的评审因素指标进一步评审，设定优、良、中、差四个评分标准：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优：以上项目重点难点分析、应对措施及相关的合理化建议的三点内容全面具体、针对性强、可操作性强，加</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良：以上项目重点难点分析、应对措施及相关的合理化建议的三点内容较全面、针对性较强、可操作性较强，加</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中：以上项目重点难点分析、应对措施及相关的合理化建议的三点内容完整性、针对性、可操作性均一般，加</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差：</w:t>
            </w:r>
            <w:r>
              <w:rPr>
                <w:rFonts w:hint="eastAsia" w:ascii="仿宋_GB2312" w:hAnsi="仿宋_GB2312" w:eastAsia="仿宋_GB2312" w:cs="仿宋_GB2312"/>
                <w:color w:val="auto"/>
                <w:sz w:val="24"/>
                <w:szCs w:val="24"/>
                <w:highlight w:val="none"/>
                <w:lang w:val="en-US" w:eastAsia="zh-CN"/>
              </w:rPr>
              <w:t>其它情况不得分。</w:t>
            </w:r>
          </w:p>
        </w:tc>
      </w:tr>
    </w:tbl>
    <w:p>
      <w:pPr>
        <w:pStyle w:val="16"/>
        <w:spacing w:line="560" w:lineRule="exact"/>
        <w:ind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（四）供应商提供资料清单</w:t>
      </w:r>
      <w:r>
        <w:rPr>
          <w:rFonts w:hint="eastAsia" w:ascii="楷体_GB2312" w:hAnsi="楷体_GB2312" w:eastAsia="楷体_GB2312" w:cs="楷体_GB2312"/>
          <w:b/>
          <w:bCs w:val="0"/>
          <w:color w:val="FF0000"/>
          <w:sz w:val="32"/>
          <w:szCs w:val="32"/>
          <w:lang w:eastAsia="zh-CN"/>
        </w:rPr>
        <w:t>（均需每页加盖公章）</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pPr>
      <w:r>
        <w:rPr>
          <w:rFonts w:hint="eastAsia" w:ascii="仿宋_GB2312" w:hAnsi="仿宋" w:eastAsia="仿宋_GB2312" w:cs="Times New Roman"/>
          <w:sz w:val="32"/>
        </w:rPr>
        <w:t>2.法定代表人身份证复印件；</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7"/>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）并提供表中涉及人员的近三个月社保缴纳情况，如供应商为新成立企业且成立时间不足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r>
        <w:rPr>
          <w:rFonts w:hint="eastAsia" w:ascii="仿宋_GB2312" w:hAnsi="仿宋" w:eastAsia="仿宋_GB2312" w:cs="Times New Roman"/>
          <w:sz w:val="32"/>
          <w:highlight w:val="none"/>
        </w:rPr>
        <w:t>。</w:t>
      </w:r>
    </w:p>
    <w:p>
      <w:pPr>
        <w:pStyle w:val="7"/>
        <w:spacing w:after="0" w:line="560" w:lineRule="exact"/>
        <w:ind w:left="0" w:leftChars="0" w:right="0" w:rightChars="0" w:firstLine="640"/>
        <w:rPr>
          <w:rFonts w:hint="eastAsia" w:ascii="楷体_GB2312" w:hAnsi="楷体_GB2312" w:eastAsia="楷体_GB2312" w:cs="楷体_GB2312"/>
          <w:b w:val="0"/>
          <w:bCs/>
          <w:color w:val="000000"/>
          <w:kern w:val="2"/>
          <w:sz w:val="32"/>
          <w:szCs w:val="32"/>
          <w:lang w:val="en-US" w:eastAsia="zh-CN" w:bidi="ar-SA"/>
        </w:rPr>
      </w:pPr>
      <w:r>
        <w:rPr>
          <w:rFonts w:hint="eastAsia" w:ascii="楷体_GB2312" w:hAnsi="楷体_GB2312" w:eastAsia="楷体_GB2312" w:cs="楷体_GB2312"/>
          <w:b w:val="0"/>
          <w:bCs/>
          <w:color w:val="000000"/>
          <w:kern w:val="2"/>
          <w:sz w:val="32"/>
          <w:szCs w:val="32"/>
          <w:lang w:val="en-US" w:eastAsia="zh-CN" w:bidi="ar-SA"/>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pStyle w:val="7"/>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方式提供7</w:t>
      </w:r>
      <w:r>
        <w:rPr>
          <w:rFonts w:hint="eastAsia" w:ascii="仿宋_GB2312" w:hAnsi="仿宋" w:eastAsia="仿宋_GB2312" w:cs="Times New Roman"/>
          <w:sz w:val="32"/>
        </w:rPr>
        <w:t>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_GB2312" w:eastAsia="仿宋_GB2312" w:cs="仿宋_GB2312"/>
          <w:i w:val="0"/>
          <w:caps w:val="0"/>
          <w:color w:val="auto"/>
          <w:spacing w:val="8"/>
          <w:kern w:val="2"/>
          <w:sz w:val="32"/>
          <w:szCs w:val="32"/>
          <w:lang w:val="en-US" w:eastAsia="zh-CN" w:bidi="ar-SA"/>
        </w:rPr>
        <w:t>2025年深圳市“龙华杯”青少年足球比赛</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7"/>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1"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1"/>
    </w:p>
    <w:p>
      <w:pPr>
        <w:pStyle w:val="17"/>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hint="eastAsia"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pStyle w:val="8"/>
        <w:rPr>
          <w:rFonts w:hint="eastAsia" w:ascii="仿宋_GB2312" w:hAnsi="仿宋" w:eastAsia="仿宋_GB2312" w:cs="Times New Roman"/>
          <w:sz w:val="32"/>
          <w:szCs w:val="22"/>
        </w:rPr>
      </w:pPr>
    </w:p>
    <w:p>
      <w:pPr>
        <w:pStyle w:val="8"/>
        <w:rPr>
          <w:rFonts w:hint="eastAsia" w:ascii="仿宋_GB2312" w:hAnsi="仿宋" w:eastAsia="仿宋_GB2312" w:cs="Times New Roman"/>
          <w:sz w:val="32"/>
          <w:szCs w:val="22"/>
        </w:rPr>
      </w:pPr>
    </w:p>
    <w:p>
      <w:pPr>
        <w:pStyle w:val="8"/>
        <w:rPr>
          <w:rFonts w:hint="eastAsia" w:ascii="仿宋_GB2312" w:hAnsi="仿宋" w:eastAsia="仿宋_GB2312" w:cs="Times New Roman"/>
          <w:sz w:val="32"/>
          <w:szCs w:val="22"/>
        </w:rPr>
      </w:pPr>
    </w:p>
    <w:p>
      <w:pPr>
        <w:pStyle w:val="8"/>
        <w:rPr>
          <w:rFonts w:hint="eastAsia" w:ascii="仿宋_GB2312" w:hAnsi="仿宋" w:eastAsia="仿宋_GB2312" w:cs="Times New Roman"/>
          <w:sz w:val="32"/>
          <w:szCs w:val="22"/>
        </w:rPr>
      </w:pPr>
    </w:p>
    <w:p>
      <w:pPr>
        <w:pStyle w:val="17"/>
        <w:spacing w:line="560" w:lineRule="exact"/>
        <w:ind w:firstLine="0" w:firstLineChars="0"/>
        <w:rPr>
          <w:rFonts w:hint="default" w:ascii="黑体" w:hAnsi="黑体" w:eastAsia="黑体" w:cs="黑体"/>
          <w:color w:val="000000"/>
          <w:sz w:val="32"/>
          <w:szCs w:val="32"/>
          <w:lang w:val="en-US" w:eastAsia="zh-CN"/>
        </w:rPr>
      </w:pPr>
      <w:r>
        <w:rPr>
          <w:rFonts w:hint="eastAsia" w:ascii="仿宋_GB2312" w:hAnsi="仿宋" w:eastAsia="仿宋_GB2312" w:cs="Times New Roman"/>
          <w:sz w:val="32"/>
          <w:szCs w:val="22"/>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3"/>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pStyle w:val="17"/>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10"/>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2"/>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4"/>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DDE81"/>
    <w:multiLevelType w:val="singleLevel"/>
    <w:tmpl w:val="EB9DDE81"/>
    <w:lvl w:ilvl="0" w:tentative="0">
      <w:start w:val="1"/>
      <w:numFmt w:val="chineseCounting"/>
      <w:suff w:val="nothing"/>
      <w:lvlText w:val="%1、"/>
      <w:lvlJc w:val="left"/>
      <w:rPr>
        <w:rFonts w:hint="eastAsia"/>
      </w:rPr>
    </w:lvl>
  </w:abstractNum>
  <w:abstractNum w:abstractNumId="1">
    <w:nsid w:val="4A99746B"/>
    <w:multiLevelType w:val="singleLevel"/>
    <w:tmpl w:val="4A99746B"/>
    <w:lvl w:ilvl="0" w:tentative="0">
      <w:start w:val="1"/>
      <w:numFmt w:val="chineseCounting"/>
      <w:suff w:val="nothing"/>
      <w:lvlText w:val="（%1）"/>
      <w:lvlJc w:val="left"/>
      <w:rPr>
        <w:rFonts w:hint="eastAsia"/>
      </w:rPr>
    </w:lvl>
  </w:abstractNum>
  <w:abstractNum w:abstractNumId="2">
    <w:nsid w:val="66309E8F"/>
    <w:multiLevelType w:val="singleLevel"/>
    <w:tmpl w:val="66309E8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6E1AF"/>
    <w:rsid w:val="04D5397F"/>
    <w:rsid w:val="0A4725AB"/>
    <w:rsid w:val="0D566BC9"/>
    <w:rsid w:val="14A2631D"/>
    <w:rsid w:val="14C34F24"/>
    <w:rsid w:val="165D6C96"/>
    <w:rsid w:val="20D34CF2"/>
    <w:rsid w:val="27A56A4D"/>
    <w:rsid w:val="293E783A"/>
    <w:rsid w:val="326E42CA"/>
    <w:rsid w:val="340805C4"/>
    <w:rsid w:val="3AFD213B"/>
    <w:rsid w:val="448648CA"/>
    <w:rsid w:val="4B4B2FA2"/>
    <w:rsid w:val="583B78EA"/>
    <w:rsid w:val="58A1230D"/>
    <w:rsid w:val="58B24661"/>
    <w:rsid w:val="5F2BE56A"/>
    <w:rsid w:val="671D4941"/>
    <w:rsid w:val="69701D6D"/>
    <w:rsid w:val="6DFFCD9E"/>
    <w:rsid w:val="6EBD5A97"/>
    <w:rsid w:val="71BB412E"/>
    <w:rsid w:val="795310F0"/>
    <w:rsid w:val="7D9F3A20"/>
    <w:rsid w:val="7DD39989"/>
    <w:rsid w:val="B7FE4D38"/>
    <w:rsid w:val="BBFF548B"/>
    <w:rsid w:val="BEF358D9"/>
    <w:rsid w:val="BF6F63A1"/>
    <w:rsid w:val="DFFF69F1"/>
    <w:rsid w:val="E376E1AF"/>
    <w:rsid w:val="FFEF2F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rFonts w:ascii="Calibri" w:hAnsi="Calibri" w:eastAsia="宋体" w:cs="Times New Roman"/>
    </w:rPr>
  </w:style>
  <w:style w:type="paragraph" w:styleId="4">
    <w:name w:val="Normal Indent"/>
    <w:basedOn w:val="1"/>
    <w:qFormat/>
    <w:uiPriority w:val="0"/>
    <w:pPr>
      <w:ind w:firstLine="420"/>
    </w:pPr>
    <w:rPr>
      <w:szCs w:val="20"/>
    </w:rPr>
  </w:style>
  <w:style w:type="paragraph" w:styleId="5">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6">
    <w:name w:val="Body Text"/>
    <w:basedOn w:val="1"/>
    <w:next w:val="1"/>
    <w:qFormat/>
    <w:uiPriority w:val="0"/>
    <w:pPr>
      <w:spacing w:after="120"/>
    </w:p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unhideWhenUsed/>
    <w:qFormat/>
    <w:uiPriority w:val="99"/>
    <w:rPr>
      <w:rFonts w:ascii="宋体" w:hAnsi="Calibri" w:cs="Courier New"/>
      <w:szCs w:val="21"/>
    </w:rPr>
  </w:style>
  <w:style w:type="paragraph" w:styleId="9">
    <w:name w:val="Body Text 2"/>
    <w:basedOn w:val="1"/>
    <w:qFormat/>
    <w:uiPriority w:val="0"/>
    <w:pPr>
      <w:spacing w:line="360" w:lineRule="auto"/>
    </w:pPr>
    <w:rPr>
      <w:sz w:val="24"/>
    </w:rPr>
  </w:style>
  <w:style w:type="paragraph" w:styleId="10">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5"/>
    <w:qFormat/>
    <w:uiPriority w:val="34"/>
    <w:pPr>
      <w:ind w:firstLine="420" w:firstLineChars="200"/>
    </w:pPr>
  </w:style>
  <w:style w:type="paragraph" w:customStyle="1" w:styleId="15">
    <w:name w:val="星耀正文"/>
    <w:basedOn w:val="1"/>
    <w:qFormat/>
    <w:uiPriority w:val="3"/>
    <w:pPr>
      <w:ind w:firstLine="422" w:firstLineChars="200"/>
    </w:pPr>
    <w:rPr>
      <w:rFonts w:ascii="宋体" w:hAnsi="宋体" w:eastAsia="仿宋_GB2312"/>
      <w:bCs/>
    </w:rPr>
  </w:style>
  <w:style w:type="paragraph" w:customStyle="1" w:styleId="16">
    <w:name w:val="USE 1"/>
    <w:basedOn w:val="1"/>
    <w:qFormat/>
    <w:uiPriority w:val="0"/>
    <w:pPr>
      <w:spacing w:line="200" w:lineRule="atLeast"/>
      <w:jc w:val="left"/>
    </w:pPr>
    <w:rPr>
      <w:rFonts w:ascii="宋体" w:hAnsi="宋体"/>
      <w:b/>
      <w:sz w:val="24"/>
      <w:szCs w:val="28"/>
    </w:rPr>
  </w:style>
  <w:style w:type="paragraph" w:customStyle="1" w:styleId="1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8">
    <w:name w:val="_Style 3"/>
    <w:basedOn w:val="1"/>
    <w:next w:val="1"/>
    <w:qFormat/>
    <w:uiPriority w:val="99"/>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4604</Words>
  <Characters>4823</Characters>
  <Lines>0</Lines>
  <Paragraphs>0</Paragraphs>
  <TotalTime>404</TotalTime>
  <ScaleCrop>false</ScaleCrop>
  <LinksUpToDate>false</LinksUpToDate>
  <CharactersWithSpaces>4954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2025-04-14T01:16:00Z</dcterms:created>
  <dc:creator>yang</dc:creator>
  <cp:lastModifiedBy>lxy</cp:lastModifiedBy>
  <dcterms:modified xsi:type="dcterms:W3CDTF">2025-10-10T17:13:05Z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E485C7BFBA1B5C8F21CEE8684D867D4E</vt:lpwstr>
  </property>
  <property fmtid="{D5CDD505-2E9C-101B-9397-08002B2CF9AE}" pid="4" name="KSOTemplateDocerSaveRecord">
    <vt:lpwstr>eyJoZGlkIjoiYWQ3ZTMwN2Y3NDYwNDBhNDA3NTFiMzA0ZThhZWM1M2EiLCJ1c2VySWQiOiI0Mzg4MDM0NDUifQ==</vt:lpwstr>
  </property>
</Properties>
</file>