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附件2</w:t>
      </w:r>
    </w:p>
    <w:p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知识产权指标说明</w:t>
      </w:r>
    </w:p>
    <w:bookmarkEnd w:id="0"/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所称“Ⅰ类知识产权”包括发明专利（含国防专利）、植物新品种、国家级农作物品种、国家新药、国家一级中药保护品种、集成电路布图设计专有权（均不包含转让未满1年的知识产权）。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所称“Ⅰ类高价值知识产权”须符合以下条件之一：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1.在海外有同族专利权的发明专利或在海外取得收入的其他Ⅰ类知识产权，其中专利限G20成员、新加坡以及欧洲专利局经实质审查后获得授权的发明专利。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2.维持年限超过10年的Ⅰ类知识产权。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3.实现较高质押融资金额的Ⅰ类知识产权。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4.获得国家科学技术奖或中国专利奖的Ⅰ类知识产权。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所称“Ⅱ类知识产权”包括与主导产品相关的软件著作权（不含商标）、授权后维持超过2年的实用新型专利或外观设计专利（均不包含转让未满1年的知识产权）。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ZmJiMDM5MWYyOGMxZWE2ZjZlYmY1ZTRmYzMxMDMifQ=="/>
  </w:docVars>
  <w:rsids>
    <w:rsidRoot w:val="00000000"/>
    <w:rsid w:val="2BDE6BB1"/>
    <w:rsid w:val="32B36390"/>
    <w:rsid w:val="7FEFF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356</Characters>
  <Lines>0</Lines>
  <Paragraphs>0</Paragraphs>
  <TotalTime>2</TotalTime>
  <ScaleCrop>false</ScaleCrop>
  <LinksUpToDate>false</LinksUpToDate>
  <CharactersWithSpaces>356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2022-09-12T12:05:00Z</dcterms:created>
  <dc:creator>Daisy</dc:creator>
  <cp:lastModifiedBy>LENG</cp:lastModifiedBy>
  <dcterms:modified xsi:type="dcterms:W3CDTF">2025-10-14T11:53:45Z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4623B676E0D12D2849C9ED68C2681073</vt:lpwstr>
  </property>
</Properties>
</file>