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微软雅黑" w:hAnsi="微软雅黑" w:eastAsia="微软雅黑" w:cs="微软雅黑"/>
          <w:b/>
          <w:bCs w:val="0"/>
          <w:kern w:val="2"/>
          <w:sz w:val="52"/>
          <w:szCs w:val="52"/>
          <w:lang w:val="en-US" w:eastAsia="zh-CN" w:bidi="ar-SA"/>
        </w:rPr>
      </w:pPr>
      <w:r>
        <w:rPr>
          <w:rFonts w:hint="eastAsia" w:ascii="微软雅黑" w:hAnsi="微软雅黑" w:eastAsia="微软雅黑" w:cs="微软雅黑"/>
          <w:b/>
          <w:bCs w:val="0"/>
          <w:kern w:val="2"/>
          <w:sz w:val="52"/>
          <w:szCs w:val="52"/>
          <w:lang w:val="en-US" w:eastAsia="zh-CN" w:bidi="ar-SA"/>
        </w:rPr>
        <w:t>2025龙华绿道骑游嘉年华（暂定名）活动项目需求书</w:t>
      </w:r>
    </w:p>
    <w:p>
      <w:pPr>
        <w:pStyle w:val="11"/>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微软雅黑" w:hAnsi="微软雅黑" w:eastAsia="微软雅黑" w:cs="微软雅黑"/>
          <w:b/>
          <w:bCs w:val="0"/>
          <w:kern w:val="2"/>
          <w:sz w:val="52"/>
          <w:szCs w:val="52"/>
          <w:lang w:val="en-US" w:eastAsia="zh-CN" w:bidi="ar-SA"/>
        </w:rPr>
      </w:pP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kern w:val="2"/>
          <w:sz w:val="32"/>
          <w:szCs w:val="32"/>
          <w:lang w:val="en-US" w:eastAsia="zh-CN" w:bidi="ar-SA"/>
        </w:rPr>
        <w:t>一、</w:t>
      </w: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打造的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体育+生态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品牌项目，深圳龙华绿道自行车</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rPr>
        <w:t>依托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环山贯水、串景连园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的绿道体系，将牛湖水碧道特色赛道上展开，同步开展绿道保护宣传、低碳出行倡议等公益活动。</w:t>
      </w:r>
      <w:r>
        <w:rPr>
          <w:rFonts w:hint="eastAsia" w:ascii="仿宋_GB2312" w:hAnsi="仿宋_GB2312" w:eastAsia="仿宋_GB2312" w:cs="仿宋_GB2312"/>
          <w:kern w:val="0"/>
          <w:sz w:val="32"/>
          <w:szCs w:val="32"/>
          <w:lang w:val="en-US" w:eastAsia="zh-CN" w:bidi="ar-SA"/>
        </w:rPr>
        <w:t>不仅让居民在骑游中亲身感受“推窗见绿、出门入园” 的宜居底色，更以“骑游 + 健康艺术疗愈”为IP支点，撬动休闲消费市场活力。</w:t>
      </w:r>
    </w:p>
    <w:p>
      <w:pPr>
        <w:keepNext w:val="0"/>
        <w:keepLines w:val="0"/>
        <w:pageBreakBefore w:val="0"/>
        <w:numPr>
          <w:ilvl w:val="0"/>
          <w:numId w:val="0"/>
        </w:numPr>
        <w:tabs>
          <w:tab w:val="left" w:pos="359"/>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lang w:val="en-US" w:eastAsia="zh-CN"/>
        </w:rPr>
        <w:t>时间安排</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12月（暂定）</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kern w:val="2"/>
          <w:sz w:val="32"/>
          <w:szCs w:val="32"/>
          <w:lang w:val="en-US" w:eastAsia="zh-CN" w:bidi="ar-SA"/>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（一）项目概况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2025龙华绿道骑游嘉年华（暂定名）活动</w:t>
      </w:r>
      <w:r>
        <w:rPr>
          <w:rFonts w:hint="eastAsia" w:ascii="仿宋_GB2312" w:hAnsi="仿宋_GB2312" w:eastAsia="仿宋_GB2312" w:cs="仿宋_GB2312"/>
          <w:kern w:val="2"/>
          <w:sz w:val="32"/>
          <w:szCs w:val="20"/>
          <w:lang w:val="en-US" w:eastAsia="zh-CN" w:bidi="ar-SA"/>
        </w:rPr>
        <w:t>，为休闲骑游活动，参与人员为业余自行车爱好者，实行绿道休闲骑游模式，设置骑行绿道打卡点，更好宣传龙华区绿道。参与活动人数约：500人。</w:t>
      </w: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（二）具体要求</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1.负责组织活动报名，参与活动人员审查，并分发活动物资。</w:t>
      </w:r>
    </w:p>
    <w:p>
      <w:pPr>
        <w:pStyle w:val="7"/>
        <w:keepNext w:val="0"/>
        <w:keepLines w:val="0"/>
        <w:pageBreakBefore w:val="0"/>
        <w:widowControl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2.负责统筹活动前期准备工作，组建活动工作人员，拟定活动方案和经费报价方案。</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3.负责所有活动物料设计、制作与分发，包括但不限于号码布、纪念背包、活动T恤、活动奖牌等。</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4.确保活动服务到位，沿途的活动补给站提供充足的饮用水、功能饮料和能量食品。</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5.加强媒体宣传报道，对此次活动的媒体宣传需要2分钟新闻短片和线上新媒体宣传报道。</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6.落实医疗救援，配备专业的医疗救援服务包括起止点及沿线关键点位设置固定医疗点。</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7.活动现场安全保障，落实安保人员到位，负责秩序维护，人群控制和人流疏导。</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8.认真做好活动收尾各项工作，及时总结经验，表彰先进。</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9.负责主办方交办的其他事项。</w:t>
      </w:r>
    </w:p>
    <w:p>
      <w:pPr>
        <w:keepNext w:val="0"/>
        <w:keepLines w:val="0"/>
        <w:pageBreakBefore w:val="0"/>
        <w:widowControl w:val="0"/>
        <w:numPr>
          <w:ilvl w:val="0"/>
          <w:numId w:val="0"/>
        </w:numPr>
        <w:tabs>
          <w:tab w:val="left" w:pos="1820"/>
        </w:tabs>
        <w:kinsoku/>
        <w:wordWrap/>
        <w:overflowPunct/>
        <w:topLinePunct w:val="0"/>
        <w:autoSpaceDE/>
        <w:autoSpaceDN/>
        <w:bidi w:val="0"/>
        <w:adjustRightInd w:val="0"/>
        <w:snapToGrid w:val="0"/>
        <w:spacing w:line="240" w:lineRule="auto"/>
        <w:ind w:right="0" w:rightChars="0"/>
        <w:jc w:val="left"/>
        <w:textAlignment w:val="auto"/>
        <w:rPr>
          <w:rFonts w:hint="eastAsia"/>
          <w:lang w:val="en-US" w:eastAsia="zh-CN"/>
        </w:rPr>
      </w:pP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i w:val="0"/>
          <w:color w:val="000000"/>
          <w:sz w:val="32"/>
          <w:szCs w:val="32"/>
          <w:highlight w:val="none"/>
          <w:lang w:val="en-US" w:eastAsia="zh-CN"/>
        </w:rPr>
        <w:t>500000</w:t>
      </w:r>
      <w:r>
        <w:rPr>
          <w:rFonts w:hint="eastAsia" w:ascii="仿宋_GB2312" w:hAnsi="仿宋_GB2312" w:eastAsia="仿宋_GB2312" w:cs="仿宋_GB2312"/>
          <w:sz w:val="32"/>
          <w:szCs w:val="32"/>
          <w:highlight w:val="none"/>
          <w:lang w:val="en-US" w:eastAsia="zh-CN"/>
        </w:rPr>
        <w:t>元</w:t>
      </w:r>
      <w:r>
        <w:rPr>
          <w:rFonts w:hint="eastAsia" w:ascii="仿宋_GB2312" w:hAnsi="仿宋" w:eastAsia="仿宋_GB2312" w:cs="仿宋"/>
          <w:kern w:val="2"/>
          <w:sz w:val="32"/>
          <w:szCs w:val="32"/>
          <w:highlight w:val="none"/>
          <w:lang w:val="en-US" w:eastAsia="zh-CN" w:bidi="ar-SA"/>
        </w:rPr>
        <w:t>，其中报价项目表需与下表项目保持一致</w:t>
      </w:r>
      <w:r>
        <w:rPr>
          <w:rFonts w:hint="eastAsia" w:ascii="仿宋_GB2312" w:hAnsi="仿宋_GB2312" w:eastAsia="仿宋_GB2312" w:cs="仿宋_GB2312"/>
          <w:color w:val="auto"/>
          <w:kern w:val="2"/>
          <w:sz w:val="32"/>
          <w:szCs w:val="32"/>
          <w:highlight w:val="none"/>
          <w:lang w:val="en-US" w:eastAsia="zh-CN" w:bidi="ar-SA"/>
        </w:rPr>
        <w:t>：</w:t>
      </w:r>
    </w:p>
    <w:tbl>
      <w:tblPr>
        <w:tblStyle w:val="12"/>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1121"/>
        <w:gridCol w:w="5405"/>
        <w:gridCol w:w="721"/>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2025龙华绿道骑游嘉年华（暂定名）活动内容表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内容</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起终点门楼</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起点与终点共用一个（10m*4m*1m）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门楼地面画面（10m*1m）及指引地贴</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主舞台</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国标舞台，含地毯（9.76m*3.66m*0.8m）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台阶（1.22m）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大屏系统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LED大屏幕 （10*3m）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平方 </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配套设备1组（电源线、PVP、监视器）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音响系统</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线阵音响4+2+2（带返听2支）</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配套设备1组（64路调音台、无线话筒、收音器）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主会场、赛道、功能区</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普通帐篷（3*3m 赛道补给、主会场、功能区、嘉年华区用）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顶</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帐篷眉头（3*0.3m）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起终点桌椅（各个功能服务点，1张桌子2把椅子）</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刀旗（注水座，5米）</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A板隔离（1m*2m，隔离）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A板指示牌（0.8m*1.2m，公里牌、指引牌）</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雪糕筒（含反光、流线导向、路口管制用）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起跑带（含画面 8*0.4m）</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发言台（含画面 1m高）</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开场表演（节目*2）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主持人（含彩排）</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礼仪小姐（含服装）</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音响师、大屏师（含彩排）</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人工运输（含安装、拆卸、调整）</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对讲机租赁（用2天）</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部</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工作证（医疗人员、工作人员、志愿者、安保等）</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打卡点、奖品</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打卡点背景板：5*3m ，5处</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打卡点桌椅：各个打卡点2套，1张桌子2把椅子/套</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套 </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打卡点物料：问答卡、飞盘道具、便签纸、签字笔、剪刀</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布置/物料：健康分享区/疗愈减压区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集章卡</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抽奖奖品</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份</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宣传报道</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2分钟新闻短片（深圳电视台）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邀约KOL选手：骑行KOL选手，各平台运动、旅游类型KOL</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摄影师3人（2000元/人），摄像师2人（2000元/人），共5人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活动参与者补给</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活动用水550ml/支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功能饮料500ml/支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活动补给（香蕉、面包、葡萄干）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活动参与者物资</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活动T恤：骑游活动参与者（500人）、志愿者（100人）、骑行台比赛参与者（100人）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骑行台比赛活动水壶：骑行台比赛参与者（100人）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纪念背包：活动参与者（500人）、志愿者（100人）、骑行台比赛参与者（100人）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定制号码布或牌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活动奖牌：骑游活动参与者（500人）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工作人员劳务费</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工作人员：工作周期为2天，每天劳务费250元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餐饮保障</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餐饮保障（医疗人员、工作人员、志愿者、安保人员等）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报名系统</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线下报名系统及合作平台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（如搭建平台）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骑行台比赛布置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骑行台比赛现场布置（包括骑行台设备、屏幕+软件）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背景板5*3m </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露营椅子（折叠）</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医疗保障</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医护人员</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租用AED</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医疗培训</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急救包</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份</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救护车</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辆</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救援自行车或电助力车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安保费用</w:t>
            </w: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安保人员：维持现场秩序（全日）</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安保物资采购费：警戒带、扎带等</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300个铁马的搬运和摆放（不含铁马）</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VI设计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活动主kv、选手装备设计、定制异性奖牌设计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2"/>
                <w:szCs w:val="22"/>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线上系统延伸设计、线上线路规划图等系统设计、线上荣誉证件等设计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6"/>
                <w:szCs w:val="26"/>
                <w:u w:val="none"/>
              </w:rPr>
            </w:pPr>
            <w:r>
              <w:rPr>
                <w:rFonts w:hint="eastAsia" w:ascii="微软雅黑" w:hAnsi="微软雅黑" w:eastAsia="微软雅黑" w:cs="微软雅黑"/>
                <w:b/>
                <w:bCs/>
                <w:i w:val="0"/>
                <w:iCs w:val="0"/>
                <w:color w:val="000000"/>
                <w:kern w:val="0"/>
                <w:sz w:val="26"/>
                <w:szCs w:val="26"/>
                <w:highlight w:val="none"/>
                <w:u w:val="none"/>
                <w:lang w:val="en-US" w:eastAsia="zh-CN" w:bidi="ar"/>
              </w:rPr>
              <w:t>供应商报价：_______万元</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textAlignment w:val="auto"/>
        <w:rPr>
          <w:rFonts w:hint="default" w:ascii="仿宋_GB2312" w:hAnsi="仿宋" w:eastAsia="仿宋_GB2312" w:cs="仿宋"/>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6"/>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6"/>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6"/>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lang w:eastAsia="zh-CN"/>
        </w:rPr>
      </w:pPr>
      <w:r>
        <w:rPr>
          <w:rFonts w:hint="eastAsia" w:ascii="仿宋_GB2312" w:hAnsi="仿宋" w:eastAsia="仿宋_GB2312"/>
          <w:color w:val="auto"/>
          <w:sz w:val="32"/>
          <w:highlight w:val="none"/>
          <w:lang w:eastAsia="zh-CN"/>
        </w:rPr>
        <w:t>采用公开征集采购方式，以综合评分</w:t>
      </w:r>
      <w:r>
        <w:rPr>
          <w:rFonts w:hint="eastAsia" w:ascii="仿宋_GB2312" w:hAnsi="仿宋" w:eastAsia="仿宋_GB2312"/>
          <w:color w:val="auto"/>
          <w:sz w:val="32"/>
          <w:highlight w:val="none"/>
        </w:rPr>
        <w:t>法</w:t>
      </w:r>
      <w:r>
        <w:rPr>
          <w:rFonts w:hint="eastAsia" w:ascii="仿宋_GB2312" w:hAnsi="仿宋" w:eastAsia="仿宋_GB2312"/>
          <w:color w:val="auto"/>
          <w:sz w:val="32"/>
          <w:highlight w:val="none"/>
          <w:lang w:eastAsia="zh-CN"/>
        </w:rPr>
        <w:t>确定供应商。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5"/>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5"/>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3"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5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商务</w:t>
            </w:r>
            <w:r>
              <w:rPr>
                <w:rFonts w:hint="eastAsia" w:ascii="仿宋_GB2312" w:hAnsi="仿宋_GB2312" w:eastAsia="仿宋_GB2312" w:cs="仿宋_GB2312"/>
                <w:b w:val="0"/>
                <w:bCs/>
                <w:szCs w:val="24"/>
                <w:highlight w:val="none"/>
                <w:lang w:eastAsia="zh-CN"/>
              </w:rPr>
              <w:t>部分</w:t>
            </w:r>
          </w:p>
        </w:tc>
        <w:tc>
          <w:tcPr>
            <w:tcW w:w="2009"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技术</w:t>
            </w:r>
            <w:r>
              <w:rPr>
                <w:rFonts w:hint="eastAsia" w:ascii="仿宋_GB2312" w:hAnsi="仿宋_GB2312" w:eastAsia="仿宋_GB2312" w:cs="仿宋_GB2312"/>
                <w:b w:val="0"/>
                <w:bCs/>
                <w:szCs w:val="24"/>
                <w:highlight w:val="none"/>
                <w:lang w:eastAsia="zh-CN"/>
              </w:rPr>
              <w:t>部分</w:t>
            </w:r>
          </w:p>
        </w:tc>
        <w:tc>
          <w:tcPr>
            <w:tcW w:w="216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983"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5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c>
          <w:tcPr>
            <w:tcW w:w="2009"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161" w:type="dxa"/>
            <w:noWrap w:val="0"/>
            <w:vAlign w:val="top"/>
          </w:tcPr>
          <w:p>
            <w:pPr>
              <w:pStyle w:val="15"/>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5"/>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1.商务能力</w:t>
      </w:r>
    </w:p>
    <w:tbl>
      <w:tblPr>
        <w:tblStyle w:val="12"/>
        <w:tblW w:w="8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700"/>
        <w:gridCol w:w="2174"/>
        <w:gridCol w:w="4667"/>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jc w:val="center"/>
        </w:trPr>
        <w:tc>
          <w:tcPr>
            <w:tcW w:w="6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商务部分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拟安排的项目团队成员情况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具备相关体育专业大专或以上学历的或持有相关体育专业的教练证或相关活动经验证明，每</w:t>
            </w:r>
            <w:r>
              <w:rPr>
                <w:rFonts w:hint="eastAsia" w:ascii="仿宋_GB2312" w:hAnsi="宋体" w:eastAsia="仿宋_GB2312" w:cs="仿宋_GB2312"/>
                <w:i w:val="0"/>
                <w:iCs w:val="0"/>
                <w:color w:val="000000"/>
                <w:kern w:val="0"/>
                <w:sz w:val="24"/>
                <w:szCs w:val="24"/>
                <w:highlight w:val="none"/>
                <w:u w:val="none"/>
                <w:lang w:val="en-US" w:eastAsia="zh-CN" w:bidi="ar"/>
              </w:rPr>
              <w:t>提供一个得2分，最高得10分。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1.提供</w:t>
            </w:r>
            <w:r>
              <w:rPr>
                <w:rFonts w:hint="eastAsia" w:ascii="仿宋_GB2312" w:hAnsi="宋体" w:eastAsia="仿宋_GB2312" w:cs="仿宋_GB2312"/>
                <w:i w:val="0"/>
                <w:iCs w:val="0"/>
                <w:color w:val="000000"/>
                <w:kern w:val="0"/>
                <w:sz w:val="24"/>
                <w:szCs w:val="24"/>
                <w:highlight w:val="none"/>
                <w:u w:val="none"/>
                <w:lang w:val="en-US" w:eastAsia="zh-CN" w:bidi="ar"/>
              </w:rPr>
              <w:t>项目团队成员学位证书、毕业证书、教练证、相关活动经验证明（须体现专业类别）扫描件或复印件；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2.未提供证明材料或者提供的证明材料不符合要求或提供的证明材料不清晰评审专法辨认的，不得分。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2"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同类项目业绩</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自2022年1月1日起至本项目投标截止之日止（以合同签约时间为准），投标人提供一个文体活动业绩得5分，本项最高得分10分。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1.投标人提供相关证明资料作为得分依据，同时提供合同关键信息（包括但不限于：合同名称页、合同主要内容页、合同签订日期页、合同双方签字盖章页）或项目验收（或履约评价）证明文件作为得分依据。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2.一年一签的长期服务续签合同（即同一中标服务期内或同一个项目只计算为一个业绩），不重复计分。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3.未提供证明材料或者提供的证明材料不符合要求或提供的证明材料不清晰采购监督小组无法辨认的，不得分。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诚信评价</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提供《诚信承诺书》（详见附件1）得5分，未提供或内容不符不得分。未提供不得分。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2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服务承诺书</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承诺满足招标文件要求，保证措施合理且有针对性，有具体的服务承诺。</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w:t>
            </w:r>
            <w:r>
              <w:rPr>
                <w:rFonts w:hint="eastAsia" w:ascii="仿宋_GB2312" w:hAnsi="宋体" w:eastAsia="仿宋_GB2312" w:cs="仿宋_GB2312"/>
                <w:i w:val="0"/>
                <w:iCs w:val="0"/>
                <w:color w:val="000000"/>
                <w:kern w:val="0"/>
                <w:sz w:val="24"/>
                <w:szCs w:val="24"/>
                <w:highlight w:val="none"/>
                <w:u w:val="none"/>
                <w:lang w:val="en-US" w:eastAsia="zh-CN" w:bidi="ar"/>
              </w:rPr>
              <w:t>《服务承诺书》</w:t>
            </w:r>
            <w:r>
              <w:rPr>
                <w:rFonts w:hint="eastAsia" w:ascii="仿宋_GB2312" w:hAnsi="宋体" w:eastAsia="仿宋_GB2312" w:cs="仿宋_GB2312"/>
                <w:i w:val="0"/>
                <w:iCs w:val="0"/>
                <w:color w:val="000000"/>
                <w:kern w:val="0"/>
                <w:sz w:val="24"/>
                <w:szCs w:val="24"/>
                <w:u w:val="none"/>
                <w:lang w:val="en-US" w:eastAsia="zh-CN" w:bidi="ar"/>
              </w:rPr>
              <w:t>得5分，未提供不得分。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bl>
    <w:p>
      <w:pPr>
        <w:rPr>
          <w:rFonts w:hint="eastAsia" w:ascii="仿宋_GB2312" w:eastAsia="仿宋_GB2312"/>
          <w:sz w:val="32"/>
          <w:szCs w:val="32"/>
        </w:rPr>
      </w:pPr>
      <w:r>
        <w:rPr>
          <w:rFonts w:hint="eastAsia" w:ascii="仿宋_GB2312" w:eastAsia="仿宋_GB2312"/>
          <w:sz w:val="32"/>
          <w:szCs w:val="32"/>
        </w:rPr>
        <w:t>2.技术部分</w:t>
      </w:r>
    </w:p>
    <w:tbl>
      <w:tblPr>
        <w:tblStyle w:val="12"/>
        <w:tblpPr w:leftFromText="180" w:rightFromText="180" w:vertAnchor="text" w:horzAnchor="page" w:tblpX="1740" w:tblpY="1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01"/>
        <w:gridCol w:w="3179"/>
        <w:gridCol w:w="3708"/>
        <w:gridCol w:w="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技术部分</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方案</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1.项目整体规划，含活动组织策划、前期筹备等内容；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2.活动宣传，含报道撰稿、照片记录等内容；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3.活动应急处置预案，含突发情况的熔断机制设置；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4.活动医疗用品保障，含医疗用品等内容；</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5.活动人员配置规划，含教练员、工作人员的职责安排等内容；        6.活动后勤保障，含比活动期间，相关的物资及需求须及时补给。</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满足评分内容任意一项内容得</w:t>
            </w:r>
            <w:r>
              <w:rPr>
                <w:rFonts w:hint="default" w:ascii="仿宋_GB2312" w:hAnsi="宋体" w:eastAsia="仿宋_GB2312" w:cs="仿宋_GB2312"/>
                <w:i w:val="0"/>
                <w:iCs w:val="0"/>
                <w:color w:val="000000"/>
                <w:kern w:val="0"/>
                <w:sz w:val="18"/>
                <w:szCs w:val="18"/>
                <w:highlight w:val="none"/>
                <w:u w:val="none"/>
                <w:lang w:val="en-US" w:eastAsia="zh-CN" w:bidi="ar"/>
              </w:rPr>
              <w:t>3</w:t>
            </w:r>
            <w:r>
              <w:rPr>
                <w:rFonts w:hint="eastAsia" w:ascii="仿宋_GB2312" w:hAnsi="宋体" w:eastAsia="仿宋_GB2312" w:cs="仿宋_GB2312"/>
                <w:i w:val="0"/>
                <w:iCs w:val="0"/>
                <w:color w:val="000000"/>
                <w:kern w:val="0"/>
                <w:sz w:val="18"/>
                <w:szCs w:val="18"/>
                <w:highlight w:val="none"/>
                <w:u w:val="none"/>
                <w:lang w:val="en-US" w:eastAsia="zh-CN" w:bidi="ar"/>
              </w:rPr>
              <w:t>分,最高18分。在此基础上,由评标委员会对实施方案进一步评审: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1.方案合理、条理清晰、可操作强的加7分;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2.方案较合理、条理较清晰、可操作较强的加5分;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3.方案不合理、条理不清晰、可操作性差的加3分;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yellow"/>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4.方案极不合理、条理极不清晰、可操作极差的不加分。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yellow"/>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项目重点难点分析、应对措施及相关的合理化建议</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考察对项目工作量、可完成度等重点难点问题的识别和分析能力，并就识别出的重点难点提出可行的应对措施及合理化建议。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1.详细阐述本项目存在的重难点问题；</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2.根据项目重难点，详细阐述对应的应对措施；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3.向招标方提出项目实施及与其他建设项目协调的具体建议。</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满足评分内容任意一项内容得3分，最高9分。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1.方案合理、条理清晰、可操作强的加6分;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2.方案较合理、条理较清晰、可操作较强的加4分;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3.方案不合理、条理不清晰、可操作性差的加2分;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4.方案极不合理、条理极不清晰、可操作极差的不加分。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15</w:t>
            </w:r>
          </w:p>
        </w:tc>
      </w:tr>
    </w:tbl>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.报价</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textAlignment w:val="auto"/>
        <w:rPr>
          <w:rFonts w:ascii="仿宋_GB2312" w:hAnsi="仿宋" w:eastAsia="仿宋_GB2312"/>
          <w:color w:val="FF0000"/>
          <w:sz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pPr>
        <w:pStyle w:val="15"/>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auto"/>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三</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ind w:firstLine="640" w:firstLineChars="20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highlight w:val="none"/>
          <w:lang w:val="en-US" w:eastAsia="zh-CN"/>
        </w:rPr>
        <w:t>并在封面备注“2025龙华绿道骑游嘉年华（暂定名）活动项目</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lang w:val="en-US" w:eastAsia="zh-CN"/>
        </w:rPr>
        <w:t>+公司全称+日期+联系人+联系方式”。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0755-21039487</w:t>
      </w: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eastAsia" w:ascii="黑体" w:hAnsi="黑体" w:eastAsia="黑体" w:cs="黑体"/>
          <w:color w:val="000000"/>
          <w:sz w:val="32"/>
          <w:szCs w:val="32"/>
          <w:lang w:eastAsia="zh-CN"/>
        </w:rPr>
      </w:pPr>
    </w:p>
    <w:p>
      <w:pPr>
        <w:pStyle w:val="18"/>
        <w:spacing w:line="560" w:lineRule="exact"/>
        <w:ind w:firstLine="0" w:firstLineChars="0"/>
        <w:rPr>
          <w:rFonts w:hint="default" w:ascii="黑体" w:hAnsi="黑体" w:eastAsia="黑体" w:cs="黑体"/>
          <w:color w:val="000000"/>
          <w:sz w:val="32"/>
          <w:szCs w:val="32"/>
          <w:lang w:val="en-US" w:eastAsia="zh-CN"/>
        </w:rPr>
      </w:pPr>
      <w:bookmarkStart w:id="1" w:name="_GoBack"/>
      <w:bookmarkEnd w:id="1"/>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ZTMwN2Y3NDYwNDBhNDA3NTFiMzA0ZThhZWM1M2EifQ=="/>
  </w:docVars>
  <w:rsids>
    <w:rsidRoot w:val="FFF64914"/>
    <w:rsid w:val="0096076A"/>
    <w:rsid w:val="014F6F93"/>
    <w:rsid w:val="022D2583"/>
    <w:rsid w:val="05655623"/>
    <w:rsid w:val="058A094E"/>
    <w:rsid w:val="05ED6FAB"/>
    <w:rsid w:val="067E2742"/>
    <w:rsid w:val="069C7AF9"/>
    <w:rsid w:val="09213488"/>
    <w:rsid w:val="0A254A2D"/>
    <w:rsid w:val="0AE803AB"/>
    <w:rsid w:val="0CC37F97"/>
    <w:rsid w:val="0E7D53B8"/>
    <w:rsid w:val="0F8B8B91"/>
    <w:rsid w:val="0FBA259F"/>
    <w:rsid w:val="0FC71FAC"/>
    <w:rsid w:val="115832F0"/>
    <w:rsid w:val="11671282"/>
    <w:rsid w:val="119D676C"/>
    <w:rsid w:val="12FB3668"/>
    <w:rsid w:val="13134AB0"/>
    <w:rsid w:val="133E79B2"/>
    <w:rsid w:val="13890BDB"/>
    <w:rsid w:val="15130045"/>
    <w:rsid w:val="1594066F"/>
    <w:rsid w:val="15A021BE"/>
    <w:rsid w:val="1A151493"/>
    <w:rsid w:val="1D45755C"/>
    <w:rsid w:val="1DD75CB6"/>
    <w:rsid w:val="1E8C36C6"/>
    <w:rsid w:val="1EBD4792"/>
    <w:rsid w:val="1EF41A96"/>
    <w:rsid w:val="1F5FD7CF"/>
    <w:rsid w:val="1F9437D9"/>
    <w:rsid w:val="21C81DCC"/>
    <w:rsid w:val="22F53F69"/>
    <w:rsid w:val="238F4CDB"/>
    <w:rsid w:val="23D0088A"/>
    <w:rsid w:val="23F434C9"/>
    <w:rsid w:val="24A40AEE"/>
    <w:rsid w:val="25AA75DE"/>
    <w:rsid w:val="26EB501C"/>
    <w:rsid w:val="27EC0CE3"/>
    <w:rsid w:val="28FE2D82"/>
    <w:rsid w:val="299D02AB"/>
    <w:rsid w:val="2A1E1CDB"/>
    <w:rsid w:val="2A981691"/>
    <w:rsid w:val="2BD663EE"/>
    <w:rsid w:val="2CC95A74"/>
    <w:rsid w:val="2D400D07"/>
    <w:rsid w:val="2E6C2393"/>
    <w:rsid w:val="2EFD23C7"/>
    <w:rsid w:val="2F1D5B2D"/>
    <w:rsid w:val="2FCEC403"/>
    <w:rsid w:val="2FD76C4F"/>
    <w:rsid w:val="2FDD3D85"/>
    <w:rsid w:val="2FFF79D9"/>
    <w:rsid w:val="311727C9"/>
    <w:rsid w:val="322B53D5"/>
    <w:rsid w:val="326B6DA8"/>
    <w:rsid w:val="33DA9892"/>
    <w:rsid w:val="344B04D7"/>
    <w:rsid w:val="369606A6"/>
    <w:rsid w:val="374874B7"/>
    <w:rsid w:val="384F556D"/>
    <w:rsid w:val="396A0117"/>
    <w:rsid w:val="3BF21527"/>
    <w:rsid w:val="3C5B4FAA"/>
    <w:rsid w:val="3D1461AB"/>
    <w:rsid w:val="3EF23B8C"/>
    <w:rsid w:val="405DBB97"/>
    <w:rsid w:val="41E60E43"/>
    <w:rsid w:val="43C24B92"/>
    <w:rsid w:val="44D2693A"/>
    <w:rsid w:val="45E416CD"/>
    <w:rsid w:val="45E71448"/>
    <w:rsid w:val="47AB3356"/>
    <w:rsid w:val="492F224C"/>
    <w:rsid w:val="4AFD1440"/>
    <w:rsid w:val="4CFC1623"/>
    <w:rsid w:val="4D994EAC"/>
    <w:rsid w:val="4F980780"/>
    <w:rsid w:val="507A5CCD"/>
    <w:rsid w:val="509C327C"/>
    <w:rsid w:val="51A2567A"/>
    <w:rsid w:val="530E3AB2"/>
    <w:rsid w:val="53A215A6"/>
    <w:rsid w:val="56736574"/>
    <w:rsid w:val="57DFD3E1"/>
    <w:rsid w:val="57E115C8"/>
    <w:rsid w:val="58D85DBD"/>
    <w:rsid w:val="5AC1544A"/>
    <w:rsid w:val="5BFDE88F"/>
    <w:rsid w:val="5BFF0E04"/>
    <w:rsid w:val="5EB31998"/>
    <w:rsid w:val="5EEA7876"/>
    <w:rsid w:val="5F32D00A"/>
    <w:rsid w:val="5F8B76F4"/>
    <w:rsid w:val="63D108EB"/>
    <w:rsid w:val="65B4445A"/>
    <w:rsid w:val="661F2C0A"/>
    <w:rsid w:val="673E6E35"/>
    <w:rsid w:val="688C3DBB"/>
    <w:rsid w:val="6AA77C70"/>
    <w:rsid w:val="6B864EA6"/>
    <w:rsid w:val="6BDFA046"/>
    <w:rsid w:val="6D1F25AD"/>
    <w:rsid w:val="6E96BA6A"/>
    <w:rsid w:val="6FEDCB89"/>
    <w:rsid w:val="6FF36FF9"/>
    <w:rsid w:val="701B6B38"/>
    <w:rsid w:val="704A7998"/>
    <w:rsid w:val="710B2583"/>
    <w:rsid w:val="71B67453"/>
    <w:rsid w:val="72316892"/>
    <w:rsid w:val="753231B8"/>
    <w:rsid w:val="76E7DC48"/>
    <w:rsid w:val="76ED0E45"/>
    <w:rsid w:val="777E7A71"/>
    <w:rsid w:val="77B26536"/>
    <w:rsid w:val="77F539DA"/>
    <w:rsid w:val="77FB6E77"/>
    <w:rsid w:val="793795FC"/>
    <w:rsid w:val="7A2F0100"/>
    <w:rsid w:val="7C4D5483"/>
    <w:rsid w:val="7D39300F"/>
    <w:rsid w:val="7D5E0838"/>
    <w:rsid w:val="7DFF8683"/>
    <w:rsid w:val="7E1BBB15"/>
    <w:rsid w:val="7FBBCC4F"/>
    <w:rsid w:val="7FCBB371"/>
    <w:rsid w:val="7FDEAB7F"/>
    <w:rsid w:val="7FFD264E"/>
    <w:rsid w:val="94DB79A7"/>
    <w:rsid w:val="9FF66C64"/>
    <w:rsid w:val="AEDFF020"/>
    <w:rsid w:val="AFEF8779"/>
    <w:rsid w:val="AFF285C4"/>
    <w:rsid w:val="B4FF433E"/>
    <w:rsid w:val="B5EED450"/>
    <w:rsid w:val="B7EB2269"/>
    <w:rsid w:val="B7F491BE"/>
    <w:rsid w:val="B7FBB2FD"/>
    <w:rsid w:val="BCFA04A1"/>
    <w:rsid w:val="BF7D1E98"/>
    <w:rsid w:val="CBE562F8"/>
    <w:rsid w:val="D1CFC744"/>
    <w:rsid w:val="D7BD82A1"/>
    <w:rsid w:val="DA0FAF55"/>
    <w:rsid w:val="E7AF56FE"/>
    <w:rsid w:val="E9CFC697"/>
    <w:rsid w:val="EA15AD81"/>
    <w:rsid w:val="EFD51DAF"/>
    <w:rsid w:val="F375C07F"/>
    <w:rsid w:val="F9DF90A7"/>
    <w:rsid w:val="FA3A912B"/>
    <w:rsid w:val="FBEEC994"/>
    <w:rsid w:val="FBFA8467"/>
    <w:rsid w:val="FD47C543"/>
    <w:rsid w:val="FDBDBB88"/>
    <w:rsid w:val="FEDB605C"/>
    <w:rsid w:val="FEFA2E63"/>
    <w:rsid w:val="FFF64914"/>
    <w:rsid w:val="FFFD0B54"/>
    <w:rsid w:val="FFFF58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1"/>
    <w:qFormat/>
    <w:uiPriority w:val="99"/>
    <w:pPr>
      <w:spacing w:line="360" w:lineRule="auto"/>
    </w:pPr>
    <w:rPr>
      <w:b/>
      <w:sz w:val="24"/>
      <w:szCs w:val="24"/>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0"/>
    <w:rPr>
      <w:rFonts w:ascii="宋体" w:hAnsi="Courier New" w:eastAsia="宋体"/>
      <w:sz w:val="32"/>
      <w:szCs w:val="20"/>
    </w:rPr>
  </w:style>
  <w:style w:type="paragraph" w:styleId="9">
    <w:name w:val="toc 1"/>
    <w:basedOn w:val="1"/>
    <w:next w:val="1"/>
    <w:qFormat/>
    <w:uiPriority w:val="39"/>
    <w:rPr>
      <w:rFonts w:ascii="Calibri" w:hAnsi="Calibri" w:eastAsia="宋体" w:cs="Times New Roman"/>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USE 1"/>
    <w:basedOn w:val="1"/>
    <w:qFormat/>
    <w:uiPriority w:val="0"/>
    <w:pPr>
      <w:spacing w:line="200" w:lineRule="atLeast"/>
      <w:jc w:val="left"/>
    </w:pPr>
    <w:rPr>
      <w:rFonts w:ascii="宋体" w:hAnsi="宋体"/>
      <w:b/>
      <w:sz w:val="24"/>
      <w:szCs w:val="28"/>
    </w:rPr>
  </w:style>
  <w:style w:type="paragraph" w:styleId="16">
    <w:name w:val="List Paragraph"/>
    <w:basedOn w:val="17"/>
    <w:qFormat/>
    <w:uiPriority w:val="34"/>
    <w:pPr>
      <w:ind w:firstLine="420" w:firstLineChars="200"/>
    </w:pPr>
  </w:style>
  <w:style w:type="paragraph" w:customStyle="1" w:styleId="17">
    <w:name w:val="星耀正文"/>
    <w:basedOn w:val="1"/>
    <w:qFormat/>
    <w:uiPriority w:val="3"/>
    <w:pPr>
      <w:ind w:firstLine="422" w:firstLineChars="200"/>
    </w:pPr>
    <w:rPr>
      <w:rFonts w:ascii="宋体" w:hAnsi="宋体" w:eastAsia="仿宋_GB2312"/>
      <w:bCs/>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643</Words>
  <Characters>670</Characters>
  <Lines>0</Lines>
  <Paragraphs>0</Paragraphs>
  <TotalTime>1</TotalTime>
  <ScaleCrop>false</ScaleCrop>
  <LinksUpToDate>false</LinksUpToDate>
  <CharactersWithSpaces>673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2021-12-31T11:00:00Z</dcterms:created>
  <dc:creator>lihui123</dc:creator>
  <cp:lastModifiedBy>lxy</cp:lastModifiedBy>
  <cp:lastPrinted>2025-06-06T05:00:00Z</cp:lastPrinted>
  <dcterms:modified xsi:type="dcterms:W3CDTF">2025-10-28T17:22:35Z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07B7723EDDC970347039FB689BAF25DB</vt:lpwstr>
  </property>
  <property fmtid="{D5CDD505-2E9C-101B-9397-08002B2CF9AE}" pid="4" name="KSOTemplateDocerSaveRecord">
    <vt:lpwstr>eyJoZGlkIjoiNWI2OGY4YjZjNzhiN2U1MzE2MmFhZjc0YTFmN2NjY2MifQ==</vt:lpwstr>
  </property>
</Properties>
</file>