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0" w:firstLineChars="0"/>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pPr>
        <w:pStyle w:val="6"/>
        <w:ind w:firstLine="640"/>
        <w:rPr>
          <w:color w:val="auto"/>
          <w:highlight w:val="none"/>
        </w:rPr>
      </w:pPr>
    </w:p>
    <w:p>
      <w:pPr>
        <w:adjustRightInd/>
        <w:snapToGrid/>
        <w:spacing w:line="560" w:lineRule="exact"/>
        <w:ind w:left="640" w:leftChars="200" w:firstLine="0" w:firstLineChars="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2025年龙华区生产性服务业及营利性</w:t>
      </w:r>
    </w:p>
    <w:p>
      <w:pPr>
        <w:adjustRightInd/>
        <w:snapToGrid/>
        <w:spacing w:line="560" w:lineRule="exact"/>
        <w:ind w:left="640" w:leftChars="200" w:firstLine="0" w:firstLineChars="0"/>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服务业统计监测综合辅助服务</w:t>
      </w:r>
      <w:r>
        <w:rPr>
          <w:rFonts w:hint="eastAsia" w:ascii="方正小标宋简体" w:hAnsi="方正小标宋简体" w:eastAsia="方正小标宋简体" w:cs="方正小标宋简体"/>
          <w:b w:val="0"/>
          <w:bCs w:val="0"/>
          <w:color w:val="auto"/>
          <w:sz w:val="44"/>
          <w:szCs w:val="44"/>
          <w:highlight w:val="none"/>
          <w:lang w:eastAsia="zh-CN"/>
        </w:rPr>
        <w:t>项目</w:t>
      </w:r>
    </w:p>
    <w:p>
      <w:pPr>
        <w:adjustRightInd/>
        <w:snapToGrid/>
        <w:spacing w:line="360" w:lineRule="auto"/>
        <w:ind w:left="640" w:leftChars="200" w:firstLine="0" w:firstLineChars="0"/>
        <w:jc w:val="center"/>
        <w:rPr>
          <w:rFonts w:hint="eastAsia" w:ascii="黑体" w:hAnsi="宋体" w:eastAsia="黑体"/>
          <w:b/>
          <w:bCs/>
          <w:color w:val="auto"/>
          <w:highlight w:val="none"/>
        </w:rPr>
      </w:pPr>
    </w:p>
    <w:p>
      <w:pPr>
        <w:pStyle w:val="2"/>
        <w:rPr>
          <w:rFonts w:hint="eastAsia" w:ascii="黑体" w:hAnsi="宋体" w:eastAsia="黑体"/>
          <w:b/>
          <w:bCs/>
          <w:color w:val="auto"/>
          <w:highlight w:val="none"/>
        </w:rPr>
      </w:pPr>
    </w:p>
    <w:p>
      <w:pPr>
        <w:rPr>
          <w:rFonts w:hint="eastAsia"/>
        </w:rPr>
      </w:pPr>
    </w:p>
    <w:p>
      <w:pPr>
        <w:adjustRightInd/>
        <w:snapToGrid/>
        <w:spacing w:line="360" w:lineRule="auto"/>
        <w:ind w:firstLine="0" w:firstLineChars="0"/>
        <w:jc w:val="center"/>
        <w:rPr>
          <w:rFonts w:hint="eastAsia" w:ascii="黑体" w:hAnsi="宋体" w:eastAsia="黑体"/>
          <w:b/>
          <w:bCs/>
          <w:color w:val="auto"/>
          <w:sz w:val="72"/>
          <w:szCs w:val="72"/>
          <w:highlight w:val="none"/>
        </w:rPr>
      </w:pPr>
      <w:r>
        <w:rPr>
          <w:rFonts w:hint="eastAsia" w:ascii="黑体" w:hAnsi="黑体" w:eastAsia="黑体"/>
          <w:b/>
          <w:bCs/>
          <w:color w:val="auto"/>
          <w:sz w:val="72"/>
          <w:szCs w:val="72"/>
          <w:highlight w:val="none"/>
        </w:rPr>
        <w:t>招</w:t>
      </w:r>
    </w:p>
    <w:p>
      <w:pPr>
        <w:adjustRightInd/>
        <w:snapToGrid/>
        <w:spacing w:line="360" w:lineRule="auto"/>
        <w:ind w:firstLine="0" w:firstLineChars="0"/>
        <w:jc w:val="center"/>
        <w:rPr>
          <w:rFonts w:hint="eastAsia" w:ascii="黑体" w:hAnsi="宋体" w:eastAsia="黑体"/>
          <w:b/>
          <w:bCs/>
          <w:color w:val="auto"/>
          <w:sz w:val="72"/>
          <w:szCs w:val="72"/>
          <w:highlight w:val="none"/>
        </w:rPr>
      </w:pPr>
    </w:p>
    <w:p>
      <w:pPr>
        <w:adjustRightInd/>
        <w:snapToGrid/>
        <w:spacing w:line="360" w:lineRule="auto"/>
        <w:ind w:firstLine="0" w:firstLineChars="0"/>
        <w:jc w:val="center"/>
        <w:rPr>
          <w:rFonts w:hint="eastAsia" w:ascii="黑体" w:hAnsi="宋体" w:eastAsia="黑体"/>
          <w:b/>
          <w:bCs/>
          <w:color w:val="auto"/>
          <w:sz w:val="72"/>
          <w:szCs w:val="72"/>
          <w:highlight w:val="none"/>
        </w:rPr>
      </w:pPr>
      <w:r>
        <w:rPr>
          <w:rFonts w:hint="eastAsia" w:ascii="黑体" w:hAnsi="黑体" w:eastAsia="黑体"/>
          <w:b/>
          <w:bCs/>
          <w:color w:val="auto"/>
          <w:sz w:val="72"/>
          <w:szCs w:val="72"/>
          <w:highlight w:val="none"/>
        </w:rPr>
        <w:t>标</w:t>
      </w:r>
    </w:p>
    <w:p>
      <w:pPr>
        <w:adjustRightInd/>
        <w:snapToGrid/>
        <w:spacing w:line="360" w:lineRule="auto"/>
        <w:ind w:firstLine="0" w:firstLineChars="0"/>
        <w:jc w:val="center"/>
        <w:rPr>
          <w:rFonts w:hint="eastAsia" w:ascii="黑体" w:hAnsi="宋体" w:eastAsia="黑体"/>
          <w:b/>
          <w:bCs/>
          <w:color w:val="auto"/>
          <w:sz w:val="48"/>
          <w:szCs w:val="48"/>
          <w:highlight w:val="none"/>
        </w:rPr>
      </w:pPr>
    </w:p>
    <w:p>
      <w:pPr>
        <w:adjustRightInd/>
        <w:snapToGrid/>
        <w:spacing w:line="360" w:lineRule="auto"/>
        <w:ind w:firstLine="0" w:firstLineChars="0"/>
        <w:jc w:val="center"/>
        <w:rPr>
          <w:rFonts w:hint="eastAsia" w:ascii="宋体" w:hAnsi="宋体" w:eastAsia="宋体"/>
          <w:color w:val="auto"/>
          <w:sz w:val="44"/>
          <w:szCs w:val="44"/>
          <w:highlight w:val="none"/>
        </w:rPr>
      </w:pPr>
      <w:r>
        <w:rPr>
          <w:rFonts w:hint="eastAsia" w:ascii="黑体" w:hAnsi="黑体" w:eastAsia="黑体"/>
          <w:b/>
          <w:bCs/>
          <w:color w:val="auto"/>
          <w:sz w:val="72"/>
          <w:szCs w:val="72"/>
          <w:highlight w:val="none"/>
        </w:rPr>
        <w:t>书</w:t>
      </w:r>
    </w:p>
    <w:p>
      <w:pPr>
        <w:adjustRightInd/>
        <w:snapToGrid/>
        <w:spacing w:line="360" w:lineRule="auto"/>
        <w:ind w:firstLine="0" w:firstLineChars="0"/>
        <w:rPr>
          <w:rFonts w:hint="eastAsia" w:ascii="仿宋_GB2312" w:hAnsi="仿宋_GB2312" w:eastAsia="仿宋_GB2312" w:cs="仿宋_GB2312"/>
          <w:color w:val="auto"/>
          <w:sz w:val="32"/>
          <w:szCs w:val="32"/>
          <w:highlight w:val="none"/>
        </w:rPr>
      </w:pPr>
    </w:p>
    <w:p>
      <w:pPr>
        <w:adjustRightInd/>
        <w:snapToGrid/>
        <w:spacing w:line="600" w:lineRule="exact"/>
        <w:ind w:firstLine="0" w:firstLineChars="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深圳市龙华区发展和改革局</w:t>
      </w:r>
    </w:p>
    <w:p>
      <w:pPr>
        <w:adjustRightInd/>
        <w:snapToGrid/>
        <w:spacing w:line="600" w:lineRule="exact"/>
        <w:ind w:firstLine="0" w:firstLineChars="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 w:eastAsia="zh-CN"/>
        </w:rPr>
        <w:t>1</w:t>
      </w:r>
      <w:r>
        <w:rPr>
          <w:rFonts w:hint="eastAsia" w:hAnsi="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月</w:t>
      </w:r>
    </w:p>
    <w:p>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pPr>
        <w:pStyle w:val="2"/>
        <w:rPr>
          <w:rFonts w:hint="eastAsia"/>
        </w:rPr>
        <w:sectPr>
          <w:headerReference r:id="rId5" w:type="default"/>
          <w:footerReference r:id="rId6" w:type="default"/>
          <w:pgSz w:w="11906" w:h="16838"/>
          <w:pgMar w:top="2098" w:right="1474" w:bottom="1984" w:left="1587" w:header="720" w:footer="720" w:gutter="0"/>
          <w:pgNumType w:fmt="decimal" w:start="1"/>
          <w:cols w:space="720" w:num="1"/>
          <w:docGrid w:type="lines" w:linePitch="435" w:charSpace="0"/>
        </w:sectPr>
      </w:pP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
        </w:rPr>
        <w:t>2025年龙华区生产性服务业及营利性服务业统计监测综合辅助服务</w:t>
      </w:r>
      <w:r>
        <w:rPr>
          <w:rFonts w:hint="eastAsia" w:ascii="方正小标宋简体" w:hAnsi="方正小标宋简体" w:eastAsia="方正小标宋简体" w:cs="方正小标宋简体"/>
          <w:b w:val="0"/>
          <w:bCs w:val="0"/>
          <w:color w:val="auto"/>
          <w:sz w:val="44"/>
          <w:szCs w:val="44"/>
          <w:highlight w:val="none"/>
        </w:rPr>
        <w:t>项目招标书</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b/>
          <w:bCs/>
          <w:color w:val="auto"/>
          <w:highlight w:val="none"/>
        </w:rPr>
      </w:pP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黑体" w:hAnsi="黑体" w:eastAsia="黑体"/>
          <w:color w:val="auto"/>
          <w:highlight w:val="none"/>
        </w:rPr>
      </w:pPr>
      <w:r>
        <w:rPr>
          <w:rFonts w:hint="eastAsia" w:ascii="黑体" w:hAnsi="黑体" w:eastAsia="黑体"/>
          <w:color w:val="auto"/>
          <w:highlight w:val="none"/>
        </w:rPr>
        <w:t>一、项目概况</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hAnsi="仿宋" w:cs="仿宋_GB2312"/>
          <w:color w:val="auto"/>
          <w:highlight w:val="none"/>
        </w:rPr>
      </w:pPr>
      <w:r>
        <w:rPr>
          <w:rFonts w:hint="eastAsia" w:hAnsi="仿宋" w:cs="仿宋_GB2312"/>
          <w:color w:val="auto"/>
          <w:highlight w:val="none"/>
        </w:rPr>
        <w:t>（一）项目名称：</w:t>
      </w:r>
      <w:r>
        <w:rPr>
          <w:rFonts w:hint="eastAsia" w:hAnsi="仿宋_GB2312" w:cs="仿宋_GB2312"/>
          <w:color w:val="auto"/>
          <w:szCs w:val="21"/>
          <w:highlight w:val="none"/>
          <w:lang w:val="en"/>
        </w:rPr>
        <w:t>2025年龙华区生产性服务业及营利性服务业统计监测综合辅助服务</w:t>
      </w:r>
      <w:r>
        <w:rPr>
          <w:rFonts w:hint="eastAsia" w:hAnsi="仿宋_GB2312" w:cs="仿宋_GB2312"/>
          <w:color w:val="auto"/>
          <w:szCs w:val="21"/>
          <w:highlight w:val="none"/>
          <w:lang w:val="en" w:eastAsia="zh-CN"/>
        </w:rPr>
        <w:t>项目</w:t>
      </w:r>
      <w:r>
        <w:rPr>
          <w:rFonts w:hint="eastAsia" w:hAnsi="仿宋" w:cs="仿宋_GB2312"/>
          <w:color w:val="auto"/>
          <w:highlight w:val="none"/>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hAnsi="仿宋" w:cs="仿宋_GB2312"/>
          <w:color w:val="auto"/>
          <w:highlight w:val="none"/>
        </w:rPr>
      </w:pPr>
      <w:r>
        <w:rPr>
          <w:rFonts w:hint="eastAsia" w:hAnsi="仿宋" w:cs="仿宋_GB2312"/>
          <w:color w:val="auto"/>
          <w:highlight w:val="none"/>
        </w:rPr>
        <w:t>（二）服务期限：自合同签订之日起</w:t>
      </w:r>
      <w:r>
        <w:rPr>
          <w:rFonts w:hint="eastAsia" w:hAnsi="仿宋" w:cs="仿宋_GB2312"/>
          <w:color w:val="auto"/>
          <w:highlight w:val="none"/>
          <w:lang w:val="en-US" w:eastAsia="zh-CN"/>
        </w:rPr>
        <w:t>10</w:t>
      </w:r>
      <w:r>
        <w:rPr>
          <w:rFonts w:hint="eastAsia" w:hAnsi="仿宋" w:cs="仿宋_GB2312"/>
          <w:color w:val="auto"/>
          <w:highlight w:val="none"/>
        </w:rPr>
        <w:t>个月。</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hAnsi="仿宋" w:cs="仿宋_GB2312"/>
          <w:color w:val="auto"/>
          <w:highlight w:val="none"/>
        </w:rPr>
      </w:pPr>
      <w:r>
        <w:rPr>
          <w:rFonts w:hint="eastAsia" w:hAnsi="仿宋" w:cs="仿宋_GB2312"/>
          <w:color w:val="auto"/>
          <w:highlight w:val="none"/>
        </w:rPr>
        <w:t>（三）项目预算：预算金额不超过</w:t>
      </w:r>
      <w:r>
        <w:rPr>
          <w:rFonts w:hint="eastAsia" w:hAnsi="仿宋" w:cs="仿宋_GB2312"/>
          <w:color w:val="auto"/>
          <w:highlight w:val="none"/>
          <w:lang w:val="en-US" w:eastAsia="zh-CN"/>
        </w:rPr>
        <w:t>74.84</w:t>
      </w:r>
      <w:r>
        <w:rPr>
          <w:rFonts w:hint="eastAsia" w:hAnsi="仿宋" w:cs="仿宋_GB2312"/>
          <w:color w:val="auto"/>
          <w:highlight w:val="none"/>
        </w:rPr>
        <w:t>万元。</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黑体" w:hAnsi="黑体" w:eastAsia="黑体"/>
          <w:color w:val="auto"/>
          <w:highlight w:val="none"/>
        </w:rPr>
      </w:pPr>
      <w:r>
        <w:rPr>
          <w:rFonts w:hint="eastAsia" w:ascii="黑体" w:hAnsi="黑体" w:eastAsia="黑体"/>
          <w:color w:val="auto"/>
          <w:highlight w:val="none"/>
        </w:rPr>
        <w:t>二、项目内容</w:t>
      </w:r>
    </w:p>
    <w:p>
      <w:pPr>
        <w:pStyle w:val="30"/>
        <w:pageBreakBefore w:val="0"/>
        <w:kinsoku/>
        <w:wordWrap/>
        <w:overflowPunct/>
        <w:topLinePunct w:val="0"/>
        <w:autoSpaceDE/>
        <w:autoSpaceDN/>
        <w:bidi w:val="0"/>
        <w:snapToGrid/>
        <w:spacing w:after="0"/>
        <w:textAlignment w:val="auto"/>
        <w:rPr>
          <w:rFonts w:ascii="Times New Roman"/>
          <w:color w:val="auto"/>
        </w:rPr>
      </w:pPr>
      <w:r>
        <w:rPr>
          <w:rFonts w:hint="eastAsia" w:ascii="Times New Roman"/>
          <w:color w:val="auto"/>
        </w:rPr>
        <w:t>为全面落实国家、广东省及深圳市关于推动服务业高质量发展的战略部署，认真贯彻落实党的二十大</w:t>
      </w:r>
      <w:r>
        <w:rPr>
          <w:rFonts w:hint="eastAsia" w:ascii="Times New Roman"/>
          <w:color w:val="auto"/>
          <w:lang w:eastAsia="zh-CN"/>
        </w:rPr>
        <w:t>和</w:t>
      </w:r>
      <w:bookmarkStart w:id="5" w:name="_GoBack"/>
      <w:bookmarkEnd w:id="5"/>
      <w:r>
        <w:rPr>
          <w:rFonts w:hint="eastAsia" w:ascii="Times New Roman"/>
          <w:color w:val="auto"/>
        </w:rPr>
        <w:t>二十届三中、四中全会精神，全面了解龙华区生产性服务业及营利性服务业发展现状，丰富服务业调度的领域和角度，找准重点行业发展的痛点、堵点，更深层次、立体化、多维度提出下一步政策方向和工作建议，切实提升服务业调度工作的系统性、有效性，</w:t>
      </w:r>
      <w:r>
        <w:rPr>
          <w:rFonts w:hint="eastAsia" w:ascii="Times New Roman"/>
          <w:color w:val="auto"/>
          <w:lang w:eastAsia="zh-CN"/>
        </w:rPr>
        <w:t>我局</w:t>
      </w:r>
      <w:r>
        <w:rPr>
          <w:rFonts w:hint="eastAsia" w:ascii="Times New Roman"/>
          <w:color w:val="auto"/>
        </w:rPr>
        <w:t>拟委托具有相应资质的服务机构协助</w:t>
      </w:r>
      <w:r>
        <w:rPr>
          <w:rFonts w:hint="eastAsia" w:ascii="Times New Roman"/>
          <w:color w:val="auto"/>
          <w:lang w:eastAsia="zh-CN"/>
        </w:rPr>
        <w:t>开展</w:t>
      </w:r>
      <w:r>
        <w:rPr>
          <w:rFonts w:hint="eastAsia" w:ascii="仿宋_GB2312" w:hAnsi="仿宋_GB2312" w:cs="仿宋_GB2312"/>
          <w:color w:val="auto"/>
          <w:lang w:eastAsia="zh-CN"/>
        </w:rPr>
        <w:t>2</w:t>
      </w:r>
      <w:r>
        <w:rPr>
          <w:rFonts w:hint="eastAsia" w:ascii="仿宋_GB2312" w:hAnsi="仿宋_GB2312" w:cs="仿宋_GB2312"/>
          <w:color w:val="auto"/>
          <w:lang w:val="en-US" w:eastAsia="zh-CN"/>
        </w:rPr>
        <w:t>025</w:t>
      </w:r>
      <w:r>
        <w:rPr>
          <w:rFonts w:hint="eastAsia" w:ascii="Times New Roman"/>
          <w:color w:val="auto"/>
        </w:rPr>
        <w:t>年龙华区生产性服务业及营利性服务业统计监测综合辅助服务</w:t>
      </w:r>
      <w:r>
        <w:rPr>
          <w:rFonts w:hint="eastAsia" w:ascii="Times New Roman"/>
          <w:color w:val="auto"/>
          <w:lang w:eastAsia="zh-CN"/>
        </w:rPr>
        <w:t>项目，项目内容</w:t>
      </w:r>
      <w:r>
        <w:rPr>
          <w:rFonts w:hint="eastAsia" w:hAnsi="仿宋_GB2312" w:cs="仿宋_GB2312"/>
          <w:color w:val="auto"/>
        </w:rPr>
        <w:t>包括但不限于：</w:t>
      </w:r>
    </w:p>
    <w:p>
      <w:pPr>
        <w:pStyle w:val="30"/>
        <w:pageBreakBefore w:val="0"/>
        <w:kinsoku/>
        <w:wordWrap/>
        <w:overflowPunct/>
        <w:topLinePunct w:val="0"/>
        <w:autoSpaceDE/>
        <w:autoSpaceDN/>
        <w:bidi w:val="0"/>
        <w:snapToGrid/>
        <w:spacing w:after="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（一）开展生产性服务业赋能先进制造业研究工作</w:t>
      </w:r>
    </w:p>
    <w:p>
      <w:pPr>
        <w:pStyle w:val="30"/>
        <w:pageBreakBefore w:val="0"/>
        <w:kinsoku/>
        <w:wordWrap/>
        <w:overflowPunct/>
        <w:topLinePunct w:val="0"/>
        <w:autoSpaceDE/>
        <w:autoSpaceDN/>
        <w:bidi w:val="0"/>
        <w:snapToGrid/>
        <w:spacing w:after="0"/>
        <w:textAlignment w:val="auto"/>
        <w:rPr>
          <w:rFonts w:hint="eastAsia" w:hAnsi="仿宋_GB2312" w:cs="仿宋_GB2312"/>
          <w:color w:val="auto"/>
        </w:rPr>
      </w:pPr>
      <w:r>
        <w:rPr>
          <w:rFonts w:hint="eastAsia" w:hAnsi="仿宋_GB2312" w:cs="仿宋_GB2312"/>
          <w:color w:val="auto"/>
        </w:rPr>
        <w:t>结合全区实际情况，由委托机构设计生产性服务业企业走访提纲，内容涉及企业外部购买服务以及对外提供服务的类型、成本或收入、来源地、满意度、考虑因素等</w:t>
      </w:r>
      <w:r>
        <w:rPr>
          <w:rFonts w:hint="eastAsia" w:ascii="Times New Roman"/>
          <w:color w:val="auto"/>
        </w:rPr>
        <w:t>。</w:t>
      </w:r>
      <w:r>
        <w:rPr>
          <w:rFonts w:hint="eastAsia" w:hAnsi="仿宋_GB2312" w:cs="仿宋_GB2312"/>
          <w:color w:val="auto"/>
        </w:rPr>
        <w:t>选取5家制造业企业、5家生产性服务业企业为调查对象，根据走访提纲开展调查工作，通过企业走访的方式，深入了解生产性服务业的供需现状，以及对生产性服务业发展的看法和建议等，以便更加全面的监测全区生产性服务业发展情况。</w:t>
      </w:r>
    </w:p>
    <w:p>
      <w:pPr>
        <w:pStyle w:val="30"/>
        <w:pageBreakBefore w:val="0"/>
        <w:kinsoku/>
        <w:wordWrap/>
        <w:overflowPunct/>
        <w:topLinePunct w:val="0"/>
        <w:autoSpaceDE/>
        <w:autoSpaceDN/>
        <w:bidi w:val="0"/>
        <w:snapToGrid/>
        <w:spacing w:after="0"/>
        <w:textAlignment w:val="auto"/>
        <w:rPr>
          <w:rFonts w:ascii="Times New Roman"/>
          <w:color w:val="auto"/>
        </w:rPr>
      </w:pPr>
      <w:r>
        <w:rPr>
          <w:rFonts w:hint="eastAsia" w:ascii="Times New Roman"/>
          <w:color w:val="auto"/>
        </w:rPr>
        <w:t>基于调研及测算数据，由委托机构撰写龙华区生产性服务业赋能先进制造业发展研究报告。报告从绪论、生产性服务业发展现状、生产性服务业供需情况、生产性服务业发展面临问题、先进地区经验借鉴、对策建议等方面进行研究分析，为掌握全区生产性服务业发展现状与短板、探索生产性服务业结构优化路径、高水平赋能先进制造业发展奠定研究基础。</w:t>
      </w:r>
    </w:p>
    <w:p>
      <w:pPr>
        <w:pStyle w:val="30"/>
        <w:pageBreakBefore w:val="0"/>
        <w:kinsoku/>
        <w:wordWrap/>
        <w:overflowPunct/>
        <w:topLinePunct w:val="0"/>
        <w:autoSpaceDE/>
        <w:autoSpaceDN/>
        <w:bidi w:val="0"/>
        <w:snapToGrid/>
        <w:spacing w:after="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（二）开展营利性服务业跟踪研究工作</w:t>
      </w:r>
    </w:p>
    <w:p>
      <w:pPr>
        <w:pageBreakBefore w:val="0"/>
        <w:kinsoku/>
        <w:wordWrap/>
        <w:overflowPunct/>
        <w:topLinePunct w:val="0"/>
        <w:autoSpaceDE/>
        <w:autoSpaceDN/>
        <w:bidi w:val="0"/>
        <w:adjustRightInd w:val="0"/>
        <w:spacing w:after="0" w:line="560" w:lineRule="exact"/>
        <w:ind w:firstLine="640" w:firstLineChars="200"/>
        <w:textAlignment w:val="auto"/>
        <w:rPr>
          <w:rFonts w:eastAsia="仿宋_GB2312"/>
          <w:color w:val="auto"/>
          <w:sz w:val="32"/>
          <w:szCs w:val="32"/>
        </w:rPr>
      </w:pPr>
      <w:r>
        <w:rPr>
          <w:rFonts w:hint="eastAsia" w:eastAsia="仿宋_GB2312"/>
          <w:color w:val="auto"/>
          <w:sz w:val="32"/>
          <w:szCs w:val="32"/>
        </w:rPr>
        <w:t>为了全面监测龙华区营利性服务业发展现状，掌握营利性服务业发展规模、结构、效益等基本情况，进一步开展全区营利性服务业统计监测工作，基于全区统计数据及相关政策资料，结合企业调研，撰写人工智能背景下龙华区营利性服务业跟踪研究报告。报告从研究背景、营利性服务业发展现状、人工智能对营利性服务业的影响、营利性服务业面临的机遇和挑战、对策建议等方面进行研究分析。</w:t>
      </w:r>
    </w:p>
    <w:p>
      <w:pPr>
        <w:pStyle w:val="30"/>
        <w:pageBreakBefore w:val="0"/>
        <w:kinsoku/>
        <w:wordWrap/>
        <w:overflowPunct/>
        <w:topLinePunct w:val="0"/>
        <w:autoSpaceDE/>
        <w:autoSpaceDN/>
        <w:bidi w:val="0"/>
        <w:snapToGrid/>
        <w:spacing w:after="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（三）开展经济调度辅助服务</w:t>
      </w:r>
    </w:p>
    <w:p>
      <w:pPr>
        <w:pStyle w:val="30"/>
        <w:pageBreakBefore w:val="0"/>
        <w:kinsoku/>
        <w:wordWrap/>
        <w:overflowPunct/>
        <w:topLinePunct w:val="0"/>
        <w:autoSpaceDE/>
        <w:autoSpaceDN/>
        <w:bidi w:val="0"/>
        <w:snapToGrid/>
        <w:spacing w:after="0"/>
        <w:textAlignment w:val="auto"/>
        <w:rPr>
          <w:rFonts w:ascii="Times New Roman"/>
          <w:color w:val="auto"/>
        </w:rPr>
      </w:pPr>
      <w:r>
        <w:rPr>
          <w:rFonts w:hint="eastAsia" w:ascii="Times New Roman"/>
          <w:color w:val="auto"/>
        </w:rPr>
        <w:t>结合</w:t>
      </w:r>
      <w:r>
        <w:rPr>
          <w:rFonts w:hint="eastAsia" w:ascii="Times New Roman"/>
          <w:color w:val="auto"/>
          <w:lang w:eastAsia="zh-CN"/>
        </w:rPr>
        <w:t>龙华区</w:t>
      </w:r>
      <w:r>
        <w:rPr>
          <w:rFonts w:hint="eastAsia" w:ascii="Times New Roman"/>
          <w:color w:val="auto"/>
        </w:rPr>
        <w:t>经济发展、企业经营等实际情况，根据各个行业的各项指标数据，进行日常经济调度资料协助工作。</w:t>
      </w:r>
    </w:p>
    <w:p>
      <w:pPr>
        <w:keepNext w:val="0"/>
        <w:keepLines w:val="0"/>
        <w:pageBreakBefore w:val="0"/>
        <w:kinsoku/>
        <w:wordWrap/>
        <w:overflowPunct/>
        <w:topLinePunct w:val="0"/>
        <w:autoSpaceDE/>
        <w:autoSpaceDN/>
        <w:bidi w:val="0"/>
        <w:spacing w:before="0" w:beforeLines="0" w:after="0" w:afterLines="0" w:line="560" w:lineRule="exact"/>
        <w:ind w:firstLine="640"/>
        <w:textAlignment w:val="auto"/>
        <w:rPr>
          <w:rFonts w:hint="eastAsia" w:ascii="黑体" w:hAnsi="黑体" w:eastAsia="黑体" w:cs="Times New Roman"/>
          <w:b w:val="0"/>
          <w:bCs w:val="0"/>
          <w:color w:val="auto"/>
          <w:highlight w:val="none"/>
        </w:rPr>
      </w:pPr>
      <w:bookmarkStart w:id="0" w:name="_Toc11843"/>
      <w:bookmarkStart w:id="1" w:name="_Toc20873"/>
      <w:bookmarkStart w:id="2" w:name="_Toc97640275"/>
      <w:r>
        <w:rPr>
          <w:rFonts w:hint="eastAsia" w:ascii="黑体" w:hAnsi="黑体" w:eastAsia="黑体" w:cs="Times New Roman"/>
          <w:b w:val="0"/>
          <w:bCs w:val="0"/>
          <w:color w:val="auto"/>
          <w:highlight w:val="none"/>
          <w:lang w:eastAsia="zh-CN"/>
        </w:rPr>
        <w:t>三</w:t>
      </w:r>
      <w:r>
        <w:rPr>
          <w:rFonts w:hint="eastAsia" w:ascii="黑体" w:hAnsi="黑体" w:eastAsia="黑体" w:cs="Times New Roman"/>
          <w:b w:val="0"/>
          <w:bCs w:val="0"/>
          <w:color w:val="auto"/>
          <w:highlight w:val="none"/>
        </w:rPr>
        <w:t>、</w:t>
      </w:r>
      <w:bookmarkEnd w:id="0"/>
      <w:bookmarkEnd w:id="1"/>
      <w:bookmarkEnd w:id="2"/>
      <w:r>
        <w:rPr>
          <w:rFonts w:hint="eastAsia" w:ascii="黑体" w:hAnsi="黑体" w:eastAsia="黑体" w:cs="Times New Roman"/>
          <w:b w:val="0"/>
          <w:bCs w:val="0"/>
          <w:color w:val="auto"/>
          <w:highlight w:val="none"/>
        </w:rPr>
        <w:t>预计成效</w:t>
      </w:r>
    </w:p>
    <w:p>
      <w:pPr>
        <w:pStyle w:val="30"/>
        <w:pageBreakBefore w:val="0"/>
        <w:kinsoku/>
        <w:wordWrap/>
        <w:overflowPunct/>
        <w:topLinePunct w:val="0"/>
        <w:autoSpaceDE/>
        <w:autoSpaceDN/>
        <w:bidi w:val="0"/>
        <w:spacing w:after="0"/>
        <w:textAlignment w:val="auto"/>
        <w:rPr>
          <w:rFonts w:hint="eastAsia" w:hAnsi="仿宋_GB2312" w:cs="仿宋_GB2312"/>
          <w:color w:val="auto"/>
        </w:rPr>
      </w:pPr>
      <w:r>
        <w:rPr>
          <w:rFonts w:hint="eastAsia" w:hAnsi="仿宋_GB2312" w:cs="仿宋_GB2312"/>
          <w:color w:val="auto"/>
        </w:rPr>
        <w:t>本项目为2025年龙华区生产性服务业及营利性服务业统计监测辅助工作，全面梳理龙华区服务业核算指标、服务业发展目标、发展重点、实施路径，为下一步分析报告提供理论政策参考。本次服务项目预计形成的成果有：</w:t>
      </w:r>
    </w:p>
    <w:p>
      <w:pPr>
        <w:pStyle w:val="30"/>
        <w:pageBreakBefore w:val="0"/>
        <w:kinsoku/>
        <w:wordWrap/>
        <w:overflowPunct/>
        <w:topLinePunct w:val="0"/>
        <w:autoSpaceDE/>
        <w:autoSpaceDN/>
        <w:bidi w:val="0"/>
        <w:spacing w:after="0"/>
        <w:textAlignment w:val="auto"/>
        <w:rPr>
          <w:rFonts w:hint="eastAsia" w:hAnsi="仿宋_GB2312" w:cs="仿宋_GB2312"/>
          <w:color w:val="auto"/>
        </w:rPr>
      </w:pPr>
      <w:r>
        <w:rPr>
          <w:rFonts w:hint="eastAsia" w:hAnsi="Times New Roman"/>
          <w:bCs/>
          <w:color w:val="auto"/>
          <w:highlight w:val="none"/>
        </w:rPr>
        <w:t>（一）</w:t>
      </w:r>
      <w:r>
        <w:rPr>
          <w:rFonts w:hint="eastAsia" w:hAnsi="仿宋_GB2312" w:cs="仿宋_GB2312"/>
          <w:color w:val="auto"/>
        </w:rPr>
        <w:t>龙华区生产性服务业赋能先进制造业研究报告1份；</w:t>
      </w:r>
    </w:p>
    <w:p>
      <w:pPr>
        <w:pStyle w:val="30"/>
        <w:pageBreakBefore w:val="0"/>
        <w:kinsoku/>
        <w:wordWrap/>
        <w:overflowPunct/>
        <w:topLinePunct w:val="0"/>
        <w:autoSpaceDE/>
        <w:autoSpaceDN/>
        <w:bidi w:val="0"/>
        <w:spacing w:after="0"/>
        <w:textAlignment w:val="auto"/>
        <w:rPr>
          <w:rFonts w:hint="eastAsia" w:hAnsi="仿宋_GB2312" w:cs="仿宋_GB2312"/>
          <w:color w:val="auto"/>
          <w:kern w:val="0"/>
          <w:lang w:bidi="ar"/>
        </w:rPr>
      </w:pPr>
      <w:r>
        <w:rPr>
          <w:rFonts w:hint="eastAsia" w:hAnsi="Times New Roman"/>
          <w:bCs/>
          <w:color w:val="auto"/>
          <w:highlight w:val="none"/>
        </w:rPr>
        <w:t>（二）</w:t>
      </w:r>
      <w:r>
        <w:rPr>
          <w:rFonts w:hint="eastAsia" w:hAnsi="仿宋_GB2312" w:cs="仿宋_GB2312"/>
          <w:color w:val="auto"/>
          <w:kern w:val="0"/>
          <w:lang w:bidi="ar"/>
        </w:rPr>
        <w:t>人工智能背景下龙华区营利性服务业跟踪研究报告1份；</w:t>
      </w:r>
    </w:p>
    <w:p>
      <w:pPr>
        <w:pStyle w:val="30"/>
        <w:pageBreakBefore w:val="0"/>
        <w:kinsoku/>
        <w:wordWrap/>
        <w:overflowPunct/>
        <w:topLinePunct w:val="0"/>
        <w:autoSpaceDE/>
        <w:autoSpaceDN/>
        <w:bidi w:val="0"/>
        <w:spacing w:after="0"/>
        <w:textAlignment w:val="auto"/>
        <w:rPr>
          <w:rFonts w:hint="eastAsia" w:hAnsi="仿宋_GB2312" w:cs="仿宋_GB2312"/>
          <w:color w:val="auto"/>
          <w:kern w:val="0"/>
          <w:lang w:bidi="ar"/>
        </w:rPr>
      </w:pPr>
      <w:r>
        <w:rPr>
          <w:rFonts w:hint="eastAsia" w:hAnsi="Times New Roman"/>
          <w:bCs/>
          <w:color w:val="auto"/>
          <w:highlight w:val="none"/>
        </w:rPr>
        <w:t>（三）</w:t>
      </w:r>
      <w:r>
        <w:rPr>
          <w:rFonts w:hint="eastAsia" w:hAnsi="仿宋_GB2312" w:cs="仿宋_GB2312"/>
          <w:color w:val="auto"/>
          <w:kern w:val="0"/>
          <w:lang w:eastAsia="zh-CN" w:bidi="ar"/>
        </w:rPr>
        <w:t>经济调度相关分析材料</w:t>
      </w:r>
      <w:r>
        <w:rPr>
          <w:rFonts w:hint="eastAsia" w:hAnsi="仿宋_GB2312" w:cs="仿宋_GB2312"/>
          <w:color w:val="auto"/>
          <w:kern w:val="0"/>
          <w:lang w:bidi="ar"/>
        </w:rPr>
        <w:t>。</w:t>
      </w:r>
    </w:p>
    <w:p>
      <w:pPr>
        <w:ind w:firstLine="640"/>
        <w:rPr>
          <w:rFonts w:hint="eastAsia" w:ascii="黑体" w:hAnsi="黑体" w:eastAsia="黑体"/>
          <w:color w:val="auto"/>
          <w:highlight w:val="none"/>
        </w:rPr>
      </w:pPr>
      <w:r>
        <w:rPr>
          <w:rFonts w:hint="eastAsia" w:ascii="黑体" w:hAnsi="黑体" w:eastAsia="黑体"/>
          <w:color w:val="auto"/>
          <w:highlight w:val="none"/>
          <w:lang w:eastAsia="zh-CN"/>
        </w:rPr>
        <w:t>四</w:t>
      </w:r>
      <w:r>
        <w:rPr>
          <w:rFonts w:hint="eastAsia" w:ascii="黑体" w:hAnsi="黑体" w:eastAsia="黑体"/>
          <w:color w:val="auto"/>
          <w:highlight w:val="none"/>
        </w:rPr>
        <w:t>、项目保密要求</w:t>
      </w:r>
    </w:p>
    <w:p>
      <w:pPr>
        <w:adjustRightInd/>
        <w:snapToGrid/>
        <w:ind w:firstLine="640"/>
        <w:rPr>
          <w:rFonts w:hint="eastAsia" w:hAnsi="仿宋_GB2312" w:cs="仿宋_GB2312"/>
          <w:bCs/>
          <w:color w:val="auto"/>
          <w:highlight w:val="none"/>
        </w:rPr>
      </w:pPr>
      <w:r>
        <w:rPr>
          <w:rFonts w:hint="eastAsia" w:hAnsi="仿宋_GB2312" w:cs="仿宋_GB2312"/>
          <w:bCs/>
          <w:color w:val="auto"/>
          <w:highlight w:val="none"/>
        </w:rPr>
        <w:t>中标人应当对其在项目开展过程中所知悉的国家秘密、商业秘密和技术秘密负有保密责任，建立并实施相应的保密措施，具体保密要求如下：</w:t>
      </w:r>
    </w:p>
    <w:p>
      <w:pPr>
        <w:ind w:firstLine="640"/>
        <w:rPr>
          <w:rFonts w:hAnsi="Times New Roman"/>
          <w:bCs/>
          <w:color w:val="auto"/>
          <w:highlight w:val="none"/>
        </w:rPr>
      </w:pPr>
      <w:r>
        <w:rPr>
          <w:rFonts w:hint="eastAsia" w:hAnsi="Times New Roman"/>
          <w:bCs/>
          <w:color w:val="auto"/>
          <w:highlight w:val="none"/>
        </w:rPr>
        <w:t>（一）中标人不得利用所获取、掌握的采购人及其他政府部门的任何保密内容从事采购人及其他政府部门授权工作以外的任何事情，不得披露、允许第三方使用。</w:t>
      </w:r>
    </w:p>
    <w:p>
      <w:pPr>
        <w:ind w:firstLine="640"/>
        <w:rPr>
          <w:rFonts w:hAnsi="Times New Roman"/>
          <w:b/>
          <w:bCs/>
          <w:color w:val="auto"/>
          <w:highlight w:val="none"/>
        </w:rPr>
      </w:pPr>
      <w:r>
        <w:rPr>
          <w:rFonts w:hint="eastAsia" w:hAnsi="Times New Roman"/>
          <w:bCs/>
          <w:color w:val="auto"/>
          <w:highlight w:val="none"/>
        </w:rPr>
        <w:t>（二）中标人按照采购人要求完成项目后，须立即将项目成果提交采购人存档，未经采购人许可，不得向第三方披露。</w:t>
      </w:r>
    </w:p>
    <w:p>
      <w:pPr>
        <w:ind w:firstLine="640"/>
        <w:rPr>
          <w:rFonts w:hAnsi="Times New Roman"/>
          <w:b/>
          <w:bCs/>
          <w:color w:val="auto"/>
          <w:highlight w:val="none"/>
        </w:rPr>
      </w:pPr>
      <w:r>
        <w:rPr>
          <w:rFonts w:hint="eastAsia" w:hAnsi="Times New Roman"/>
          <w:bCs/>
          <w:color w:val="auto"/>
          <w:highlight w:val="none"/>
        </w:rPr>
        <w:t>（三）中标人应建立相应的保密制度，明确项目开展过程中各环节的保密性要求，确保相关资料和信息的保密性。</w:t>
      </w:r>
    </w:p>
    <w:p>
      <w:pPr>
        <w:ind w:firstLine="640"/>
        <w:rPr>
          <w:rFonts w:hint="eastAsia" w:ascii="黑体" w:hAnsi="黑体" w:eastAsia="黑体"/>
          <w:color w:val="auto"/>
          <w:highlight w:val="none"/>
        </w:rPr>
      </w:pPr>
      <w:r>
        <w:rPr>
          <w:rFonts w:hint="eastAsia" w:ascii="黑体" w:hAnsi="黑体" w:eastAsia="黑体"/>
          <w:color w:val="auto"/>
          <w:highlight w:val="none"/>
          <w:lang w:eastAsia="zh-CN"/>
        </w:rPr>
        <w:t>五</w:t>
      </w:r>
      <w:r>
        <w:rPr>
          <w:rFonts w:hint="eastAsia" w:ascii="黑体" w:hAnsi="黑体" w:eastAsia="黑体"/>
          <w:color w:val="auto"/>
          <w:highlight w:val="none"/>
        </w:rPr>
        <w:t>、投标资格要求</w:t>
      </w:r>
    </w:p>
    <w:p>
      <w:pPr>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（一）具有独立法人资格或具有独立承担民事责任能力的其他组织</w:t>
      </w:r>
      <w:r>
        <w:rPr>
          <w:rFonts w:hint="eastAsia" w:ascii="仿宋_GB2312" w:eastAsia="仿宋_GB2312"/>
          <w:bCs/>
          <w:color w:val="auto"/>
          <w:sz w:val="32"/>
          <w:szCs w:val="32"/>
        </w:rPr>
        <w:t>（提供营业执照或事业单位法人证等法人证明扫描件，原件备查）</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after="0" w:line="560" w:lineRule="exact"/>
        <w:ind w:firstLine="640" w:firstLineChars="200"/>
        <w:textAlignment w:val="auto"/>
        <w:rPr>
          <w:rFonts w:ascii="仿宋_GB2312" w:eastAsia="仿宋_GB2312"/>
          <w:bCs/>
          <w:color w:val="auto"/>
          <w:sz w:val="32"/>
          <w:szCs w:val="32"/>
        </w:rPr>
      </w:pPr>
      <w:r>
        <w:rPr>
          <w:rFonts w:hint="eastAsia" w:ascii="仿宋_GB2312" w:eastAsia="仿宋_GB2312"/>
          <w:bCs/>
          <w:color w:val="auto"/>
          <w:sz w:val="32"/>
          <w:szCs w:val="32"/>
        </w:rPr>
        <w:t>（二）本项目不接受联合体投标。</w:t>
      </w:r>
    </w:p>
    <w:p>
      <w:pPr>
        <w:pageBreakBefore w:val="0"/>
        <w:kinsoku/>
        <w:wordWrap/>
        <w:overflowPunct/>
        <w:topLinePunct w:val="0"/>
        <w:autoSpaceDE/>
        <w:autoSpaceDN/>
        <w:bidi w:val="0"/>
        <w:spacing w:after="0" w:line="560" w:lineRule="exact"/>
        <w:ind w:firstLine="640" w:firstLineChars="200"/>
        <w:textAlignment w:val="auto"/>
        <w:rPr>
          <w:rFonts w:ascii="仿宋_GB2312" w:eastAsia="仿宋_GB2312"/>
          <w:bCs/>
          <w:color w:val="auto"/>
          <w:sz w:val="32"/>
          <w:szCs w:val="32"/>
        </w:rPr>
      </w:pPr>
      <w:r>
        <w:rPr>
          <w:rFonts w:hint="eastAsia" w:ascii="仿宋_GB2312" w:eastAsia="仿宋_GB2312"/>
          <w:bCs/>
          <w:color w:val="auto"/>
          <w:sz w:val="32"/>
          <w:szCs w:val="32"/>
        </w:rPr>
        <w:t>（三）参与本项目投标前三年内，在经营活动中没有重大违法记录（提供相关截图并加盖公章）。</w:t>
      </w:r>
    </w:p>
    <w:p>
      <w:pPr>
        <w:pageBreakBefore w:val="0"/>
        <w:kinsoku/>
        <w:wordWrap/>
        <w:overflowPunct/>
        <w:topLinePunct w:val="0"/>
        <w:autoSpaceDE/>
        <w:autoSpaceDN/>
        <w:bidi w:val="0"/>
        <w:spacing w:after="0" w:line="560" w:lineRule="exact"/>
        <w:ind w:firstLine="640" w:firstLineChars="200"/>
        <w:textAlignment w:val="auto"/>
        <w:rPr>
          <w:rFonts w:ascii="仿宋_GB2312" w:eastAsia="仿宋_GB2312"/>
          <w:bCs/>
          <w:color w:val="auto"/>
          <w:sz w:val="32"/>
          <w:szCs w:val="32"/>
        </w:rPr>
      </w:pPr>
      <w:r>
        <w:rPr>
          <w:rFonts w:hint="eastAsia" w:ascii="仿宋_GB2312" w:eastAsia="仿宋_GB2312"/>
          <w:bCs/>
          <w:color w:val="auto"/>
          <w:sz w:val="32"/>
          <w:szCs w:val="32"/>
        </w:rPr>
        <w:t>（四）参与本项目政府采购活动时不存在被有关部门禁止参与政府采购活动且在有效期内的情况（由供应商在《政府采购投标及履约承诺函》中作出声明）。</w:t>
      </w:r>
    </w:p>
    <w:p>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auto"/>
          <w:sz w:val="32"/>
          <w:szCs w:val="32"/>
        </w:rPr>
      </w:pPr>
      <w:r>
        <w:rPr>
          <w:rFonts w:hint="eastAsia" w:ascii="仿宋_GB2312" w:eastAsia="仿宋_GB2312"/>
          <w:bCs/>
          <w:color w:val="auto"/>
          <w:sz w:val="32"/>
          <w:szCs w:val="32"/>
        </w:rPr>
        <w:t>（五）未被列入失信被执行人、重大税收违法案件当事人名单、政府采购严重违法失信行为记录名单（提供相关截图并加盖公章）。</w:t>
      </w:r>
    </w:p>
    <w:p>
      <w:pPr>
        <w:ind w:firstLine="640"/>
        <w:rPr>
          <w:rFonts w:hint="eastAsia" w:ascii="黑体" w:hAnsi="黑体" w:eastAsia="黑体"/>
          <w:color w:val="auto"/>
          <w:highlight w:val="none"/>
        </w:rPr>
      </w:pPr>
      <w:r>
        <w:rPr>
          <w:rFonts w:hint="eastAsia" w:ascii="黑体" w:hAnsi="黑体" w:eastAsia="黑体"/>
          <w:color w:val="auto"/>
          <w:highlight w:val="none"/>
          <w:lang w:eastAsia="zh-CN"/>
        </w:rPr>
        <w:t>六</w:t>
      </w:r>
      <w:r>
        <w:rPr>
          <w:rFonts w:hint="eastAsia" w:ascii="黑体" w:hAnsi="黑体" w:eastAsia="黑体"/>
          <w:color w:val="auto"/>
          <w:highlight w:val="none"/>
        </w:rPr>
        <w:t>、投标时间、地点及联系人</w:t>
      </w:r>
    </w:p>
    <w:p>
      <w:pPr>
        <w:ind w:firstLine="640"/>
        <w:rPr>
          <w:rFonts w:hAnsi="Times New Roman"/>
          <w:b/>
          <w:bCs/>
          <w:color w:val="auto"/>
          <w:highlight w:val="none"/>
        </w:rPr>
      </w:pPr>
      <w:r>
        <w:rPr>
          <w:rFonts w:hint="eastAsia" w:hAnsi="Times New Roman"/>
          <w:bCs/>
          <w:color w:val="auto"/>
          <w:highlight w:val="none"/>
        </w:rPr>
        <w:t>（一）投标时间：</w:t>
      </w:r>
      <w:r>
        <w:rPr>
          <w:rFonts w:hAnsi="Times New Roman"/>
          <w:bCs/>
          <w:color w:val="auto"/>
          <w:highlight w:val="none"/>
        </w:rPr>
        <w:t>202</w:t>
      </w:r>
      <w:r>
        <w:rPr>
          <w:rFonts w:hint="default" w:hAnsi="Times New Roman"/>
          <w:bCs/>
          <w:color w:val="auto"/>
          <w:highlight w:val="none"/>
        </w:rPr>
        <w:t>5</w:t>
      </w:r>
      <w:r>
        <w:rPr>
          <w:rFonts w:hint="eastAsia" w:hAnsi="Times New Roman"/>
          <w:bCs/>
          <w:color w:val="auto"/>
          <w:highlight w:val="none"/>
        </w:rPr>
        <w:t>年</w:t>
      </w:r>
      <w:r>
        <w:rPr>
          <w:rFonts w:hint="default" w:hAnsi="Times New Roman"/>
          <w:bCs/>
          <w:color w:val="auto"/>
          <w:highlight w:val="none"/>
          <w:lang w:val="en-US"/>
        </w:rPr>
        <w:t>10</w:t>
      </w:r>
      <w:r>
        <w:rPr>
          <w:rFonts w:hint="eastAsia" w:hAnsi="Times New Roman"/>
          <w:bCs/>
          <w:color w:val="auto"/>
          <w:highlight w:val="none"/>
        </w:rPr>
        <w:t>月</w:t>
      </w:r>
      <w:r>
        <w:rPr>
          <w:rFonts w:hint="default" w:hAnsi="Times New Roman"/>
          <w:bCs/>
          <w:color w:val="auto"/>
          <w:highlight w:val="none"/>
          <w:lang w:val="en-US"/>
        </w:rPr>
        <w:t>31</w:t>
      </w:r>
      <w:r>
        <w:rPr>
          <w:rFonts w:hint="eastAsia" w:hAnsi="Times New Roman"/>
          <w:bCs/>
          <w:color w:val="auto"/>
          <w:highlight w:val="none"/>
        </w:rPr>
        <w:t>日至</w:t>
      </w:r>
      <w:r>
        <w:rPr>
          <w:rFonts w:hAnsi="Times New Roman"/>
          <w:bCs/>
          <w:color w:val="auto"/>
          <w:highlight w:val="none"/>
        </w:rPr>
        <w:t>202</w:t>
      </w:r>
      <w:r>
        <w:rPr>
          <w:rFonts w:hint="default" w:hAnsi="Times New Roman"/>
          <w:bCs/>
          <w:color w:val="auto"/>
          <w:highlight w:val="none"/>
        </w:rPr>
        <w:t>5</w:t>
      </w:r>
      <w:r>
        <w:rPr>
          <w:rFonts w:hint="eastAsia" w:hAnsi="Times New Roman"/>
          <w:bCs/>
          <w:color w:val="auto"/>
          <w:highlight w:val="none"/>
        </w:rPr>
        <w:t>年</w:t>
      </w:r>
      <w:r>
        <w:rPr>
          <w:rFonts w:hint="default" w:hAnsi="Times New Roman"/>
          <w:bCs/>
          <w:color w:val="auto"/>
          <w:highlight w:val="none"/>
          <w:lang w:val="en"/>
        </w:rPr>
        <w:t>11</w:t>
      </w:r>
      <w:r>
        <w:rPr>
          <w:rFonts w:hint="eastAsia" w:hAnsi="Times New Roman"/>
          <w:bCs/>
          <w:color w:val="auto"/>
          <w:highlight w:val="none"/>
        </w:rPr>
        <w:t>月</w:t>
      </w:r>
      <w:r>
        <w:rPr>
          <w:rFonts w:hint="default" w:hAnsi="Times New Roman"/>
          <w:bCs/>
          <w:color w:val="auto"/>
          <w:highlight w:val="none"/>
          <w:lang w:eastAsia="zh-CN"/>
        </w:rPr>
        <w:t>3</w:t>
      </w:r>
      <w:r>
        <w:rPr>
          <w:rFonts w:hint="eastAsia" w:hAnsi="Times New Roman"/>
          <w:bCs/>
          <w:color w:val="auto"/>
          <w:highlight w:val="none"/>
        </w:rPr>
        <w:t>日，每日上午</w:t>
      </w:r>
      <w:r>
        <w:rPr>
          <w:rFonts w:hAnsi="Times New Roman"/>
          <w:bCs/>
          <w:color w:val="auto"/>
          <w:highlight w:val="none"/>
        </w:rPr>
        <w:t>9:00-12:00，下午2:00-</w:t>
      </w:r>
      <w:r>
        <w:rPr>
          <w:rFonts w:hint="eastAsia" w:hAnsi="Times New Roman"/>
          <w:bCs/>
          <w:color w:val="auto"/>
          <w:highlight w:val="none"/>
        </w:rPr>
        <w:t>6</w:t>
      </w:r>
      <w:r>
        <w:rPr>
          <w:rFonts w:hAnsi="Times New Roman"/>
          <w:bCs/>
          <w:color w:val="auto"/>
          <w:highlight w:val="none"/>
        </w:rPr>
        <w:t>:</w:t>
      </w:r>
      <w:r>
        <w:rPr>
          <w:rFonts w:hint="eastAsia" w:hAnsi="Times New Roman"/>
          <w:bCs/>
          <w:color w:val="auto"/>
          <w:highlight w:val="none"/>
        </w:rPr>
        <w:t>00</w:t>
      </w:r>
      <w:r>
        <w:rPr>
          <w:rFonts w:hAnsi="Times New Roman"/>
          <w:bCs/>
          <w:color w:val="auto"/>
          <w:highlight w:val="none"/>
        </w:rPr>
        <w:t>。逾期未投标将不再受理。</w:t>
      </w:r>
    </w:p>
    <w:p>
      <w:pPr>
        <w:shd w:val="clear"/>
        <w:ind w:firstLine="640"/>
        <w:rPr>
          <w:rFonts w:hAnsi="Times New Roman"/>
          <w:b/>
          <w:bCs/>
          <w:color w:val="auto"/>
          <w:highlight w:val="none"/>
        </w:rPr>
      </w:pPr>
      <w:r>
        <w:rPr>
          <w:rFonts w:hint="eastAsia" w:hAnsi="Times New Roman"/>
          <w:bCs/>
          <w:color w:val="auto"/>
          <w:highlight w:val="none"/>
        </w:rPr>
        <w:t>（二）投标地点：深圳市龙华区龙华街道清泉路7号富康行政服务办公区19楼A1902，深圳市龙华区发展和改革局办公室</w:t>
      </w:r>
      <w:r>
        <w:rPr>
          <w:rFonts w:hAnsi="Times New Roman"/>
          <w:bCs/>
          <w:color w:val="auto"/>
          <w:highlight w:val="none"/>
        </w:rPr>
        <w:t>（可邮寄，以送达日期为投标日期）。</w:t>
      </w:r>
    </w:p>
    <w:p>
      <w:pPr>
        <w:shd w:val="clear"/>
        <w:ind w:firstLine="640"/>
        <w:rPr>
          <w:rFonts w:hint="default" w:hAnsi="Times New Roman" w:eastAsia="仿宋_GB2312"/>
          <w:bCs/>
          <w:color w:val="auto"/>
          <w:highlight w:val="none"/>
          <w:lang w:val="en-US" w:eastAsia="zh-CN"/>
        </w:rPr>
      </w:pPr>
      <w:r>
        <w:rPr>
          <w:rFonts w:hint="eastAsia" w:hAnsi="Times New Roman"/>
          <w:bCs/>
          <w:color w:val="auto"/>
          <w:highlight w:val="none"/>
        </w:rPr>
        <w:t>（三）联系人及电</w:t>
      </w:r>
      <w:r>
        <w:rPr>
          <w:rFonts w:hint="eastAsia" w:hAnsi="Times New Roman"/>
          <w:bCs/>
          <w:color w:val="auto"/>
          <w:highlight w:val="none"/>
          <w:shd w:val="clear"/>
        </w:rPr>
        <w:t>话：</w:t>
      </w:r>
      <w:r>
        <w:rPr>
          <w:rFonts w:hint="eastAsia" w:hAnsi="Times New Roman"/>
          <w:bCs/>
          <w:color w:val="auto"/>
          <w:highlight w:val="none"/>
          <w:shd w:val="clear"/>
          <w:lang w:val="en-US" w:eastAsia="zh-CN"/>
        </w:rPr>
        <w:t>龙女士</w:t>
      </w:r>
      <w:r>
        <w:rPr>
          <w:rFonts w:hint="eastAsia" w:hAnsi="Times New Roman"/>
          <w:bCs/>
          <w:color w:val="auto"/>
          <w:highlight w:val="none"/>
          <w:shd w:val="clear"/>
        </w:rPr>
        <w:t>，0755-</w:t>
      </w:r>
      <w:r>
        <w:rPr>
          <w:rFonts w:hint="eastAsia" w:hAnsi="Times New Roman"/>
          <w:bCs/>
          <w:color w:val="auto"/>
          <w:highlight w:val="none"/>
          <w:shd w:val="clear"/>
          <w:lang w:val="en-US" w:eastAsia="zh-CN"/>
        </w:rPr>
        <w:t>29304309</w:t>
      </w:r>
    </w:p>
    <w:p>
      <w:pPr>
        <w:ind w:firstLine="640"/>
        <w:rPr>
          <w:rFonts w:hint="eastAsia" w:ascii="黑体" w:hAnsi="黑体" w:eastAsia="黑体"/>
          <w:color w:val="auto"/>
          <w:highlight w:val="none"/>
        </w:rPr>
      </w:pPr>
      <w:r>
        <w:rPr>
          <w:rFonts w:hint="eastAsia" w:ascii="黑体" w:hAnsi="黑体" w:eastAsia="黑体"/>
          <w:color w:val="auto"/>
          <w:highlight w:val="none"/>
          <w:lang w:eastAsia="zh-CN"/>
        </w:rPr>
        <w:t>七</w:t>
      </w:r>
      <w:r>
        <w:rPr>
          <w:rFonts w:hint="eastAsia" w:ascii="黑体" w:hAnsi="黑体" w:eastAsia="黑体"/>
          <w:color w:val="auto"/>
          <w:highlight w:val="none"/>
        </w:rPr>
        <w:t>、投标文件递交内容</w:t>
      </w:r>
    </w:p>
    <w:p>
      <w:pPr>
        <w:ind w:firstLine="640"/>
        <w:rPr>
          <w:rFonts w:hint="eastAsia" w:hAnsi="仿宋" w:cs="仿宋_GB2312"/>
          <w:color w:val="auto"/>
          <w:highlight w:val="none"/>
        </w:rPr>
      </w:pPr>
      <w:r>
        <w:rPr>
          <w:rFonts w:hint="eastAsia" w:hAnsi="仿宋" w:cs="仿宋_GB2312"/>
          <w:color w:val="auto"/>
          <w:highlight w:val="none"/>
        </w:rPr>
        <w:t>（一）投标单位简介、投标人营业执照及相关证照（提供加盖公章的复印件，原件备查）。</w:t>
      </w:r>
    </w:p>
    <w:p>
      <w:pPr>
        <w:ind w:firstLine="640"/>
        <w:rPr>
          <w:rFonts w:hint="eastAsia" w:hAnsi="仿宋" w:cs="仿宋_GB2312"/>
          <w:color w:val="auto"/>
          <w:highlight w:val="none"/>
        </w:rPr>
      </w:pPr>
      <w:r>
        <w:rPr>
          <w:rFonts w:hint="eastAsia" w:hAnsi="仿宋" w:cs="仿宋_GB2312"/>
          <w:color w:val="auto"/>
          <w:highlight w:val="none"/>
        </w:rPr>
        <w:t>（二）法定代表人证明书及授权委托书（原件加盖公章）。</w:t>
      </w:r>
    </w:p>
    <w:p>
      <w:pPr>
        <w:ind w:firstLine="640"/>
        <w:rPr>
          <w:rFonts w:hint="eastAsia" w:hAnsi="仿宋" w:cs="仿宋_GB2312"/>
          <w:color w:val="auto"/>
          <w:highlight w:val="none"/>
        </w:rPr>
      </w:pPr>
      <w:r>
        <w:rPr>
          <w:rFonts w:hint="eastAsia" w:hAnsi="仿宋" w:cs="仿宋_GB2312"/>
          <w:color w:val="auto"/>
          <w:highlight w:val="none"/>
        </w:rPr>
        <w:t>（三）法定代表人及受委托人身份证复印件（复印件加盖公章）。</w:t>
      </w:r>
    </w:p>
    <w:p>
      <w:pPr>
        <w:ind w:firstLine="640"/>
        <w:rPr>
          <w:rFonts w:hint="eastAsia" w:hAnsi="仿宋" w:cs="仿宋_GB2312"/>
          <w:color w:val="auto"/>
          <w:highlight w:val="none"/>
        </w:rPr>
      </w:pPr>
      <w:r>
        <w:rPr>
          <w:rFonts w:hint="eastAsia" w:hAnsi="仿宋" w:cs="仿宋_GB2312"/>
          <w:color w:val="auto"/>
          <w:highlight w:val="none"/>
        </w:rPr>
        <w:t>（四）项目方案及报价单（原件加盖公章）。</w:t>
      </w:r>
    </w:p>
    <w:p>
      <w:pPr>
        <w:ind w:firstLine="640"/>
        <w:rPr>
          <w:rFonts w:hint="eastAsia" w:hAnsi="仿宋" w:cs="仿宋_GB2312"/>
          <w:color w:val="auto"/>
          <w:highlight w:val="none"/>
        </w:rPr>
      </w:pPr>
      <w:r>
        <w:rPr>
          <w:rFonts w:hint="eastAsia" w:hAnsi="仿宋" w:cs="仿宋_GB2312"/>
          <w:color w:val="auto"/>
          <w:highlight w:val="none"/>
        </w:rPr>
        <w:t>（五）投标人相关领域/项目经验证明材料（复印件加盖公章）。</w:t>
      </w:r>
    </w:p>
    <w:p>
      <w:pPr>
        <w:ind w:firstLine="640"/>
        <w:rPr>
          <w:rFonts w:hint="eastAsia" w:hAnsi="仿宋" w:cs="仿宋_GB2312"/>
          <w:color w:val="auto"/>
          <w:highlight w:val="none"/>
        </w:rPr>
      </w:pPr>
      <w:r>
        <w:rPr>
          <w:rFonts w:hint="eastAsia" w:hAnsi="仿宋" w:cs="仿宋_GB2312"/>
          <w:color w:val="auto"/>
          <w:highlight w:val="none"/>
        </w:rPr>
        <w:t>（六）投标人无重大违法记录声明函（原件加盖公章，格式自拟）。</w:t>
      </w:r>
    </w:p>
    <w:p>
      <w:pPr>
        <w:ind w:firstLine="640"/>
        <w:rPr>
          <w:rFonts w:hint="eastAsia" w:hAnsi="仿宋" w:cs="仿宋_GB2312"/>
          <w:color w:val="auto"/>
          <w:highlight w:val="none"/>
        </w:rPr>
      </w:pPr>
      <w:r>
        <w:rPr>
          <w:rFonts w:hint="eastAsia" w:hAnsi="仿宋" w:cs="仿宋_GB2312"/>
          <w:color w:val="auto"/>
          <w:highlight w:val="none"/>
        </w:rPr>
        <w:t>（七）投标及履约承诺函原件（格式见附件）。</w:t>
      </w:r>
    </w:p>
    <w:p>
      <w:pPr>
        <w:ind w:firstLine="640"/>
        <w:rPr>
          <w:rFonts w:hint="eastAsia" w:hAnsi="仿宋" w:cs="仿宋_GB2312"/>
          <w:color w:val="auto"/>
          <w:highlight w:val="none"/>
        </w:rPr>
      </w:pPr>
      <w:r>
        <w:rPr>
          <w:rFonts w:hint="eastAsia" w:hAnsi="仿宋" w:cs="仿宋_GB2312"/>
          <w:color w:val="auto"/>
          <w:highlight w:val="none"/>
        </w:rPr>
        <w:t>（</w:t>
      </w:r>
      <w:r>
        <w:rPr>
          <w:rFonts w:hint="eastAsia" w:hAnsi="仿宋" w:cs="仿宋_GB2312"/>
          <w:color w:val="auto"/>
          <w:highlight w:val="none"/>
          <w:lang w:val="en-US" w:eastAsia="zh-CN"/>
        </w:rPr>
        <w:t>八</w:t>
      </w:r>
      <w:r>
        <w:rPr>
          <w:rFonts w:hint="eastAsia" w:hAnsi="仿宋" w:cs="仿宋_GB2312"/>
          <w:color w:val="auto"/>
          <w:highlight w:val="none"/>
        </w:rPr>
        <w:t>）投标人认为有必要提供的其它材料。</w:t>
      </w:r>
    </w:p>
    <w:p>
      <w:pPr>
        <w:ind w:firstLine="640"/>
        <w:rPr>
          <w:rFonts w:hint="eastAsia" w:ascii="仿宋" w:hAnsi="仿宋" w:eastAsia="仿宋" w:cs="仿宋_GB2312"/>
          <w:color w:val="auto"/>
          <w:highlight w:val="none"/>
        </w:rPr>
      </w:pPr>
      <w:r>
        <w:rPr>
          <w:rFonts w:hint="eastAsia" w:hAnsi="仿宋" w:cs="仿宋_GB2312"/>
          <w:color w:val="auto"/>
          <w:highlight w:val="none"/>
        </w:rPr>
        <w:t>投标文件一式五份，整套纸质材料密封并加盖骑缝章，封面注明</w:t>
      </w:r>
      <w:r>
        <w:rPr>
          <w:rFonts w:hAnsi="仿宋" w:cs="仿宋_GB2312"/>
          <w:color w:val="auto"/>
          <w:highlight w:val="none"/>
        </w:rPr>
        <w:t>项目名称</w:t>
      </w:r>
      <w:r>
        <w:rPr>
          <w:rFonts w:hint="eastAsia" w:hAnsi="仿宋" w:cs="仿宋_GB2312"/>
          <w:color w:val="auto"/>
          <w:highlight w:val="none"/>
          <w:lang w:eastAsia="zh-CN"/>
        </w:rPr>
        <w:t>、</w:t>
      </w:r>
      <w:r>
        <w:rPr>
          <w:rFonts w:hint="eastAsia" w:hAnsi="仿宋" w:cs="仿宋_GB2312"/>
          <w:color w:val="auto"/>
          <w:highlight w:val="none"/>
        </w:rPr>
        <w:t>投标人的名称、地址、联系人及手机号码。</w:t>
      </w:r>
    </w:p>
    <w:p>
      <w:pPr>
        <w:ind w:firstLine="640"/>
        <w:rPr>
          <w:rFonts w:hint="eastAsia" w:ascii="黑体" w:hAnsi="黑体" w:eastAsia="黑体"/>
          <w:color w:val="auto"/>
          <w:highlight w:val="none"/>
        </w:rPr>
      </w:pPr>
      <w:r>
        <w:rPr>
          <w:rFonts w:hint="eastAsia" w:ascii="黑体" w:hAnsi="黑体" w:eastAsia="黑体"/>
          <w:color w:val="auto"/>
          <w:highlight w:val="none"/>
          <w:lang w:eastAsia="zh-CN"/>
        </w:rPr>
        <w:t>八</w:t>
      </w:r>
      <w:r>
        <w:rPr>
          <w:rFonts w:hint="eastAsia" w:ascii="黑体" w:hAnsi="黑体" w:eastAsia="黑体"/>
          <w:color w:val="auto"/>
          <w:highlight w:val="none"/>
        </w:rPr>
        <w:t>、重要提示</w:t>
      </w:r>
    </w:p>
    <w:p>
      <w:pPr>
        <w:ind w:firstLine="640"/>
        <w:rPr>
          <w:rFonts w:hint="eastAsia" w:hAnsi="仿宋" w:cs="仿宋_GB2312"/>
          <w:color w:val="auto"/>
          <w:highlight w:val="none"/>
        </w:rPr>
      </w:pPr>
      <w:r>
        <w:rPr>
          <w:rFonts w:hint="eastAsia" w:hAnsi="仿宋" w:cs="仿宋_GB2312"/>
          <w:color w:val="auto"/>
          <w:highlight w:val="none"/>
        </w:rPr>
        <w:t>投标单位有下列情况之一的，其投标将被拒绝或作无效投标处理：</w:t>
      </w:r>
    </w:p>
    <w:p>
      <w:pPr>
        <w:ind w:firstLine="640"/>
        <w:rPr>
          <w:rFonts w:hint="eastAsia" w:hAnsi="仿宋" w:cs="仿宋_GB2312"/>
          <w:color w:val="auto"/>
          <w:highlight w:val="none"/>
        </w:rPr>
      </w:pPr>
      <w:r>
        <w:rPr>
          <w:rFonts w:hint="eastAsia" w:hAnsi="仿宋" w:cs="仿宋_GB2312"/>
          <w:color w:val="auto"/>
          <w:highlight w:val="none"/>
        </w:rPr>
        <w:t>（一）未在规定时间内将投标文件送达规定地点的。</w:t>
      </w:r>
    </w:p>
    <w:p>
      <w:pPr>
        <w:ind w:firstLine="640"/>
        <w:rPr>
          <w:rFonts w:hint="eastAsia" w:hAnsi="仿宋" w:cs="仿宋_GB2312"/>
          <w:color w:val="auto"/>
          <w:highlight w:val="none"/>
        </w:rPr>
      </w:pPr>
      <w:r>
        <w:rPr>
          <w:rFonts w:hint="eastAsia" w:hAnsi="仿宋" w:cs="仿宋_GB2312"/>
          <w:color w:val="auto"/>
          <w:highlight w:val="none"/>
        </w:rPr>
        <w:t>（二）投标人不具备投标资格要求，或未提交相应资格证明材料。</w:t>
      </w:r>
    </w:p>
    <w:p>
      <w:pPr>
        <w:ind w:firstLine="640"/>
        <w:rPr>
          <w:rFonts w:hint="eastAsia" w:hAnsi="仿宋" w:cs="仿宋_GB2312"/>
          <w:color w:val="auto"/>
          <w:highlight w:val="none"/>
        </w:rPr>
      </w:pPr>
      <w:r>
        <w:rPr>
          <w:rFonts w:hint="eastAsia" w:hAnsi="仿宋" w:cs="仿宋_GB2312"/>
          <w:color w:val="auto"/>
          <w:highlight w:val="none"/>
        </w:rPr>
        <w:t>（三）投标文件未按规定密封、签字、盖章。</w:t>
      </w:r>
    </w:p>
    <w:p>
      <w:pPr>
        <w:ind w:firstLine="640"/>
        <w:rPr>
          <w:rFonts w:hint="eastAsia" w:hAnsi="仿宋" w:cs="仿宋_GB2312"/>
          <w:color w:val="auto"/>
          <w:highlight w:val="none"/>
        </w:rPr>
      </w:pPr>
      <w:r>
        <w:rPr>
          <w:rFonts w:hint="eastAsia" w:hAnsi="仿宋" w:cs="仿宋_GB2312"/>
          <w:color w:val="auto"/>
          <w:highlight w:val="none"/>
        </w:rPr>
        <w:t>（四）投标文件无法定代表人签字或无法定代表人有效授权委托的。</w:t>
      </w:r>
    </w:p>
    <w:p>
      <w:pPr>
        <w:ind w:firstLine="640"/>
        <w:rPr>
          <w:rFonts w:hint="eastAsia" w:hAnsi="仿宋" w:cs="仿宋_GB2312"/>
          <w:color w:val="auto"/>
          <w:highlight w:val="none"/>
        </w:rPr>
      </w:pPr>
      <w:r>
        <w:rPr>
          <w:rFonts w:hint="eastAsia" w:hAnsi="仿宋" w:cs="仿宋_GB2312"/>
          <w:color w:val="auto"/>
          <w:highlight w:val="none"/>
        </w:rPr>
        <w:t>（五）分项报价或投标总价高于预算金额（最高投标限价）的。</w:t>
      </w:r>
    </w:p>
    <w:p>
      <w:pPr>
        <w:ind w:firstLine="640"/>
        <w:rPr>
          <w:rFonts w:hint="eastAsia" w:hAnsi="仿宋" w:cs="仿宋_GB2312"/>
          <w:color w:val="auto"/>
          <w:highlight w:val="none"/>
        </w:rPr>
      </w:pPr>
      <w:r>
        <w:rPr>
          <w:rFonts w:hint="eastAsia" w:hAnsi="仿宋" w:cs="仿宋_GB2312"/>
          <w:color w:val="auto"/>
          <w:highlight w:val="none"/>
        </w:rPr>
        <w:t>（六）同一项目出现两个及以上报价，且按规定无法确定哪个是有效报价。</w:t>
      </w:r>
    </w:p>
    <w:p>
      <w:pPr>
        <w:ind w:firstLine="640"/>
        <w:rPr>
          <w:rFonts w:hint="eastAsia" w:hAnsi="仿宋" w:cs="仿宋_GB2312"/>
          <w:color w:val="auto"/>
          <w:highlight w:val="none"/>
        </w:rPr>
      </w:pPr>
      <w:r>
        <w:rPr>
          <w:rFonts w:hint="eastAsia" w:hAnsi="仿宋" w:cs="仿宋_GB2312"/>
          <w:color w:val="auto"/>
          <w:highlight w:val="none"/>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ind w:firstLine="640"/>
        <w:rPr>
          <w:rFonts w:hint="eastAsia" w:hAnsi="仿宋" w:cs="仿宋_GB2312"/>
          <w:color w:val="auto"/>
          <w:highlight w:val="none"/>
        </w:rPr>
      </w:pPr>
      <w:r>
        <w:rPr>
          <w:rFonts w:hint="eastAsia" w:hAnsi="仿宋" w:cs="仿宋_GB2312"/>
          <w:color w:val="auto"/>
          <w:highlight w:val="none"/>
        </w:rPr>
        <w:t>（八）所投服务在质量、技术、方案等方面没有实质性满足招标文件要求。</w:t>
      </w:r>
    </w:p>
    <w:p>
      <w:pPr>
        <w:ind w:firstLine="640"/>
        <w:rPr>
          <w:rFonts w:hint="eastAsia" w:hAnsi="仿宋" w:cs="仿宋_GB2312"/>
          <w:color w:val="auto"/>
          <w:highlight w:val="none"/>
        </w:rPr>
      </w:pPr>
      <w:r>
        <w:rPr>
          <w:rFonts w:hint="eastAsia" w:hAnsi="仿宋" w:cs="仿宋_GB2312"/>
          <w:color w:val="auto"/>
          <w:highlight w:val="none"/>
        </w:rPr>
        <w:t>（九）法律、法规规定的其他情形。</w:t>
      </w:r>
    </w:p>
    <w:p>
      <w:pPr>
        <w:ind w:firstLine="640"/>
        <w:rPr>
          <w:rFonts w:hint="eastAsia" w:ascii="黑体" w:hAnsi="黑体" w:eastAsia="黑体"/>
          <w:color w:val="auto"/>
          <w:highlight w:val="none"/>
        </w:rPr>
      </w:pPr>
      <w:r>
        <w:rPr>
          <w:rFonts w:hint="eastAsia" w:ascii="黑体" w:hAnsi="黑体" w:eastAsia="黑体"/>
          <w:color w:val="auto"/>
          <w:highlight w:val="none"/>
          <w:lang w:eastAsia="zh-CN"/>
        </w:rPr>
        <w:t>九</w:t>
      </w:r>
      <w:r>
        <w:rPr>
          <w:rFonts w:hint="eastAsia" w:ascii="黑体" w:hAnsi="黑体" w:eastAsia="黑体"/>
          <w:color w:val="auto"/>
          <w:highlight w:val="none"/>
        </w:rPr>
        <w:t>、评标方法</w:t>
      </w:r>
    </w:p>
    <w:p>
      <w:pPr>
        <w:pStyle w:val="20"/>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评标采用</w:t>
      </w:r>
      <w:r>
        <w:rPr>
          <w:rFonts w:hint="eastAsia" w:ascii="仿宋_GB2312" w:hAnsi="仿宋_GB2312" w:eastAsia="仿宋_GB2312" w:cs="仿宋_GB2312"/>
          <w:b/>
          <w:bCs/>
          <w:color w:val="auto"/>
          <w:sz w:val="32"/>
          <w:szCs w:val="32"/>
        </w:rPr>
        <w:t>综合评分法</w:t>
      </w:r>
      <w:r>
        <w:rPr>
          <w:rFonts w:hint="eastAsia" w:ascii="仿宋_GB2312" w:hAnsi="仿宋_GB2312" w:eastAsia="仿宋_GB2312" w:cs="仿宋_GB2312"/>
          <w:color w:val="auto"/>
          <w:sz w:val="32"/>
          <w:szCs w:val="32"/>
        </w:rPr>
        <w:t>。确定中标供应商按评审后得分由高到低顺序排列。得分相同的，按投标报价由低到高顺序排列。得分且投标报价相同的，按技术或服务方案优劣顺序排列。</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left"/>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评分权重</w:t>
      </w:r>
    </w:p>
    <w:tbl>
      <w:tblPr>
        <w:tblStyle w:val="16"/>
        <w:tblW w:w="8266"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725"/>
        <w:gridCol w:w="1669"/>
        <w:gridCol w:w="1706"/>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评分内容</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商务能力</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技术能力</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人员配备</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分值</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ascii="仿宋_GB2312" w:hAnsi="仿宋_GB2312" w:eastAsia="仿宋_GB2312" w:cs="仿宋_GB2312"/>
                <w:bCs/>
                <w:color w:val="auto"/>
                <w:sz w:val="28"/>
                <w:szCs w:val="28"/>
                <w:lang w:val="en"/>
              </w:rPr>
              <w:t>3</w:t>
            </w:r>
            <w:r>
              <w:rPr>
                <w:rFonts w:hint="eastAsia" w:ascii="仿宋_GB2312" w:hAnsi="仿宋_GB2312" w:eastAsia="仿宋_GB2312" w:cs="仿宋_GB2312"/>
                <w:bCs/>
                <w:color w:val="auto"/>
                <w:sz w:val="28"/>
                <w:szCs w:val="28"/>
              </w:rPr>
              <w:t>5分</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30分</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
              </w:rPr>
              <w:t>15</w:t>
            </w:r>
            <w:r>
              <w:rPr>
                <w:rFonts w:hint="eastAsia" w:ascii="仿宋_GB2312" w:hAnsi="仿宋_GB2312" w:eastAsia="仿宋_GB2312" w:cs="仿宋_GB2312"/>
                <w:bCs/>
                <w:color w:val="auto"/>
                <w:sz w:val="28"/>
                <w:szCs w:val="28"/>
              </w:rPr>
              <w:t>分</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r>
              <w:rPr>
                <w:rFonts w:ascii="仿宋_GB2312" w:hAnsi="仿宋_GB2312" w:eastAsia="仿宋_GB2312" w:cs="仿宋_GB2312"/>
                <w:bCs/>
                <w:color w:val="auto"/>
                <w:sz w:val="28"/>
                <w:szCs w:val="28"/>
                <w:lang w:val="en"/>
              </w:rPr>
              <w:t>0</w:t>
            </w:r>
            <w:r>
              <w:rPr>
                <w:rFonts w:hint="eastAsia" w:ascii="仿宋_GB2312" w:hAnsi="仿宋_GB2312" w:eastAsia="仿宋_GB2312" w:cs="仿宋_GB2312"/>
                <w:bCs/>
                <w:color w:val="auto"/>
                <w:sz w:val="28"/>
                <w:szCs w:val="28"/>
              </w:rPr>
              <w:t>分</w:t>
            </w:r>
          </w:p>
        </w:tc>
      </w:tr>
    </w:tbl>
    <w:p>
      <w:pPr>
        <w:widowControl/>
        <w:adjustRightInd/>
        <w:snapToGrid/>
        <w:ind w:firstLine="640"/>
        <w:rPr>
          <w:rFonts w:hint="eastAsia" w:ascii="楷体_GB2312" w:hAnsi="黑体" w:eastAsia="楷体_GB2312" w:cs="黑体"/>
          <w:color w:val="auto"/>
          <w:highlight w:val="none"/>
        </w:rPr>
      </w:pPr>
      <w:r>
        <w:rPr>
          <w:rFonts w:hint="eastAsia" w:ascii="楷体_GB2312" w:hAnsi="黑体" w:eastAsia="楷体_GB2312" w:cs="黑体"/>
          <w:color w:val="auto"/>
          <w:highlight w:val="none"/>
        </w:rPr>
        <w:t>（三）评分标准</w:t>
      </w:r>
    </w:p>
    <w:p>
      <w:pPr>
        <w:pageBreakBefore w:val="0"/>
        <w:kinsoku/>
        <w:wordWrap/>
        <w:overflowPunct/>
        <w:topLinePunct w:val="0"/>
        <w:autoSpaceDE/>
        <w:autoSpaceDN/>
        <w:bidi w:val="0"/>
        <w:spacing w:after="0" w:line="560" w:lineRule="exact"/>
        <w:ind w:firstLine="642"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1.商务能力</w:t>
      </w:r>
    </w:p>
    <w:tbl>
      <w:tblPr>
        <w:tblStyle w:val="15"/>
        <w:tblW w:w="9418"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500"/>
        <w:gridCol w:w="3506"/>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5644" w:type="dxa"/>
            <w:gridSpan w:val="3"/>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eastAsia="仿宋_GB2312"/>
                <w:b/>
                <w:bCs/>
                <w:color w:val="auto"/>
                <w:sz w:val="30"/>
                <w:szCs w:val="30"/>
              </w:rPr>
            </w:pPr>
            <w:r>
              <w:rPr>
                <w:rFonts w:hint="eastAsia" w:ascii="仿宋_GB2312" w:eastAsia="仿宋_GB2312"/>
                <w:b/>
                <w:bCs/>
                <w:color w:val="auto"/>
                <w:sz w:val="30"/>
                <w:szCs w:val="30"/>
              </w:rPr>
              <w:t>项目</w:t>
            </w:r>
          </w:p>
        </w:tc>
        <w:tc>
          <w:tcPr>
            <w:tcW w:w="377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eastAsia="仿宋_GB2312"/>
                <w:b/>
                <w:bCs/>
                <w:color w:val="auto"/>
                <w:sz w:val="30"/>
                <w:szCs w:val="30"/>
              </w:rPr>
            </w:pPr>
            <w:r>
              <w:rPr>
                <w:rFonts w:hint="eastAsia" w:ascii="仿宋_GB2312" w:eastAsia="仿宋_GB2312"/>
                <w:b/>
                <w:bCs/>
                <w:color w:val="auto"/>
                <w:sz w:val="30"/>
                <w:szCs w:val="30"/>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638"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r>
              <w:rPr>
                <w:rFonts w:hint="eastAsia" w:ascii="仿宋_GB2312" w:eastAsia="仿宋_GB2312"/>
                <w:color w:val="auto"/>
                <w:sz w:val="28"/>
                <w:szCs w:val="28"/>
              </w:rPr>
              <w:t>商商务能力评分35分</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经验</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（25分）</w:t>
            </w:r>
          </w:p>
        </w:tc>
        <w:tc>
          <w:tcPr>
            <w:tcW w:w="350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投标人具有为政府提供过经济、产业等领域相关服务经验的，每提供1个得5分，最高得分为25分。</w:t>
            </w:r>
          </w:p>
        </w:tc>
        <w:tc>
          <w:tcPr>
            <w:tcW w:w="377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1.投标人须提供项目合同关键页或中标通知书原件扫描件，作为得分依据。未提供或提供不清晰导致无法判断的，不得分。</w:t>
            </w:r>
          </w:p>
          <w:p>
            <w:pPr>
              <w:keepNext w:val="0"/>
              <w:keepLines w:val="0"/>
              <w:pageBreakBefore w:val="0"/>
              <w:widowControl w:val="0"/>
              <w:kinsoku/>
              <w:wordWrap/>
              <w:overflowPunct/>
              <w:topLinePunct w:val="0"/>
              <w:autoSpaceDE/>
              <w:autoSpaceDN/>
              <w:bidi w:val="0"/>
              <w:adjustRightInd/>
              <w:snapToGrid/>
              <w:spacing w:after="0" w:line="36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供应商获奖情况</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（5分）</w:t>
            </w:r>
          </w:p>
        </w:tc>
        <w:tc>
          <w:tcPr>
            <w:tcW w:w="3506"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投标人自2022年1月1日至今日（以颁发时间为准）获得政府部门或政府机构颁发的</w:t>
            </w:r>
            <w:bookmarkStart w:id="3" w:name="OLE_LINK8"/>
            <w:r>
              <w:rPr>
                <w:rFonts w:hint="eastAsia" w:ascii="仿宋_GB2312" w:eastAsia="仿宋_GB2312"/>
                <w:color w:val="auto"/>
                <w:sz w:val="28"/>
                <w:szCs w:val="28"/>
              </w:rPr>
              <w:t>统计调查相关表彰荣誉证书或表彰文件</w:t>
            </w:r>
            <w:bookmarkEnd w:id="3"/>
            <w:r>
              <w:rPr>
                <w:rFonts w:hint="eastAsia" w:ascii="仿宋_GB2312" w:eastAsia="仿宋_GB2312"/>
                <w:color w:val="auto"/>
                <w:sz w:val="28"/>
                <w:szCs w:val="28"/>
              </w:rPr>
              <w:t>，每提供一个省级及以上的得3分，每提供一个市级的得2分，每提供一个区县级的得1分，最高得5分。</w:t>
            </w:r>
          </w:p>
        </w:tc>
        <w:tc>
          <w:tcPr>
            <w:tcW w:w="3774"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1.投标人须提供荣誉证书或表彰文件等证明材料扫描件，作为得分依据。未提供或提供不清晰导致无法判断的，不得分。</w:t>
            </w:r>
          </w:p>
          <w:p>
            <w:pPr>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30"/>
                <w:szCs w:val="30"/>
              </w:rPr>
            </w:pPr>
            <w:bookmarkStart w:id="4" w:name="OLE_LINK10"/>
          </w:p>
        </w:tc>
        <w:tc>
          <w:tcPr>
            <w:tcW w:w="15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32"/>
                <w:szCs w:val="32"/>
              </w:rPr>
            </w:pPr>
            <w:r>
              <w:rPr>
                <w:rFonts w:hint="eastAsia" w:ascii="仿宋_GB2312" w:eastAsia="仿宋_GB2312"/>
                <w:color w:val="auto"/>
                <w:sz w:val="32"/>
                <w:szCs w:val="32"/>
              </w:rPr>
              <w:t>信誉</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32"/>
                <w:szCs w:val="32"/>
              </w:rPr>
            </w:pPr>
            <w:r>
              <w:rPr>
                <w:rFonts w:hint="eastAsia" w:ascii="仿宋_GB2312" w:eastAsia="仿宋_GB2312"/>
                <w:color w:val="auto"/>
                <w:sz w:val="32"/>
                <w:szCs w:val="32"/>
              </w:rPr>
              <w:t>（5分）</w:t>
            </w:r>
          </w:p>
        </w:tc>
        <w:tc>
          <w:tcPr>
            <w:tcW w:w="3506"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符合国家法规政策关于诚信管理的要求，至投标截止时间，投标人没有在信用中国网</w:t>
            </w:r>
            <w:r>
              <w:rPr>
                <w:rFonts w:hint="eastAsia"/>
                <w:color w:val="auto"/>
                <w:sz w:val="28"/>
                <w:szCs w:val="28"/>
                <w:lang w:eastAsia="zh-CN"/>
              </w:rPr>
              <w:t>、</w:t>
            </w:r>
            <w:r>
              <w:rPr>
                <w:rFonts w:hint="eastAsia" w:ascii="仿宋_GB2312" w:eastAsia="仿宋_GB2312"/>
                <w:color w:val="auto"/>
                <w:sz w:val="28"/>
                <w:szCs w:val="28"/>
              </w:rPr>
              <w:t>中国政府采购网</w:t>
            </w:r>
            <w:r>
              <w:rPr>
                <w:rFonts w:hint="eastAsia"/>
                <w:color w:val="auto"/>
                <w:sz w:val="28"/>
                <w:szCs w:val="28"/>
                <w:lang w:eastAsia="zh-CN"/>
              </w:rPr>
              <w:t>、</w:t>
            </w:r>
            <w:r>
              <w:rPr>
                <w:rFonts w:hint="eastAsia" w:ascii="仿宋_GB2312" w:eastAsia="仿宋_GB2312"/>
                <w:color w:val="auto"/>
                <w:sz w:val="28"/>
                <w:szCs w:val="28"/>
              </w:rPr>
              <w:t>深圳市政府采购监督管理网</w:t>
            </w:r>
            <w:r>
              <w:rPr>
                <w:rFonts w:hint="eastAsia"/>
                <w:color w:val="auto"/>
                <w:sz w:val="28"/>
                <w:szCs w:val="28"/>
                <w:lang w:eastAsia="zh-CN"/>
              </w:rPr>
              <w:t>、</w:t>
            </w:r>
            <w:r>
              <w:rPr>
                <w:rFonts w:hint="eastAsia" w:ascii="仿宋_GB2312" w:eastAsia="仿宋_GB2312"/>
                <w:color w:val="auto"/>
                <w:sz w:val="28"/>
                <w:szCs w:val="28"/>
              </w:rPr>
              <w:t>深圳公共资源交易中心市区政府采购统一平台</w:t>
            </w:r>
            <w:r>
              <w:rPr>
                <w:rFonts w:hint="eastAsia"/>
                <w:color w:val="auto"/>
                <w:sz w:val="28"/>
                <w:szCs w:val="28"/>
                <w:lang w:eastAsia="zh-CN"/>
              </w:rPr>
              <w:t>、</w:t>
            </w:r>
            <w:r>
              <w:rPr>
                <w:rFonts w:hint="eastAsia" w:ascii="仿宋_GB2312" w:eastAsia="仿宋_GB2312"/>
                <w:color w:val="auto"/>
                <w:sz w:val="28"/>
                <w:szCs w:val="28"/>
              </w:rPr>
              <w:t>“国家企业信用信息公示系统”</w:t>
            </w:r>
            <w:r>
              <w:rPr>
                <w:rFonts w:hint="eastAsia"/>
                <w:color w:val="auto"/>
                <w:sz w:val="28"/>
                <w:szCs w:val="28"/>
                <w:lang w:eastAsia="zh-CN"/>
              </w:rPr>
              <w:t>、</w:t>
            </w:r>
            <w:r>
              <w:rPr>
                <w:rFonts w:hint="eastAsia" w:ascii="仿宋_GB2312" w:eastAsia="仿宋_GB2312"/>
                <w:color w:val="auto"/>
                <w:sz w:val="28"/>
                <w:szCs w:val="28"/>
              </w:rPr>
              <w:t>等官网中列入“失信被执行人、重大税收违法案件当事人名单、政府采购严重违法失信行为记录名单”。</w:t>
            </w:r>
          </w:p>
        </w:tc>
        <w:tc>
          <w:tcPr>
            <w:tcW w:w="3774"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1.投标人须提供相关截图作为佐证材料。</w:t>
            </w:r>
          </w:p>
          <w:p>
            <w:pPr>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2.投标人在参与政府采购活动中存在诚信相关问题且在主管部门相关处理措施实施期限内的，本项不得分，否则得满分。</w:t>
            </w:r>
          </w:p>
        </w:tc>
      </w:tr>
      <w:bookmarkEnd w:id="4"/>
    </w:tbl>
    <w:p>
      <w:pPr>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bCs/>
          <w:color w:val="auto"/>
          <w:sz w:val="32"/>
          <w:szCs w:val="32"/>
        </w:rPr>
      </w:pPr>
      <w:r>
        <w:rPr>
          <w:rFonts w:hint="eastAsia" w:ascii="仿宋_GB2312" w:hAnsi="宋体" w:eastAsia="仿宋_GB2312"/>
          <w:bCs/>
          <w:color w:val="auto"/>
          <w:sz w:val="32"/>
          <w:szCs w:val="32"/>
        </w:rPr>
        <w:t>注：不提供证明文件或提供的证明文件不合格者，不</w:t>
      </w:r>
      <w:r>
        <w:rPr>
          <w:rFonts w:hint="eastAsia" w:hAnsi="宋体"/>
          <w:bCs/>
          <w:color w:val="auto"/>
          <w:sz w:val="32"/>
          <w:szCs w:val="32"/>
          <w:lang w:eastAsia="zh-CN"/>
        </w:rPr>
        <w:t>得</w:t>
      </w:r>
      <w:r>
        <w:rPr>
          <w:rFonts w:hint="eastAsia" w:ascii="仿宋_GB2312" w:hAnsi="宋体" w:eastAsia="仿宋_GB2312"/>
          <w:bCs/>
          <w:color w:val="auto"/>
          <w:sz w:val="32"/>
          <w:szCs w:val="32"/>
        </w:rPr>
        <w:t>分。</w:t>
      </w:r>
    </w:p>
    <w:p>
      <w:pPr>
        <w:rPr>
          <w:rFonts w:hint="eastAsia" w:ascii="仿宋_GB2312" w:eastAsia="仿宋_GB2312"/>
          <w:b/>
          <w:bCs/>
          <w:color w:val="auto"/>
          <w:sz w:val="32"/>
          <w:szCs w:val="32"/>
        </w:rPr>
      </w:pPr>
      <w:r>
        <w:rPr>
          <w:rFonts w:hint="eastAsia" w:ascii="仿宋_GB2312" w:eastAsia="仿宋_GB2312"/>
          <w:b/>
          <w:bCs/>
          <w:color w:val="auto"/>
          <w:sz w:val="32"/>
          <w:szCs w:val="32"/>
        </w:rPr>
        <w:br w:type="page"/>
      </w:r>
    </w:p>
    <w:p>
      <w:pPr>
        <w:pageBreakBefore w:val="0"/>
        <w:kinsoku/>
        <w:wordWrap/>
        <w:overflowPunct/>
        <w:topLinePunct w:val="0"/>
        <w:autoSpaceDE/>
        <w:autoSpaceDN/>
        <w:bidi w:val="0"/>
        <w:spacing w:after="0" w:line="560" w:lineRule="exact"/>
        <w:ind w:firstLine="642"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2.技术能力</w:t>
      </w:r>
    </w:p>
    <w:tbl>
      <w:tblPr>
        <w:tblStyle w:val="15"/>
        <w:tblW w:w="9418"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537"/>
        <w:gridCol w:w="2888"/>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trPr>
        <w:tc>
          <w:tcPr>
            <w:tcW w:w="5063" w:type="dxa"/>
            <w:gridSpan w:val="3"/>
            <w:vAlign w:val="center"/>
          </w:tcPr>
          <w:p>
            <w:pPr>
              <w:pageBreakBefore w:val="0"/>
              <w:kinsoku/>
              <w:wordWrap/>
              <w:overflowPunct/>
              <w:topLinePunct w:val="0"/>
              <w:autoSpaceDE/>
              <w:autoSpaceDN/>
              <w:bidi w:val="0"/>
              <w:spacing w:after="0" w:line="400" w:lineRule="exact"/>
              <w:jc w:val="center"/>
              <w:textAlignment w:val="auto"/>
              <w:rPr>
                <w:rFonts w:ascii="仿宋_GB2312" w:eastAsia="仿宋_GB2312"/>
                <w:b/>
                <w:bCs/>
                <w:color w:val="auto"/>
                <w:sz w:val="30"/>
                <w:szCs w:val="30"/>
              </w:rPr>
            </w:pPr>
            <w:r>
              <w:rPr>
                <w:rFonts w:hint="eastAsia" w:ascii="仿宋_GB2312" w:eastAsia="仿宋_GB2312"/>
                <w:b/>
                <w:bCs/>
                <w:color w:val="auto"/>
                <w:sz w:val="30"/>
                <w:szCs w:val="30"/>
              </w:rPr>
              <w:t>项目</w:t>
            </w:r>
          </w:p>
        </w:tc>
        <w:tc>
          <w:tcPr>
            <w:tcW w:w="4355" w:type="dxa"/>
            <w:vAlign w:val="center"/>
          </w:tcPr>
          <w:p>
            <w:pPr>
              <w:pageBreakBefore w:val="0"/>
              <w:kinsoku/>
              <w:wordWrap/>
              <w:overflowPunct/>
              <w:topLinePunct w:val="0"/>
              <w:autoSpaceDE/>
              <w:autoSpaceDN/>
              <w:bidi w:val="0"/>
              <w:spacing w:after="0" w:line="400" w:lineRule="exact"/>
              <w:jc w:val="center"/>
              <w:textAlignment w:val="auto"/>
              <w:rPr>
                <w:rFonts w:ascii="仿宋_GB2312" w:eastAsia="仿宋_GB2312"/>
                <w:b/>
                <w:bCs/>
                <w:color w:val="auto"/>
                <w:sz w:val="30"/>
                <w:szCs w:val="30"/>
              </w:rPr>
            </w:pPr>
            <w:r>
              <w:rPr>
                <w:rFonts w:hint="eastAsia" w:ascii="仿宋_GB2312" w:eastAsia="仿宋_GB2312"/>
                <w:b/>
                <w:bCs/>
                <w:color w:val="auto"/>
                <w:sz w:val="30"/>
                <w:szCs w:val="30"/>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r>
              <w:rPr>
                <w:rFonts w:hint="eastAsia" w:ascii="仿宋_GB2312" w:eastAsia="仿宋_GB2312"/>
                <w:color w:val="auto"/>
                <w:sz w:val="28"/>
                <w:szCs w:val="28"/>
              </w:rPr>
              <w:t>技</w:t>
            </w:r>
            <w:r>
              <w:rPr>
                <w:rFonts w:hint="eastAsia"/>
                <w:color w:val="auto"/>
                <w:sz w:val="28"/>
                <w:szCs w:val="28"/>
                <w:lang w:eastAsia="zh-CN"/>
              </w:rPr>
              <w:t>技</w:t>
            </w:r>
            <w:r>
              <w:rPr>
                <w:rFonts w:hint="eastAsia" w:ascii="仿宋_GB2312" w:eastAsia="仿宋_GB2312"/>
                <w:color w:val="auto"/>
                <w:sz w:val="28"/>
                <w:szCs w:val="28"/>
              </w:rPr>
              <w:t>术能力评分30分</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服务</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方案</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（10分）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（一）评分内容</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本次服务方案应满足我局需求，聚焦龙华区产业特点和区位优势，包括服务方案、工作流程、计划安排等内容。</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（二）评分标准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本活动方案需求理解准确、整体设计方案合理，考虑全面，规划合理，切实可行，内容包含：</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1、服务方案；</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2、工作流程；</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3、计划安排。</w:t>
            </w:r>
          </w:p>
        </w:tc>
        <w:tc>
          <w:tcPr>
            <w:tcW w:w="435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1、1-3项内容，满足三项得6分，满足二项得4分，满足一项得2分。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2、在此基础上，采购评审小组根据各投标人的具体内容进一步评审：</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（1）方案中内容体现完整，可操作性强，加4分；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（2）方案中内容体现完整，可操作性较好，加3分；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（3）方案中内容体现较为完整，可操作性一般，加1分；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（4）方案中内容体现不完整，可操作性差，不加分。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30"/>
                <w:szCs w:val="30"/>
              </w:rPr>
            </w:pPr>
          </w:p>
        </w:tc>
        <w:tc>
          <w:tcPr>
            <w:tcW w:w="153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重难点分析及应对措施、合理化建议</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（10分）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对本项目服务方案重点难点进行分析，找准问题的原因，并提供对项目难点的技术支持及对应措施，进行合理化建议。内容包含：</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1、项目重点难点分析；</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2、重难点应对措施；</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3、相关的合理化建议。</w:t>
            </w:r>
          </w:p>
        </w:tc>
        <w:tc>
          <w:tcPr>
            <w:tcW w:w="435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1、1-3项内容，满足三项得6分，满足二项得4分，满足一项得2分。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2、在此基础上，采购评审小组根据各投标人的具体内容进一步评审：</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（1）项目重点难点分析透彻、解决方案针对性强的，加4分；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（2）项目重点难点分析基本清楚、解决方案针对性较好的，加3分；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（3）项目重点难点分析一般、解决方案针对性一般的，加1分；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（4）项目重点难点分析不全面、解决方案差的，不加分。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eastAsia="仿宋_GB2312"/>
                <w:color w:val="auto"/>
                <w:sz w:val="28"/>
                <w:szCs w:val="28"/>
              </w:rPr>
            </w:pPr>
          </w:p>
        </w:tc>
        <w:tc>
          <w:tcPr>
            <w:tcW w:w="153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服务</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承诺</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（10分）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项目完成后的服务承诺</w:t>
            </w:r>
          </w:p>
        </w:tc>
        <w:tc>
          <w:tcPr>
            <w:tcW w:w="4355"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（一）评分内容</w:t>
            </w:r>
          </w:p>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1.服务承诺内容全面、科学合理具备可操作性。</w:t>
            </w:r>
          </w:p>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2.违约承诺内容全面、具有针对性、可操作性强。</w:t>
            </w:r>
          </w:p>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（二）评分标准</w:t>
            </w:r>
          </w:p>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1.服务承诺现实性、明确性、利益、承诺性好；得10分。</w:t>
            </w:r>
          </w:p>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2.服务承诺现实性、明确性、利益性、承诺性较好；得5分。</w:t>
            </w:r>
          </w:p>
          <w:p>
            <w:pPr>
              <w:keepNext w:val="0"/>
              <w:keepLines w:val="0"/>
              <w:pageBreakBefore w:val="0"/>
              <w:widowControl w:val="0"/>
              <w:kinsoku/>
              <w:wordWrap/>
              <w:overflowPunct/>
              <w:topLinePunct w:val="0"/>
              <w:autoSpaceDE/>
              <w:autoSpaceDN/>
              <w:bidi w:val="0"/>
              <w:adjustRightInd/>
              <w:snapToGrid/>
              <w:spacing w:after="0" w:line="380" w:lineRule="exact"/>
              <w:ind w:firstLine="0" w:firstLineChars="0"/>
              <w:textAlignment w:val="auto"/>
              <w:rPr>
                <w:rFonts w:ascii="仿宋_GB2312" w:eastAsia="仿宋_GB2312"/>
                <w:color w:val="auto"/>
                <w:sz w:val="28"/>
                <w:szCs w:val="28"/>
              </w:rPr>
            </w:pPr>
            <w:r>
              <w:rPr>
                <w:rFonts w:hint="eastAsia" w:ascii="仿宋_GB2312" w:eastAsia="仿宋_GB2312"/>
                <w:color w:val="auto"/>
                <w:sz w:val="28"/>
                <w:szCs w:val="28"/>
              </w:rPr>
              <w:t>3.服务承诺现实性、明确性、利益性、承诺性一般；得3分。</w:t>
            </w:r>
          </w:p>
        </w:tc>
      </w:tr>
    </w:tbl>
    <w:p>
      <w:pPr>
        <w:pageBreakBefore w:val="0"/>
        <w:kinsoku/>
        <w:wordWrap/>
        <w:overflowPunct/>
        <w:topLinePunct w:val="0"/>
        <w:autoSpaceDE/>
        <w:autoSpaceDN/>
        <w:bidi w:val="0"/>
        <w:snapToGrid w:val="0"/>
        <w:spacing w:after="0" w:line="560" w:lineRule="exact"/>
        <w:ind w:firstLine="642"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3.人员配备</w:t>
      </w:r>
    </w:p>
    <w:tbl>
      <w:tblPr>
        <w:tblStyle w:val="15"/>
        <w:tblW w:w="939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675"/>
        <w:gridCol w:w="4443"/>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5" w:type="dxa"/>
            <w:gridSpan w:val="3"/>
            <w:noWrap/>
            <w:vAlign w:val="center"/>
          </w:tcPr>
          <w:p>
            <w:pPr>
              <w:pageBreakBefore w:val="0"/>
              <w:widowControl/>
              <w:kinsoku/>
              <w:wordWrap/>
              <w:overflowPunct/>
              <w:topLinePunct w:val="0"/>
              <w:autoSpaceDE/>
              <w:autoSpaceDN/>
              <w:bidi w:val="0"/>
              <w:spacing w:after="0" w:line="400" w:lineRule="exact"/>
              <w:jc w:val="center"/>
              <w:textAlignment w:val="auto"/>
              <w:rPr>
                <w:rFonts w:hint="eastAsia" w:ascii="仿宋_GB2312" w:hAnsi="黑体" w:eastAsia="仿宋_GB2312" w:cs="黑体"/>
                <w:b/>
                <w:bCs/>
                <w:color w:val="auto"/>
                <w:sz w:val="30"/>
                <w:szCs w:val="30"/>
              </w:rPr>
            </w:pPr>
            <w:r>
              <w:rPr>
                <w:rFonts w:hint="eastAsia" w:ascii="仿宋_GB2312" w:hAnsi="黑体" w:eastAsia="仿宋_GB2312" w:cs="黑体"/>
                <w:b/>
                <w:bCs/>
                <w:color w:val="auto"/>
                <w:sz w:val="30"/>
                <w:szCs w:val="30"/>
              </w:rPr>
              <w:t>项目</w:t>
            </w:r>
          </w:p>
        </w:tc>
        <w:tc>
          <w:tcPr>
            <w:tcW w:w="2641" w:type="dxa"/>
            <w:vAlign w:val="center"/>
          </w:tcPr>
          <w:p>
            <w:pPr>
              <w:pageBreakBefore w:val="0"/>
              <w:widowControl/>
              <w:kinsoku/>
              <w:wordWrap/>
              <w:overflowPunct/>
              <w:topLinePunct w:val="0"/>
              <w:autoSpaceDE/>
              <w:autoSpaceDN/>
              <w:bidi w:val="0"/>
              <w:spacing w:after="0" w:line="400" w:lineRule="exact"/>
              <w:jc w:val="center"/>
              <w:textAlignment w:val="auto"/>
              <w:rPr>
                <w:rFonts w:hint="eastAsia" w:ascii="仿宋_GB2312" w:hAnsi="黑体" w:eastAsia="仿宋_GB2312" w:cs="黑体"/>
                <w:b/>
                <w:bCs/>
                <w:color w:val="auto"/>
                <w:sz w:val="30"/>
                <w:szCs w:val="30"/>
              </w:rPr>
            </w:pPr>
            <w:r>
              <w:rPr>
                <w:rFonts w:hint="eastAsia" w:ascii="仿宋_GB2312" w:hAnsi="黑体" w:eastAsia="仿宋_GB2312" w:cs="黑体"/>
                <w:b/>
                <w:bCs/>
                <w:color w:val="auto"/>
                <w:sz w:val="30"/>
                <w:szCs w:val="30"/>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ign w:val="center"/>
          </w:tcPr>
          <w:p>
            <w:pPr>
              <w:pageBreakBefore w:val="0"/>
              <w:widowControl/>
              <w:kinsoku/>
              <w:wordWrap/>
              <w:overflowPunct/>
              <w:topLinePunct w:val="0"/>
              <w:autoSpaceDE/>
              <w:autoSpaceDN/>
              <w:bidi w:val="0"/>
              <w:spacing w:after="0"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人</w:t>
            </w:r>
            <w:r>
              <w:rPr>
                <w:rFonts w:hint="eastAsia" w:hAnsi="宋体" w:cs="宋体"/>
                <w:color w:val="auto"/>
                <w:kern w:val="0"/>
                <w:sz w:val="28"/>
                <w:szCs w:val="28"/>
                <w:lang w:eastAsia="zh-CN"/>
              </w:rPr>
              <w:t>人</w:t>
            </w:r>
            <w:r>
              <w:rPr>
                <w:rFonts w:hint="eastAsia" w:ascii="仿宋_GB2312" w:hAnsi="宋体" w:eastAsia="仿宋_GB2312" w:cs="宋体"/>
                <w:color w:val="auto"/>
                <w:kern w:val="0"/>
                <w:sz w:val="28"/>
                <w:szCs w:val="28"/>
              </w:rPr>
              <w:t>员配备15分</w:t>
            </w:r>
          </w:p>
        </w:tc>
        <w:tc>
          <w:tcPr>
            <w:tcW w:w="1675"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项目团队成员情况</w:t>
            </w:r>
            <w:r>
              <w:rPr>
                <w:rFonts w:hint="eastAsia" w:ascii="仿宋_GB2312" w:hAnsi="仿宋_GB2312" w:eastAsia="仿宋_GB2312" w:cs="仿宋_GB2312"/>
                <w:bCs/>
                <w:color w:val="auto"/>
                <w:sz w:val="28"/>
                <w:szCs w:val="28"/>
              </w:rPr>
              <w:t>（15分）</w:t>
            </w:r>
          </w:p>
        </w:tc>
        <w:tc>
          <w:tcPr>
            <w:tcW w:w="4443" w:type="dxa"/>
            <w:vAlign w:val="center"/>
          </w:tcPr>
          <w:p>
            <w:pPr>
              <w:pStyle w:val="2"/>
              <w:keepNext/>
              <w:keepLines/>
              <w:pageBreakBefore w:val="0"/>
              <w:widowControl w:val="0"/>
              <w:kinsoku/>
              <w:wordWrap/>
              <w:overflowPunct/>
              <w:topLinePunct w:val="0"/>
              <w:autoSpaceDE/>
              <w:autoSpaceDN/>
              <w:bidi w:val="0"/>
              <w:adjustRightInd w:val="0"/>
              <w:snapToGrid w:val="0"/>
              <w:spacing w:before="0" w:after="0" w:line="360" w:lineRule="exact"/>
              <w:ind w:firstLine="0" w:firstLineChars="0"/>
              <w:jc w:val="both"/>
              <w:textAlignment w:val="auto"/>
              <w:rPr>
                <w:rFonts w:ascii="仿宋_GB2312" w:eastAsia="仿宋_GB2312"/>
                <w:color w:val="auto"/>
                <w:sz w:val="28"/>
                <w:szCs w:val="28"/>
              </w:rPr>
            </w:pPr>
            <w:r>
              <w:rPr>
                <w:rFonts w:hint="eastAsia" w:ascii="仿宋_GB2312" w:eastAsia="仿宋_GB2312"/>
                <w:color w:val="auto"/>
                <w:sz w:val="28"/>
                <w:szCs w:val="28"/>
              </w:rPr>
              <w:t>采购评审小组根据项目要求对项目团队人员配备进行综合评价：</w:t>
            </w:r>
          </w:p>
          <w:p>
            <w:pPr>
              <w:pStyle w:val="2"/>
              <w:keepNext/>
              <w:keepLines/>
              <w:pageBreakBefore w:val="0"/>
              <w:widowControl w:val="0"/>
              <w:kinsoku/>
              <w:wordWrap/>
              <w:overflowPunct/>
              <w:topLinePunct w:val="0"/>
              <w:autoSpaceDE/>
              <w:autoSpaceDN/>
              <w:bidi w:val="0"/>
              <w:adjustRightInd w:val="0"/>
              <w:snapToGrid w:val="0"/>
              <w:spacing w:before="0" w:after="0" w:line="360" w:lineRule="exact"/>
              <w:ind w:firstLine="0" w:firstLineChars="0"/>
              <w:jc w:val="both"/>
              <w:textAlignment w:val="auto"/>
              <w:rPr>
                <w:rFonts w:ascii="仿宋_GB2312" w:eastAsia="仿宋_GB2312"/>
                <w:color w:val="auto"/>
                <w:sz w:val="28"/>
                <w:szCs w:val="28"/>
              </w:rPr>
            </w:pPr>
            <w:r>
              <w:rPr>
                <w:rFonts w:hint="eastAsia" w:ascii="仿宋_GB2312" w:eastAsia="仿宋_GB2312"/>
                <w:color w:val="auto"/>
                <w:sz w:val="28"/>
                <w:szCs w:val="28"/>
              </w:rPr>
              <w:t>1、项目团队成员数量</w:t>
            </w:r>
          </w:p>
          <w:p>
            <w:pPr>
              <w:pStyle w:val="2"/>
              <w:keepNext/>
              <w:keepLines/>
              <w:pageBreakBefore w:val="0"/>
              <w:widowControl w:val="0"/>
              <w:kinsoku/>
              <w:wordWrap/>
              <w:overflowPunct/>
              <w:topLinePunct w:val="0"/>
              <w:autoSpaceDE/>
              <w:autoSpaceDN/>
              <w:bidi w:val="0"/>
              <w:adjustRightInd w:val="0"/>
              <w:snapToGrid w:val="0"/>
              <w:spacing w:before="0" w:after="0" w:line="360" w:lineRule="exact"/>
              <w:ind w:firstLine="0" w:firstLineChars="0"/>
              <w:jc w:val="both"/>
              <w:textAlignment w:val="auto"/>
              <w:rPr>
                <w:rFonts w:ascii="仿宋_GB2312" w:eastAsia="仿宋_GB2312"/>
                <w:color w:val="auto"/>
                <w:sz w:val="28"/>
                <w:szCs w:val="28"/>
              </w:rPr>
            </w:pPr>
            <w:r>
              <w:rPr>
                <w:rFonts w:hint="eastAsia" w:ascii="仿宋_GB2312" w:eastAsia="仿宋_GB2312"/>
                <w:color w:val="auto"/>
                <w:sz w:val="28"/>
                <w:szCs w:val="28"/>
              </w:rPr>
              <w:t>投标人自行承诺服务于本项目的项目团队成员数量不少于10名，得5分。</w:t>
            </w:r>
          </w:p>
          <w:p>
            <w:pPr>
              <w:pStyle w:val="2"/>
              <w:keepNext/>
              <w:keepLines/>
              <w:pageBreakBefore w:val="0"/>
              <w:widowControl w:val="0"/>
              <w:kinsoku/>
              <w:wordWrap/>
              <w:overflowPunct/>
              <w:topLinePunct w:val="0"/>
              <w:autoSpaceDE/>
              <w:autoSpaceDN/>
              <w:bidi w:val="0"/>
              <w:adjustRightInd w:val="0"/>
              <w:snapToGrid w:val="0"/>
              <w:spacing w:before="0" w:after="0" w:line="360" w:lineRule="exact"/>
              <w:ind w:firstLine="0" w:firstLineChars="0"/>
              <w:jc w:val="both"/>
              <w:textAlignment w:val="auto"/>
              <w:rPr>
                <w:rFonts w:ascii="仿宋_GB2312" w:eastAsia="仿宋_GB2312"/>
                <w:color w:val="auto"/>
                <w:sz w:val="28"/>
                <w:szCs w:val="28"/>
              </w:rPr>
            </w:pPr>
            <w:r>
              <w:rPr>
                <w:rFonts w:hint="eastAsia" w:ascii="仿宋_GB2312" w:eastAsia="仿宋_GB2312"/>
                <w:color w:val="auto"/>
                <w:sz w:val="28"/>
                <w:szCs w:val="28"/>
              </w:rPr>
              <w:t>2、项目技术支持团队成员要求</w:t>
            </w:r>
          </w:p>
          <w:p>
            <w:pPr>
              <w:pStyle w:val="2"/>
              <w:keepNext/>
              <w:keepLines/>
              <w:pageBreakBefore w:val="0"/>
              <w:widowControl w:val="0"/>
              <w:kinsoku/>
              <w:wordWrap/>
              <w:overflowPunct/>
              <w:topLinePunct w:val="0"/>
              <w:autoSpaceDE/>
              <w:autoSpaceDN/>
              <w:bidi w:val="0"/>
              <w:adjustRightInd w:val="0"/>
              <w:snapToGrid w:val="0"/>
              <w:spacing w:before="0" w:after="0" w:line="360" w:lineRule="exact"/>
              <w:ind w:firstLine="0" w:firstLineChars="0"/>
              <w:jc w:val="both"/>
              <w:textAlignment w:val="auto"/>
              <w:rPr>
                <w:rFonts w:ascii="仿宋_GB2312" w:eastAsia="仿宋_GB2312"/>
                <w:color w:val="auto"/>
                <w:sz w:val="28"/>
                <w:szCs w:val="28"/>
              </w:rPr>
            </w:pPr>
            <w:r>
              <w:rPr>
                <w:rFonts w:hint="eastAsia" w:ascii="仿宋_GB2312" w:eastAsia="仿宋_GB2312"/>
                <w:color w:val="auto"/>
                <w:sz w:val="28"/>
                <w:szCs w:val="28"/>
              </w:rPr>
              <w:t>（1）具有副高级或以上统计师职称不少于5人的得5分，每少1人扣1分。</w:t>
            </w:r>
          </w:p>
          <w:p>
            <w:pPr>
              <w:pStyle w:val="2"/>
              <w:keepNext/>
              <w:keepLines/>
              <w:pageBreakBefore w:val="0"/>
              <w:widowControl w:val="0"/>
              <w:kinsoku/>
              <w:wordWrap/>
              <w:overflowPunct/>
              <w:topLinePunct w:val="0"/>
              <w:autoSpaceDE/>
              <w:autoSpaceDN/>
              <w:bidi w:val="0"/>
              <w:adjustRightInd w:val="0"/>
              <w:snapToGrid w:val="0"/>
              <w:spacing w:before="0" w:after="0" w:line="360" w:lineRule="exact"/>
              <w:ind w:firstLine="0" w:firstLineChars="0"/>
              <w:jc w:val="both"/>
              <w:textAlignment w:val="auto"/>
              <w:rPr>
                <w:rFonts w:ascii="仿宋_GB2312" w:eastAsia="仿宋_GB2312"/>
                <w:color w:val="auto"/>
                <w:sz w:val="28"/>
                <w:szCs w:val="28"/>
              </w:rPr>
            </w:pPr>
            <w:r>
              <w:rPr>
                <w:rFonts w:hint="eastAsia" w:ascii="仿宋_GB2312" w:eastAsia="仿宋_GB2312"/>
                <w:color w:val="auto"/>
                <w:sz w:val="28"/>
                <w:szCs w:val="28"/>
              </w:rPr>
              <w:t>（2）具有副省级（或以上）城市的市级（或以上）政府部门或政府机构颁发的统计调查相关表彰荣誉证书的人数在5人及以上的得5分，每少1名扣1分。</w:t>
            </w:r>
          </w:p>
          <w:p>
            <w:pPr>
              <w:pStyle w:val="2"/>
              <w:keepNext/>
              <w:keepLines/>
              <w:pageBreakBefore w:val="0"/>
              <w:widowControl w:val="0"/>
              <w:kinsoku/>
              <w:wordWrap/>
              <w:overflowPunct/>
              <w:topLinePunct w:val="0"/>
              <w:autoSpaceDE/>
              <w:autoSpaceDN/>
              <w:bidi w:val="0"/>
              <w:adjustRightInd w:val="0"/>
              <w:snapToGrid w:val="0"/>
              <w:spacing w:before="0" w:after="0" w:line="360" w:lineRule="exact"/>
              <w:ind w:firstLine="0" w:firstLineChars="0"/>
              <w:jc w:val="both"/>
              <w:textAlignment w:val="auto"/>
              <w:rPr>
                <w:rFonts w:ascii="仿宋_GB2312" w:eastAsia="仿宋_GB2312"/>
                <w:color w:val="auto"/>
                <w:sz w:val="28"/>
                <w:szCs w:val="28"/>
              </w:rPr>
            </w:pPr>
            <w:r>
              <w:rPr>
                <w:rFonts w:hint="eastAsia" w:ascii="仿宋_GB2312" w:eastAsia="仿宋_GB2312"/>
                <w:color w:val="auto"/>
                <w:sz w:val="28"/>
                <w:szCs w:val="28"/>
              </w:rPr>
              <w:t>上述（1）（2）项同一人不重复计算分数。</w:t>
            </w:r>
          </w:p>
        </w:tc>
        <w:tc>
          <w:tcPr>
            <w:tcW w:w="2641" w:type="dxa"/>
            <w:vAlign w:val="center"/>
          </w:tcPr>
          <w:p>
            <w:pPr>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1.要求提供通过投标人购买的项目团队成员近六个月社保证明、职称证书、获奖荣誉证明材料作为得分依据，要求承诺的内容须提供承诺函。</w:t>
            </w:r>
          </w:p>
          <w:p>
            <w:pPr>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hint="eastAsia" w:ascii="仿宋_GB2312" w:hAnsi="宋体" w:eastAsia="仿宋_GB2312" w:cs="宋体"/>
                <w:color w:val="auto"/>
                <w:kern w:val="0"/>
                <w:sz w:val="28"/>
                <w:szCs w:val="28"/>
              </w:rPr>
            </w:pPr>
            <w:r>
              <w:rPr>
                <w:rFonts w:hint="eastAsia" w:ascii="仿宋_GB2312" w:hAnsi="仿宋_GB2312" w:eastAsia="仿宋_GB2312" w:cs="仿宋_GB2312"/>
                <w:bCs/>
                <w:color w:val="auto"/>
                <w:sz w:val="28"/>
                <w:szCs w:val="28"/>
              </w:rPr>
              <w:t>2.社保证明资料为社保局窗口打印件或官网截图均可；如投标人成立不足六个月的，提供劳动合同复印件亦可。</w:t>
            </w:r>
          </w:p>
        </w:tc>
      </w:tr>
    </w:tbl>
    <w:p>
      <w:pPr>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4.报价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color w:val="auto"/>
          <w:highlight w:val="none"/>
          <w:lang w:val="en"/>
        </w:rPr>
      </w:pPr>
      <w:r>
        <w:rPr>
          <w:color w:val="auto"/>
          <w:highlight w:val="none"/>
        </w:rPr>
        <w:t>投标报价不得超过项目预算金额。</w:t>
      </w:r>
      <w:r>
        <w:rPr>
          <w:rFonts w:hint="eastAsia"/>
          <w:color w:val="auto"/>
          <w:highlight w:val="none"/>
        </w:rPr>
        <w:t>以</w:t>
      </w:r>
      <w:r>
        <w:rPr>
          <w:rFonts w:hint="eastAsia" w:hAnsi="仿宋" w:cs="仿宋_GB2312"/>
          <w:color w:val="auto"/>
          <w:highlight w:val="none"/>
        </w:rPr>
        <w:t>投标</w:t>
      </w:r>
      <w:r>
        <w:rPr>
          <w:rFonts w:hint="eastAsia"/>
          <w:color w:val="auto"/>
          <w:highlight w:val="none"/>
        </w:rPr>
        <w:t>人所报的有效报价中的最低价作为基准价，各投标人报价得分=（基准价/投标人报价）×</w:t>
      </w:r>
      <w:r>
        <w:rPr>
          <w:color w:val="auto"/>
          <w:highlight w:val="none"/>
        </w:rPr>
        <w:t>2</w:t>
      </w:r>
      <w:r>
        <w:rPr>
          <w:rFonts w:hint="eastAsia"/>
          <w:color w:val="auto"/>
          <w:highlight w:val="none"/>
        </w:rPr>
        <w:t>0分。</w:t>
      </w:r>
    </w:p>
    <w:sectPr>
      <w:footerReference r:id="rId9" w:type="first"/>
      <w:headerReference r:id="rId7" w:type="default"/>
      <w:footerReference r:id="rId8" w:type="default"/>
      <w:pgSz w:w="11906" w:h="16838"/>
      <w:pgMar w:top="2098" w:right="1474" w:bottom="1984" w:left="1587" w:header="851" w:footer="992" w:gutter="0"/>
      <w:pgNumType w:fmt="decimal"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right"/>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right"/>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iVEN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TiVENMwIAAGMEAAAOAAAAAAAAAAEAIAAA&#10;ADUBAABkcnMvZTJvRG9jLnhtbFBLBQYAAAAABgAGAFkBAADaBQ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right"/>
      <w:rPr>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2iTu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hhLDNCp++vH99PPh9OsbwRkEalyYIe7eITK272yLthnOAw4T77byOn3BiMAP&#10;eY8XeUUbCU+XppPpNIeLwzdsgJ89Xnc+xPfCapKMgnrUr5OVHTYh9qFDSMpm7Foq1dVQGdIU9Or1&#10;2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e2iTuMwIAAGMEAAAOAAAAAAAAAAEAIAAA&#10;ADUBAABkcnMvZTJvRG9jLnhtbFBLBQYAAAAABgAGAFkBAADaBQ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71E64"/>
    <w:multiLevelType w:val="singleLevel"/>
    <w:tmpl w:val="5C871E6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54538D0"/>
    <w:rsid w:val="00000513"/>
    <w:rsid w:val="000303B1"/>
    <w:rsid w:val="0007103F"/>
    <w:rsid w:val="00073141"/>
    <w:rsid w:val="00080D17"/>
    <w:rsid w:val="000B0D29"/>
    <w:rsid w:val="000B35D2"/>
    <w:rsid w:val="000D47A2"/>
    <w:rsid w:val="000E0791"/>
    <w:rsid w:val="000F3FED"/>
    <w:rsid w:val="0012298E"/>
    <w:rsid w:val="00161F44"/>
    <w:rsid w:val="001645B1"/>
    <w:rsid w:val="00171523"/>
    <w:rsid w:val="00172265"/>
    <w:rsid w:val="00185251"/>
    <w:rsid w:val="0018620E"/>
    <w:rsid w:val="00186495"/>
    <w:rsid w:val="001B0B07"/>
    <w:rsid w:val="001B1F69"/>
    <w:rsid w:val="001D4064"/>
    <w:rsid w:val="001E164C"/>
    <w:rsid w:val="001F39F2"/>
    <w:rsid w:val="001F7A9E"/>
    <w:rsid w:val="002170F0"/>
    <w:rsid w:val="00221001"/>
    <w:rsid w:val="002529AC"/>
    <w:rsid w:val="00256F84"/>
    <w:rsid w:val="00271E46"/>
    <w:rsid w:val="002743E8"/>
    <w:rsid w:val="00274CB0"/>
    <w:rsid w:val="00290045"/>
    <w:rsid w:val="002A3580"/>
    <w:rsid w:val="002B7F7C"/>
    <w:rsid w:val="002D01E7"/>
    <w:rsid w:val="002D51C5"/>
    <w:rsid w:val="00301CE6"/>
    <w:rsid w:val="003048C6"/>
    <w:rsid w:val="00316928"/>
    <w:rsid w:val="00331740"/>
    <w:rsid w:val="003317F3"/>
    <w:rsid w:val="00340F42"/>
    <w:rsid w:val="0034563F"/>
    <w:rsid w:val="003472DC"/>
    <w:rsid w:val="00350078"/>
    <w:rsid w:val="00377E1D"/>
    <w:rsid w:val="00380B14"/>
    <w:rsid w:val="00386CAA"/>
    <w:rsid w:val="003912EC"/>
    <w:rsid w:val="0039338F"/>
    <w:rsid w:val="003B0E45"/>
    <w:rsid w:val="003B6EC6"/>
    <w:rsid w:val="003D4506"/>
    <w:rsid w:val="003D4FF2"/>
    <w:rsid w:val="003F17F7"/>
    <w:rsid w:val="003F5A99"/>
    <w:rsid w:val="00407905"/>
    <w:rsid w:val="00411905"/>
    <w:rsid w:val="00441447"/>
    <w:rsid w:val="00450A25"/>
    <w:rsid w:val="00477087"/>
    <w:rsid w:val="00482C9A"/>
    <w:rsid w:val="00486A89"/>
    <w:rsid w:val="004D07D5"/>
    <w:rsid w:val="004F0590"/>
    <w:rsid w:val="004F7F68"/>
    <w:rsid w:val="00510DBF"/>
    <w:rsid w:val="0052077C"/>
    <w:rsid w:val="00537198"/>
    <w:rsid w:val="00542DA9"/>
    <w:rsid w:val="00546544"/>
    <w:rsid w:val="00546E1F"/>
    <w:rsid w:val="00550C7A"/>
    <w:rsid w:val="00571E34"/>
    <w:rsid w:val="00577138"/>
    <w:rsid w:val="00580A58"/>
    <w:rsid w:val="0058700F"/>
    <w:rsid w:val="005A60A0"/>
    <w:rsid w:val="005B24FA"/>
    <w:rsid w:val="005C2CD5"/>
    <w:rsid w:val="005C3DF9"/>
    <w:rsid w:val="005D5DB7"/>
    <w:rsid w:val="005D76E5"/>
    <w:rsid w:val="005F225D"/>
    <w:rsid w:val="006123B8"/>
    <w:rsid w:val="0062472B"/>
    <w:rsid w:val="006332ED"/>
    <w:rsid w:val="0063338C"/>
    <w:rsid w:val="00643A04"/>
    <w:rsid w:val="00657BF5"/>
    <w:rsid w:val="0067275A"/>
    <w:rsid w:val="00675E18"/>
    <w:rsid w:val="006815D7"/>
    <w:rsid w:val="006940ED"/>
    <w:rsid w:val="006B4301"/>
    <w:rsid w:val="006B4C44"/>
    <w:rsid w:val="006B5B8D"/>
    <w:rsid w:val="006B6893"/>
    <w:rsid w:val="006C6DA6"/>
    <w:rsid w:val="006D07BC"/>
    <w:rsid w:val="006D4019"/>
    <w:rsid w:val="006D7036"/>
    <w:rsid w:val="006E31BD"/>
    <w:rsid w:val="006E31F9"/>
    <w:rsid w:val="006E60BC"/>
    <w:rsid w:val="006E6A95"/>
    <w:rsid w:val="0070691A"/>
    <w:rsid w:val="0073477F"/>
    <w:rsid w:val="0074713F"/>
    <w:rsid w:val="007658B5"/>
    <w:rsid w:val="00772612"/>
    <w:rsid w:val="00773227"/>
    <w:rsid w:val="00794246"/>
    <w:rsid w:val="00796272"/>
    <w:rsid w:val="007C03AB"/>
    <w:rsid w:val="007D1BB0"/>
    <w:rsid w:val="007D1EF4"/>
    <w:rsid w:val="007D63F3"/>
    <w:rsid w:val="007E76EF"/>
    <w:rsid w:val="00802817"/>
    <w:rsid w:val="00812FDB"/>
    <w:rsid w:val="00837CA1"/>
    <w:rsid w:val="00851965"/>
    <w:rsid w:val="00854AF9"/>
    <w:rsid w:val="00857EBC"/>
    <w:rsid w:val="00861B82"/>
    <w:rsid w:val="00877207"/>
    <w:rsid w:val="008D4A0F"/>
    <w:rsid w:val="008F0842"/>
    <w:rsid w:val="008F6274"/>
    <w:rsid w:val="00914151"/>
    <w:rsid w:val="00920940"/>
    <w:rsid w:val="00924944"/>
    <w:rsid w:val="009309A9"/>
    <w:rsid w:val="00930F24"/>
    <w:rsid w:val="00942180"/>
    <w:rsid w:val="00942C9E"/>
    <w:rsid w:val="00944E68"/>
    <w:rsid w:val="009514AF"/>
    <w:rsid w:val="0096169D"/>
    <w:rsid w:val="00962A99"/>
    <w:rsid w:val="0099179B"/>
    <w:rsid w:val="009A2E02"/>
    <w:rsid w:val="009A65A7"/>
    <w:rsid w:val="009C72B0"/>
    <w:rsid w:val="009D4F41"/>
    <w:rsid w:val="009E5C02"/>
    <w:rsid w:val="00A07EC1"/>
    <w:rsid w:val="00A33F45"/>
    <w:rsid w:val="00A41234"/>
    <w:rsid w:val="00A5486B"/>
    <w:rsid w:val="00A91157"/>
    <w:rsid w:val="00A93DE1"/>
    <w:rsid w:val="00A95023"/>
    <w:rsid w:val="00AA13FB"/>
    <w:rsid w:val="00AA27A5"/>
    <w:rsid w:val="00AA5E9A"/>
    <w:rsid w:val="00AA6BEE"/>
    <w:rsid w:val="00AB6672"/>
    <w:rsid w:val="00AB74E4"/>
    <w:rsid w:val="00AC3C81"/>
    <w:rsid w:val="00AD35AC"/>
    <w:rsid w:val="00AF31A4"/>
    <w:rsid w:val="00B004C6"/>
    <w:rsid w:val="00B22999"/>
    <w:rsid w:val="00B27A6B"/>
    <w:rsid w:val="00B340C6"/>
    <w:rsid w:val="00B40C57"/>
    <w:rsid w:val="00B42E08"/>
    <w:rsid w:val="00B55117"/>
    <w:rsid w:val="00B60124"/>
    <w:rsid w:val="00B71CE1"/>
    <w:rsid w:val="00B878A6"/>
    <w:rsid w:val="00BC1E6B"/>
    <w:rsid w:val="00BD498F"/>
    <w:rsid w:val="00BF58D3"/>
    <w:rsid w:val="00C01A45"/>
    <w:rsid w:val="00C037D1"/>
    <w:rsid w:val="00C163BB"/>
    <w:rsid w:val="00C349A6"/>
    <w:rsid w:val="00C410A2"/>
    <w:rsid w:val="00C66566"/>
    <w:rsid w:val="00C6763A"/>
    <w:rsid w:val="00C82191"/>
    <w:rsid w:val="00CB1C17"/>
    <w:rsid w:val="00CB201A"/>
    <w:rsid w:val="00CB7936"/>
    <w:rsid w:val="00CE534B"/>
    <w:rsid w:val="00CE624F"/>
    <w:rsid w:val="00CF1E3F"/>
    <w:rsid w:val="00D04E18"/>
    <w:rsid w:val="00D1263D"/>
    <w:rsid w:val="00D13677"/>
    <w:rsid w:val="00D15463"/>
    <w:rsid w:val="00D25308"/>
    <w:rsid w:val="00D25A08"/>
    <w:rsid w:val="00D33AAF"/>
    <w:rsid w:val="00D43C5C"/>
    <w:rsid w:val="00D53D2B"/>
    <w:rsid w:val="00D64EFB"/>
    <w:rsid w:val="00D83AF0"/>
    <w:rsid w:val="00D91AFA"/>
    <w:rsid w:val="00DA5FED"/>
    <w:rsid w:val="00DB435C"/>
    <w:rsid w:val="00DB5415"/>
    <w:rsid w:val="00DC2710"/>
    <w:rsid w:val="00DC635C"/>
    <w:rsid w:val="00DD6708"/>
    <w:rsid w:val="00DF4294"/>
    <w:rsid w:val="00E072E2"/>
    <w:rsid w:val="00E12223"/>
    <w:rsid w:val="00E131EC"/>
    <w:rsid w:val="00E14FC5"/>
    <w:rsid w:val="00E26D18"/>
    <w:rsid w:val="00E54AC9"/>
    <w:rsid w:val="00E61383"/>
    <w:rsid w:val="00E6357A"/>
    <w:rsid w:val="00E64429"/>
    <w:rsid w:val="00E66B73"/>
    <w:rsid w:val="00E8203C"/>
    <w:rsid w:val="00E97FE0"/>
    <w:rsid w:val="00EA3C57"/>
    <w:rsid w:val="00EB4D3B"/>
    <w:rsid w:val="00EC1CBF"/>
    <w:rsid w:val="00EE690A"/>
    <w:rsid w:val="00EF050D"/>
    <w:rsid w:val="00EF28CB"/>
    <w:rsid w:val="00F06334"/>
    <w:rsid w:val="00F20062"/>
    <w:rsid w:val="00F24EDB"/>
    <w:rsid w:val="00F37A3D"/>
    <w:rsid w:val="00F44E8C"/>
    <w:rsid w:val="00F7163A"/>
    <w:rsid w:val="00F84162"/>
    <w:rsid w:val="00FC54E5"/>
    <w:rsid w:val="00FE037B"/>
    <w:rsid w:val="00FE1549"/>
    <w:rsid w:val="00FE1646"/>
    <w:rsid w:val="00FE1D78"/>
    <w:rsid w:val="07F275CD"/>
    <w:rsid w:val="0E2DB1B9"/>
    <w:rsid w:val="1DBE8690"/>
    <w:rsid w:val="273DCBAB"/>
    <w:rsid w:val="2A6F956A"/>
    <w:rsid w:val="2BFA16FA"/>
    <w:rsid w:val="39FB535D"/>
    <w:rsid w:val="39FE6AFA"/>
    <w:rsid w:val="3CFDCABA"/>
    <w:rsid w:val="3D715DA7"/>
    <w:rsid w:val="3FDE19C3"/>
    <w:rsid w:val="56DF4A99"/>
    <w:rsid w:val="5B7FA704"/>
    <w:rsid w:val="5FC1E323"/>
    <w:rsid w:val="5FEB65B8"/>
    <w:rsid w:val="5FFE8633"/>
    <w:rsid w:val="62FED681"/>
    <w:rsid w:val="66FF6E99"/>
    <w:rsid w:val="67FAEFCA"/>
    <w:rsid w:val="67FD8F80"/>
    <w:rsid w:val="69F653F7"/>
    <w:rsid w:val="6A9D68C0"/>
    <w:rsid w:val="6BAD6E71"/>
    <w:rsid w:val="71FA8FDE"/>
    <w:rsid w:val="739FA04F"/>
    <w:rsid w:val="73BEB5A7"/>
    <w:rsid w:val="767AA47A"/>
    <w:rsid w:val="774CE9AC"/>
    <w:rsid w:val="77974289"/>
    <w:rsid w:val="79FFF1BD"/>
    <w:rsid w:val="7BDA7ABE"/>
    <w:rsid w:val="7DB7D467"/>
    <w:rsid w:val="7DE7721E"/>
    <w:rsid w:val="7DEEE0C3"/>
    <w:rsid w:val="7EFF2A6E"/>
    <w:rsid w:val="7F3BC0B8"/>
    <w:rsid w:val="7F3BCBD1"/>
    <w:rsid w:val="7F5F8F64"/>
    <w:rsid w:val="7F73AB17"/>
    <w:rsid w:val="7F7701D4"/>
    <w:rsid w:val="7FDACADA"/>
    <w:rsid w:val="7FDB9F2E"/>
    <w:rsid w:val="7FF70755"/>
    <w:rsid w:val="83719498"/>
    <w:rsid w:val="8DB7C536"/>
    <w:rsid w:val="8FFBA8BB"/>
    <w:rsid w:val="9BBFF13E"/>
    <w:rsid w:val="9BD8AAB4"/>
    <w:rsid w:val="9CFFB4AF"/>
    <w:rsid w:val="9F3F6E39"/>
    <w:rsid w:val="ADFF4543"/>
    <w:rsid w:val="AFFFC92D"/>
    <w:rsid w:val="B38D3411"/>
    <w:rsid w:val="B54538D0"/>
    <w:rsid w:val="BACDD5F3"/>
    <w:rsid w:val="BB96C5FF"/>
    <w:rsid w:val="BD7FA356"/>
    <w:rsid w:val="BDBFED94"/>
    <w:rsid w:val="D72E2B6C"/>
    <w:rsid w:val="DDF1D9D7"/>
    <w:rsid w:val="DDF7BDD7"/>
    <w:rsid w:val="DE7DA2CE"/>
    <w:rsid w:val="DEF75F5C"/>
    <w:rsid w:val="DFBB24EA"/>
    <w:rsid w:val="DFBB926B"/>
    <w:rsid w:val="DFBE2BFD"/>
    <w:rsid w:val="DFF73E87"/>
    <w:rsid w:val="E4723F51"/>
    <w:rsid w:val="EBFDB169"/>
    <w:rsid w:val="F39F1532"/>
    <w:rsid w:val="F47DF56A"/>
    <w:rsid w:val="F6F7A560"/>
    <w:rsid w:val="F7FB0D10"/>
    <w:rsid w:val="FA5F680E"/>
    <w:rsid w:val="FAF67174"/>
    <w:rsid w:val="FB46C6FC"/>
    <w:rsid w:val="FBAE8EF6"/>
    <w:rsid w:val="FBED11A1"/>
    <w:rsid w:val="FD3F073E"/>
    <w:rsid w:val="FDCB1594"/>
    <w:rsid w:val="FE3EBF13"/>
    <w:rsid w:val="FEDF724E"/>
    <w:rsid w:val="FEE908EA"/>
    <w:rsid w:val="FF7F5A30"/>
    <w:rsid w:val="FF7F6CEA"/>
    <w:rsid w:val="FFB7F11F"/>
    <w:rsid w:val="FFCFFB0D"/>
    <w:rsid w:val="FFFB2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w:eastAsia="仿宋_GB2312" w:cs="Times New Roman"/>
      <w:kern w:val="2"/>
      <w:sz w:val="32"/>
      <w:szCs w:val="32"/>
      <w:lang w:val="en-US" w:eastAsia="zh-CN" w:bidi="ar-SA"/>
    </w:rPr>
  </w:style>
  <w:style w:type="paragraph" w:styleId="2">
    <w:name w:val="heading 1"/>
    <w:basedOn w:val="1"/>
    <w:next w:val="1"/>
    <w:qFormat/>
    <w:uiPriority w:val="0"/>
    <w:pPr>
      <w:keepNext/>
      <w:keepLines/>
      <w:spacing w:before="120" w:after="120" w:line="560" w:lineRule="exact"/>
      <w:outlineLvl w:val="0"/>
    </w:pPr>
    <w:rPr>
      <w:rFonts w:eastAsia="黑体"/>
      <w:bCs/>
      <w:kern w:val="44"/>
      <w:sz w:val="32"/>
      <w:szCs w:val="44"/>
    </w:rPr>
  </w:style>
  <w:style w:type="paragraph" w:styleId="3">
    <w:name w:val="heading 2"/>
    <w:basedOn w:val="1"/>
    <w:next w:val="1"/>
    <w:qFormat/>
    <w:uiPriority w:val="0"/>
    <w:pPr>
      <w:keepNext/>
      <w:keepLines/>
      <w:outlineLvl w:val="1"/>
    </w:pPr>
    <w:rPr>
      <w:rFonts w:ascii="Calibri Light" w:hAnsi="Calibri Light" w:eastAsia="楷体"/>
      <w:bCs/>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firstLine="0"/>
    </w:pPr>
  </w:style>
  <w:style w:type="paragraph" w:styleId="6">
    <w:name w:val="Normal Indent"/>
    <w:basedOn w:val="1"/>
    <w:unhideWhenUsed/>
    <w:qFormat/>
    <w:uiPriority w:val="99"/>
    <w:pPr>
      <w:ind w:firstLine="420"/>
    </w:pPr>
  </w:style>
  <w:style w:type="paragraph" w:styleId="7">
    <w:name w:val="Body Text"/>
    <w:basedOn w:val="1"/>
    <w:next w:val="1"/>
    <w:unhideWhenUsed/>
    <w:qFormat/>
    <w:uiPriority w:val="99"/>
    <w:pPr>
      <w:spacing w:after="120"/>
    </w:pPr>
  </w:style>
  <w:style w:type="paragraph" w:styleId="8">
    <w:name w:val="Plain Text"/>
    <w:basedOn w:val="1"/>
    <w:next w:val="5"/>
    <w:link w:val="28"/>
    <w:unhideWhenUsed/>
    <w:qFormat/>
    <w:uiPriority w:val="99"/>
    <w:pPr>
      <w:adjustRightInd/>
      <w:snapToGrid/>
      <w:spacing w:line="240" w:lineRule="auto"/>
      <w:ind w:firstLine="0" w:firstLineChars="0"/>
    </w:pPr>
    <w:rPr>
      <w:rFonts w:ascii="宋体" w:hAnsi="Courier New" w:eastAsia="宋体" w:cs="Courier New"/>
      <w:sz w:val="21"/>
      <w:szCs w:val="21"/>
    </w:rPr>
  </w:style>
  <w:style w:type="paragraph" w:styleId="9">
    <w:name w:val="Date"/>
    <w:basedOn w:val="1"/>
    <w:next w:val="1"/>
    <w:link w:val="25"/>
    <w:qFormat/>
    <w:uiPriority w:val="0"/>
    <w:pPr>
      <w:ind w:left="100" w:leftChars="2500"/>
    </w:pPr>
  </w:style>
  <w:style w:type="paragraph" w:styleId="10">
    <w:name w:val="footer"/>
    <w:basedOn w:val="1"/>
    <w:link w:val="23"/>
    <w:unhideWhenUsed/>
    <w:qFormat/>
    <w:uiPriority w:val="99"/>
    <w:pPr>
      <w:tabs>
        <w:tab w:val="center" w:pos="4153"/>
        <w:tab w:val="right" w:pos="8306"/>
      </w:tabs>
      <w:jc w:val="left"/>
    </w:pPr>
    <w:rPr>
      <w:rFonts w:ascii="Calibri" w:hAnsi="Calibri" w:eastAsia="宋体"/>
      <w:sz w:val="18"/>
      <w:szCs w:val="18"/>
    </w:rPr>
  </w:style>
  <w:style w:type="paragraph" w:styleId="11">
    <w:name w:val="header"/>
    <w:basedOn w:val="1"/>
    <w:link w:val="21"/>
    <w:qFormat/>
    <w:uiPriority w:val="0"/>
    <w:pPr>
      <w:tabs>
        <w:tab w:val="center" w:pos="4153"/>
        <w:tab w:val="right" w:pos="8306"/>
      </w:tabs>
      <w:spacing w:line="240" w:lineRule="atLeast"/>
      <w:jc w:val="center"/>
    </w:pPr>
    <w:rPr>
      <w:sz w:val="18"/>
      <w:szCs w:val="18"/>
    </w:rPr>
  </w:style>
  <w:style w:type="paragraph" w:styleId="12">
    <w:name w:val="Subtitle"/>
    <w:basedOn w:val="1"/>
    <w:qFormat/>
    <w:uiPriority w:val="0"/>
    <w:pPr>
      <w:spacing w:before="240" w:after="60" w:line="312" w:lineRule="auto"/>
      <w:jc w:val="center"/>
      <w:outlineLvl w:val="1"/>
    </w:pPr>
    <w:rPr>
      <w:rFonts w:ascii="Cambria" w:hAnsi="Cambria"/>
      <w:b/>
      <w:bCs/>
      <w:kern w:val="28"/>
    </w:rPr>
  </w:style>
  <w:style w:type="paragraph" w:styleId="13">
    <w:name w:val="footnote text"/>
    <w:basedOn w:val="1"/>
    <w:qFormat/>
    <w:uiPriority w:val="0"/>
    <w:pPr>
      <w:snapToGrid w:val="0"/>
      <w:jc w:val="left"/>
    </w:pPr>
    <w:rPr>
      <w:sz w:val="18"/>
    </w:rPr>
  </w:style>
  <w:style w:type="paragraph" w:styleId="14">
    <w:name w:val="Normal (Web)"/>
    <w:basedOn w:val="1"/>
    <w:qFormat/>
    <w:uiPriority w:val="0"/>
    <w:pPr>
      <w:spacing w:before="100" w:beforeAutospacing="1" w:after="100" w:afterAutospacing="1"/>
      <w:jc w:val="left"/>
    </w:pPr>
    <w:rPr>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qFormat/>
    <w:uiPriority w:val="0"/>
    <w:rPr>
      <w:vertAlign w:val="superscript"/>
    </w:rPr>
  </w:style>
  <w:style w:type="paragraph" w:customStyle="1" w:styleId="19">
    <w:name w:val="文件正文"/>
    <w:basedOn w:val="12"/>
    <w:qFormat/>
    <w:uiPriority w:val="0"/>
    <w:pPr>
      <w:spacing w:before="0" w:after="0" w:line="560" w:lineRule="exact"/>
      <w:ind w:firstLine="622"/>
      <w:jc w:val="both"/>
      <w:outlineLvl w:val="9"/>
    </w:pPr>
    <w:rPr>
      <w:rFonts w:ascii="仿宋_GB2312" w:hAnsi="仿宋_GB2312" w:cs="仿宋_GB2312"/>
      <w:b w:val="0"/>
      <w:bCs w:val="0"/>
      <w:kern w:val="2"/>
    </w:rPr>
  </w:style>
  <w:style w:type="paragraph" w:customStyle="1" w:styleId="20">
    <w:name w:val="USE 1"/>
    <w:basedOn w:val="1"/>
    <w:qFormat/>
    <w:uiPriority w:val="0"/>
    <w:pPr>
      <w:spacing w:line="200" w:lineRule="atLeast"/>
      <w:jc w:val="left"/>
    </w:pPr>
    <w:rPr>
      <w:rFonts w:ascii="宋体" w:hAnsi="宋体"/>
      <w:b/>
      <w:sz w:val="24"/>
      <w:szCs w:val="28"/>
    </w:rPr>
  </w:style>
  <w:style w:type="character" w:customStyle="1" w:styleId="21">
    <w:name w:val="页眉 字符"/>
    <w:basedOn w:val="17"/>
    <w:link w:val="11"/>
    <w:qFormat/>
    <w:uiPriority w:val="0"/>
    <w:rPr>
      <w:rFonts w:ascii="仿宋_GB2312" w:hAnsi="Times" w:eastAsia="仿宋_GB2312"/>
      <w:kern w:val="2"/>
      <w:sz w:val="18"/>
      <w:szCs w:val="18"/>
    </w:rPr>
  </w:style>
  <w:style w:type="paragraph" w:styleId="22">
    <w:name w:val="List Paragraph"/>
    <w:basedOn w:val="1"/>
    <w:qFormat/>
    <w:uiPriority w:val="99"/>
    <w:pPr>
      <w:ind w:firstLine="420"/>
    </w:pPr>
  </w:style>
  <w:style w:type="character" w:customStyle="1" w:styleId="23">
    <w:name w:val="页脚 字符"/>
    <w:basedOn w:val="17"/>
    <w:link w:val="10"/>
    <w:qFormat/>
    <w:uiPriority w:val="99"/>
    <w:rPr>
      <w:kern w:val="2"/>
      <w:sz w:val="18"/>
      <w:szCs w:val="18"/>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日期 字符"/>
    <w:basedOn w:val="17"/>
    <w:link w:val="9"/>
    <w:qFormat/>
    <w:uiPriority w:val="0"/>
    <w:rPr>
      <w:rFonts w:ascii="仿宋_GB2312" w:hAnsi="Times" w:eastAsia="仿宋_GB2312"/>
      <w:kern w:val="2"/>
      <w:sz w:val="32"/>
      <w:szCs w:val="32"/>
    </w:rPr>
  </w:style>
  <w:style w:type="paragraph" w:customStyle="1" w:styleId="26">
    <w:name w:val="PlainText"/>
    <w:basedOn w:val="1"/>
    <w:qFormat/>
    <w:uiPriority w:val="0"/>
    <w:pPr>
      <w:adjustRightInd/>
      <w:snapToGrid/>
      <w:spacing w:line="240" w:lineRule="auto"/>
      <w:ind w:firstLine="0" w:firstLineChars="0"/>
      <w:textAlignment w:val="baseline"/>
    </w:pPr>
    <w:rPr>
      <w:rFonts w:ascii="宋体" w:hAnsi="Calibri" w:eastAsia="宋体"/>
      <w:sz w:val="21"/>
      <w:szCs w:val="21"/>
    </w:rPr>
  </w:style>
  <w:style w:type="table" w:customStyle="1" w:styleId="27">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纯文本 字符"/>
    <w:basedOn w:val="17"/>
    <w:link w:val="8"/>
    <w:qFormat/>
    <w:uiPriority w:val="99"/>
    <w:rPr>
      <w:rFonts w:ascii="宋体" w:hAnsi="Courier New" w:cs="Courier New"/>
      <w:kern w:val="2"/>
      <w:sz w:val="21"/>
      <w:szCs w:val="21"/>
    </w:rPr>
  </w:style>
  <w:style w:type="paragraph" w:customStyle="1" w:styleId="29">
    <w:name w:val="_Style 13"/>
    <w:qFormat/>
    <w:uiPriority w:val="0"/>
    <w:pPr>
      <w:spacing w:before="120" w:after="120" w:line="288" w:lineRule="auto"/>
      <w:ind w:left="0"/>
      <w:jc w:val="left"/>
    </w:pPr>
    <w:rPr>
      <w:rFonts w:ascii="Arial" w:hAnsi="Arial" w:eastAsia="等线" w:cs="Arial"/>
      <w:sz w:val="22"/>
      <w:szCs w:val="22"/>
    </w:rPr>
  </w:style>
  <w:style w:type="paragraph" w:customStyle="1" w:styleId="30">
    <w:name w:val="方案正文"/>
    <w:basedOn w:val="1"/>
    <w:qFormat/>
    <w:uiPriority w:val="0"/>
    <w:pPr>
      <w:adjustRightInd w:val="0"/>
      <w:snapToGrid w:val="0"/>
      <w:spacing w:line="560" w:lineRule="exact"/>
      <w:ind w:firstLine="640" w:firstLineChars="200"/>
    </w:pPr>
    <w:rPr>
      <w:rFonts w:ascii="仿宋_GB2312" w:eastAsia="仿宋_GB2312"/>
      <w:sz w:val="32"/>
      <w:szCs w:val="32"/>
    </w:rPr>
  </w:style>
  <w:style w:type="paragraph" w:customStyle="1" w:styleId="31">
    <w:name w:val="方案标题1"/>
    <w:basedOn w:val="2"/>
    <w:qFormat/>
    <w:uiPriority w:val="0"/>
    <w:pPr>
      <w:spacing w:before="50" w:beforeLines="50" w:after="50" w:afterLines="50" w:line="360" w:lineRule="auto"/>
      <w:ind w:firstLine="200" w:firstLineChars="200"/>
    </w:pPr>
    <w:rPr>
      <w:rFonts w:ascii="宋体" w:hAnsi="宋体"/>
      <w:b/>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16601</Words>
  <Characters>17236</Characters>
  <Lines>137</Lines>
  <Paragraphs>38</Paragraphs>
  <TotalTime>65</TotalTime>
  <ScaleCrop>false</ScaleCrop>
  <LinksUpToDate>false</LinksUpToDate>
  <CharactersWithSpaces>17254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2024-12-11T02:20:00Z</dcterms:created>
  <dc:creator>zhong</dc:creator>
  <cp:lastModifiedBy>oyh</cp:lastModifiedBy>
  <cp:lastPrinted>2025-11-01T08:33:00Z</cp:lastPrinted>
  <dcterms:modified xsi:type="dcterms:W3CDTF">2025-10-31T16:42:41Z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4D8E75892C63BEB97C4A0667D2A88E99</vt:lpwstr>
  </property>
</Properties>
</file>