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2026年龙华区全民迎新跑</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8"/>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i w:val="0"/>
          <w:caps w:val="0"/>
          <w:color w:val="auto"/>
          <w:spacing w:val="8"/>
          <w:kern w:val="2"/>
          <w:sz w:val="32"/>
          <w:szCs w:val="32"/>
          <w:lang w:val="en-US" w:eastAsia="zh-CN" w:bidi="ar-SA"/>
        </w:rPr>
        <w:t>2026年龙华区全民迎新跑</w:t>
      </w:r>
      <w:r>
        <w:rPr>
          <w:rFonts w:hint="eastAsia" w:ascii="仿宋_GB2312" w:hAnsi="仿宋" w:eastAsia="仿宋_GB2312" w:cs="仿宋"/>
          <w:kern w:val="2"/>
          <w:sz w:val="32"/>
          <w:szCs w:val="32"/>
          <w:lang w:val="en-US" w:eastAsia="zh-CN" w:bidi="ar-SA"/>
        </w:rPr>
        <w:t>项目落地执行。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6</w:t>
      </w:r>
      <w:r>
        <w:rPr>
          <w:rFonts w:hint="default" w:ascii="仿宋_GB2312" w:eastAsia="仿宋_GB2312"/>
          <w:sz w:val="32"/>
          <w:szCs w:val="32"/>
          <w:lang w:val="en" w:eastAsia="zh-CN"/>
        </w:rPr>
        <w:t>年</w:t>
      </w:r>
      <w:r>
        <w:rPr>
          <w:rFonts w:hint="eastAsia" w:ascii="仿宋_GB2312" w:eastAsia="仿宋_GB2312"/>
          <w:sz w:val="32"/>
          <w:szCs w:val="32"/>
          <w:lang w:val="en-US" w:eastAsia="zh-CN"/>
        </w:rPr>
        <w:t>1</w:t>
      </w:r>
      <w:r>
        <w:rPr>
          <w:rFonts w:hint="default" w:ascii="仿宋_GB2312" w:eastAsia="仿宋_GB2312"/>
          <w:sz w:val="32"/>
          <w:szCs w:val="32"/>
          <w:lang w:val="en" w:eastAsia="zh-CN"/>
        </w:rPr>
        <w:t>月</w:t>
      </w:r>
      <w:r>
        <w:rPr>
          <w:rFonts w:hint="eastAsia" w:ascii="仿宋_GB2312" w:eastAsia="仿宋_GB2312"/>
          <w:sz w:val="32"/>
          <w:szCs w:val="32"/>
          <w:lang w:val="en-US" w:eastAsia="zh-CN"/>
        </w:rPr>
        <w:t>1日</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2"/>
        <w:ind w:firstLine="640" w:firstLineChars="200"/>
        <w:rPr>
          <w:rFonts w:hint="eastAsia"/>
        </w:rPr>
      </w:pPr>
      <w:r>
        <w:rPr>
          <w:rFonts w:hint="eastAsia" w:ascii="仿宋_GB2312" w:eastAsia="仿宋_GB2312"/>
          <w:kern w:val="2"/>
          <w:sz w:val="32"/>
          <w:szCs w:val="32"/>
          <w:highlight w:val="none"/>
          <w:lang w:bidi="ar"/>
        </w:rPr>
        <w:t>为全面推进落实全民健身计划，广泛开展群众体育活动与竞赛，促进我区体育健身事业发展，提高我区文旅影响力，拟定于202</w:t>
      </w:r>
      <w:r>
        <w:rPr>
          <w:rFonts w:hint="eastAsia" w:ascii="仿宋_GB2312" w:eastAsia="仿宋_GB2312"/>
          <w:kern w:val="2"/>
          <w:sz w:val="32"/>
          <w:szCs w:val="32"/>
          <w:highlight w:val="none"/>
          <w:lang w:val="en-US" w:eastAsia="zh-CN" w:bidi="ar"/>
        </w:rPr>
        <w:t>6</w:t>
      </w:r>
      <w:r>
        <w:rPr>
          <w:rFonts w:hint="eastAsia" w:ascii="仿宋_GB2312" w:eastAsia="仿宋_GB2312"/>
          <w:kern w:val="2"/>
          <w:sz w:val="32"/>
          <w:szCs w:val="32"/>
          <w:highlight w:val="none"/>
          <w:lang w:bidi="ar"/>
        </w:rPr>
        <w:t>年1月1日开展202</w:t>
      </w:r>
      <w:r>
        <w:rPr>
          <w:rFonts w:hint="eastAsia" w:ascii="仿宋_GB2312" w:eastAsia="仿宋_GB2312"/>
          <w:kern w:val="2"/>
          <w:sz w:val="32"/>
          <w:szCs w:val="32"/>
          <w:highlight w:val="none"/>
          <w:lang w:val="en-US" w:eastAsia="zh-CN" w:bidi="ar"/>
        </w:rPr>
        <w:t>6</w:t>
      </w:r>
      <w:r>
        <w:rPr>
          <w:rFonts w:hint="eastAsia" w:ascii="仿宋_GB2312" w:eastAsia="仿宋_GB2312"/>
          <w:kern w:val="2"/>
          <w:sz w:val="32"/>
          <w:szCs w:val="32"/>
          <w:highlight w:val="none"/>
          <w:lang w:bidi="ar"/>
        </w:rPr>
        <w:t>年龙华区全民迎新跑活动，活动地点暂定于北站中心公园，全程</w:t>
      </w:r>
      <w:r>
        <w:rPr>
          <w:rFonts w:hint="eastAsia" w:ascii="仿宋_GB2312" w:eastAsia="仿宋_GB2312"/>
          <w:kern w:val="2"/>
          <w:sz w:val="32"/>
          <w:szCs w:val="32"/>
          <w:highlight w:val="none"/>
          <w:lang w:val="en-US" w:eastAsia="zh-CN" w:bidi="ar"/>
        </w:rPr>
        <w:t>10</w:t>
      </w:r>
      <w:r>
        <w:rPr>
          <w:rFonts w:hint="eastAsia" w:ascii="仿宋_GB2312" w:eastAsia="仿宋_GB2312"/>
          <w:kern w:val="2"/>
          <w:sz w:val="32"/>
          <w:szCs w:val="32"/>
          <w:highlight w:val="none"/>
          <w:lang w:bidi="ar"/>
        </w:rPr>
        <w:t>km，约</w:t>
      </w:r>
      <w:r>
        <w:rPr>
          <w:rFonts w:hint="eastAsia" w:ascii="仿宋_GB2312" w:eastAsia="仿宋_GB2312"/>
          <w:kern w:val="2"/>
          <w:sz w:val="32"/>
          <w:szCs w:val="32"/>
          <w:highlight w:val="none"/>
          <w:lang w:val="en-US" w:eastAsia="zh-CN" w:bidi="ar"/>
        </w:rPr>
        <w:t>7</w:t>
      </w:r>
      <w:r>
        <w:rPr>
          <w:rFonts w:hint="eastAsia" w:ascii="仿宋_GB2312" w:eastAsia="仿宋_GB2312"/>
          <w:kern w:val="2"/>
          <w:sz w:val="32"/>
          <w:szCs w:val="32"/>
          <w:highlight w:val="none"/>
          <w:lang w:bidi="ar"/>
        </w:rPr>
        <w:t>00人参加。服务内容包括赛事</w:t>
      </w:r>
      <w:r>
        <w:rPr>
          <w:rFonts w:hint="eastAsia" w:ascii="仿宋_GB2312" w:eastAsia="仿宋_GB2312"/>
          <w:kern w:val="2"/>
          <w:sz w:val="32"/>
          <w:szCs w:val="32"/>
          <w:highlight w:val="none"/>
          <w:lang w:eastAsia="zh-CN" w:bidi="ar"/>
        </w:rPr>
        <w:t>物料的设计与搭建、报名系统的制作与运动员报名服务、参赛及完赛物资的发放</w:t>
      </w:r>
      <w:r>
        <w:rPr>
          <w:rFonts w:hint="eastAsia" w:ascii="仿宋_GB2312" w:eastAsia="仿宋_GB2312"/>
          <w:kern w:val="2"/>
          <w:sz w:val="32"/>
          <w:szCs w:val="32"/>
          <w:highlight w:val="none"/>
          <w:lang w:bidi="ar"/>
        </w:rPr>
        <w:t>、</w:t>
      </w:r>
      <w:r>
        <w:rPr>
          <w:rFonts w:hint="eastAsia" w:ascii="仿宋_GB2312" w:eastAsia="仿宋_GB2312"/>
          <w:kern w:val="2"/>
          <w:sz w:val="32"/>
          <w:szCs w:val="32"/>
          <w:highlight w:val="none"/>
          <w:lang w:eastAsia="zh-CN" w:bidi="ar"/>
        </w:rPr>
        <w:t>赛事</w:t>
      </w:r>
      <w:r>
        <w:rPr>
          <w:rFonts w:hint="eastAsia" w:ascii="仿宋_GB2312" w:eastAsia="仿宋_GB2312"/>
          <w:kern w:val="2"/>
          <w:sz w:val="32"/>
          <w:szCs w:val="32"/>
          <w:highlight w:val="none"/>
          <w:lang w:bidi="ar"/>
        </w:rPr>
        <w:t>宣传、竞赛组织、医疗保障、</w:t>
      </w:r>
      <w:r>
        <w:rPr>
          <w:rFonts w:hint="eastAsia" w:ascii="仿宋_GB2312" w:hAnsi="仿宋" w:eastAsia="仿宋_GB2312" w:cs="仿宋"/>
          <w:kern w:val="2"/>
          <w:sz w:val="32"/>
          <w:szCs w:val="32"/>
          <w:lang w:val="en-US" w:eastAsia="zh-CN" w:bidi="ar-SA"/>
        </w:rPr>
        <w:t>后勤保障、</w:t>
      </w:r>
      <w:r>
        <w:rPr>
          <w:rFonts w:hint="eastAsia" w:ascii="仿宋_GB2312" w:eastAsia="仿宋_GB2312"/>
          <w:kern w:val="2"/>
          <w:sz w:val="32"/>
          <w:szCs w:val="32"/>
          <w:highlight w:val="none"/>
          <w:lang w:bidi="ar"/>
        </w:rPr>
        <w:t>安</w:t>
      </w:r>
      <w:r>
        <w:rPr>
          <w:rFonts w:hint="eastAsia" w:ascii="仿宋_GB2312" w:eastAsia="仿宋_GB2312"/>
          <w:kern w:val="2"/>
          <w:sz w:val="32"/>
          <w:szCs w:val="32"/>
          <w:highlight w:val="none"/>
          <w:lang w:eastAsia="zh-CN" w:bidi="ar"/>
        </w:rPr>
        <w:t>保、保洁</w:t>
      </w:r>
      <w:r>
        <w:rPr>
          <w:rFonts w:hint="eastAsia" w:ascii="仿宋_GB2312" w:eastAsia="仿宋_GB2312"/>
          <w:kern w:val="2"/>
          <w:sz w:val="32"/>
          <w:szCs w:val="32"/>
          <w:highlight w:val="none"/>
          <w:lang w:bidi="ar"/>
        </w:rPr>
        <w:t>等</w:t>
      </w:r>
      <w:r>
        <w:rPr>
          <w:rFonts w:hint="eastAsia" w:ascii="仿宋_GB2312" w:hAnsi="Calibri" w:eastAsia="仿宋_GB2312" w:cs="仿宋_GB2312"/>
          <w:kern w:val="2"/>
          <w:sz w:val="32"/>
          <w:szCs w:val="32"/>
          <w:highlight w:val="none"/>
          <w:lang w:val="en-US" w:eastAsia="zh-CN" w:bidi="ar"/>
        </w:rPr>
        <w:t>。</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8"/>
        <w:ind w:firstLine="640" w:firstLineChars="200"/>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1.制定</w:t>
      </w:r>
      <w:r>
        <w:rPr>
          <w:rFonts w:hint="eastAsia" w:ascii="仿宋_GB2312" w:hAnsi="仿宋_GB2312" w:eastAsia="仿宋_GB2312" w:cs="仿宋_GB2312"/>
          <w:i w:val="0"/>
          <w:caps w:val="0"/>
          <w:color w:val="auto"/>
          <w:spacing w:val="8"/>
          <w:kern w:val="2"/>
          <w:sz w:val="32"/>
          <w:szCs w:val="32"/>
          <w:lang w:val="en-US" w:eastAsia="zh-CN" w:bidi="ar-SA"/>
        </w:rPr>
        <w:t>2026年</w:t>
      </w:r>
      <w:r>
        <w:rPr>
          <w:rFonts w:hint="eastAsia" w:ascii="仿宋_GB2312" w:eastAsia="仿宋_GB2312"/>
          <w:kern w:val="2"/>
          <w:sz w:val="32"/>
          <w:szCs w:val="32"/>
          <w:highlight w:val="none"/>
          <w:lang w:bidi="ar"/>
        </w:rPr>
        <w:t>龙华区全民迎新跑</w:t>
      </w:r>
      <w:r>
        <w:rPr>
          <w:rFonts w:hint="eastAsia" w:ascii="仿宋_GB2312" w:hAnsi="仿宋" w:eastAsia="仿宋_GB2312" w:cs="仿宋"/>
          <w:kern w:val="2"/>
          <w:sz w:val="32"/>
          <w:szCs w:val="32"/>
          <w:lang w:val="en-US" w:eastAsia="zh-CN" w:bidi="ar-SA"/>
        </w:rPr>
        <w:t>的具体实施方案和项目报价；</w:t>
      </w:r>
    </w:p>
    <w:p>
      <w:pPr>
        <w:pStyle w:val="7"/>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2.负责场地布置及赛事相关物资，包括赛事物料设计制作、设备租赁、搭建等；</w:t>
      </w:r>
    </w:p>
    <w:p>
      <w:pPr>
        <w:pStyle w:val="7"/>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3.负责赛事组织的相关工作，包括聘请相关工作人员、选派裁判员、赛事医疗、赛事安保、后勤保障补给、赛场保洁等；</w:t>
      </w:r>
    </w:p>
    <w:p>
      <w:pPr>
        <w:pStyle w:val="7"/>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4.负责赛事服装、奖牌、完赛包等发放；</w:t>
      </w:r>
    </w:p>
    <w:p>
      <w:pPr>
        <w:pStyle w:val="7"/>
        <w:keepNext w:val="0"/>
        <w:keepLines w:val="0"/>
        <w:pageBreakBefore w:val="0"/>
        <w:numPr>
          <w:ilvl w:val="0"/>
          <w:numId w:val="0"/>
        </w:numPr>
        <w:kinsoku/>
        <w:wordWrap/>
        <w:overflowPunct/>
        <w:topLinePunct w:val="0"/>
        <w:autoSpaceDE/>
        <w:autoSpaceDN/>
        <w:bidi w:val="0"/>
        <w:spacing w:after="0" w:line="560" w:lineRule="exact"/>
        <w:ind w:leftChars="0" w:right="0" w:rightChars="0" w:firstLine="640" w:firstLineChars="200"/>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5.负责主办方交办的其他事项。</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pStyle w:val="8"/>
        <w:ind w:firstLine="640" w:firstLineChars="200"/>
        <w:rPr>
          <w:rFonts w:hint="eastAsia" w:ascii="仿宋_GB2312" w:hAnsi="仿宋_GB2312" w:eastAsia="仿宋_GB2312" w:cs="仿宋_GB2312"/>
          <w:sz w:val="32"/>
          <w:szCs w:val="32"/>
          <w:lang w:eastAsia="zh-CN"/>
        </w:rPr>
      </w:pPr>
      <w:r>
        <w:rPr>
          <w:rFonts w:hint="eastAsia" w:ascii="仿宋_GB2312" w:hAnsi="仿宋" w:eastAsia="仿宋_GB2312" w:cs="仿宋"/>
          <w:kern w:val="2"/>
          <w:sz w:val="32"/>
          <w:szCs w:val="32"/>
          <w:lang w:val="en-US" w:eastAsia="zh-CN" w:bidi="ar-SA"/>
        </w:rPr>
        <w:t>40</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1"/>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6"/>
        <w:gridCol w:w="1049"/>
        <w:gridCol w:w="2475"/>
        <w:gridCol w:w="2265"/>
        <w:gridCol w:w="660"/>
        <w:gridCol w:w="10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49"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起终点门楼</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设计制作起终点门楼</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10m*4m*1m</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49"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发令台</w:t>
            </w:r>
          </w:p>
        </w:tc>
        <w:tc>
          <w:tcPr>
            <w:tcW w:w="24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发令台</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背景及站台</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舞台搭建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设计制作搭建舞台背景</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12m*4.5m，使用期一天（含）</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设计制作国标舞台，含地毯、台阶</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12m*4m*0.8m</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4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音响系统</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租赁64路调音台</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线阵音响8+4+4，8个无线话筒</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049" w:type="dxa"/>
            <w:vMerge w:val="restar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主会场和赛道功能区</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租赁帐篷</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赛道补给站、功能区</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设计制作帐篷眉头</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5*0.3m</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租赁起终点桌椅</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各个功能服务点，每套一张桌子两把椅子</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设计制作刀旗</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注水座，5米</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设计制作A板隔离</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1m*2m，广告、隔离</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设计制作A板指示牌</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1m*2m，公里牌、指引牌</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设计制作桁架式背景墙</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3*6m，欢迎背景、领取点背景</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设计制作起跑带冲刺带</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主持人劳务费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音响师劳务费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热身教练劳务费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活动暖场表演</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49" w:type="dxa"/>
            <w:vMerge w:val="continue"/>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打卡点布置</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主会场文化美食融合点</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处</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人工、租赁车辆</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人工、车辆运输（含安装、拆卸）</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宣传费用</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照片直播、摄影师、摄像师、视频短片编辑及宣传</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选手补给</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赛事用水</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550ml/支</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功能饮料</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600ml/支</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1"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赛道和完赛补给</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香蕉、面包、苹果</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办公用品及打卡点物资</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发令汽笛、纸张、打印、签字笔等办公用品、打卡点道具等物资</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5"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设计制作号码布（含芯片）</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参赛人员（700人），备用20个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设计制作参赛运动员T恤、志愿者T恤、急救跑者</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参赛运动员T恤700人、志愿者T恤60人、急救跑者20人，备用20件</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设计制作完赛奖牌</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参赛人员（700人），备用10个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枚</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9"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049"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设计制作完赛包</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参赛人员（700人），备用10个</w:t>
            </w:r>
          </w:p>
        </w:tc>
        <w:tc>
          <w:tcPr>
            <w:tcW w:w="66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活动工作证件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4"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后勤保障</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赛前筹备及比赛日工作餐饮</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志愿者60人、工作人员60人、安保80人</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5"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志愿者交通补贴</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志愿者交通补贴</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志愿者交通补贴：主会场10人+赛道30+领物20</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6"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保险</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赛事组织责任险（含运动员个人保险</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报名服务</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报名与选手服务及推文</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报名系统的制作维护、选手报名服务和服务及平台发布推文</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保洁</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赛场赛道卫生保洁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赛前搭建保洁及赛事当天的保洁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7"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裁判团队</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裁判劳务费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裁判10人</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0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医疗保障</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医疗急救跑者劳务</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0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租赁救护车（含司机、一名医生一名护士）、AED、急救包急救药品等医疗用品</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2"/>
                <w:szCs w:val="22"/>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1049" w:type="dxa"/>
            <w:vMerge w:val="continue"/>
            <w:tcBorders>
              <w:left w:val="single" w:color="000000" w:sz="4" w:space="0"/>
              <w:bottom w:val="single" w:color="auto"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医疗站点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三处（每处配一名医生+一名护士+AED+急救包急救药品等医疗用品）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1049" w:type="dxa"/>
            <w:vMerge w:val="restart"/>
            <w:tcBorders>
              <w:top w:val="single" w:color="auto" w:sz="4" w:space="0"/>
              <w:left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安保</w:t>
            </w: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安保人员</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维持现场秩序</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1049"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安保物资采购费</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警戒带、扎带等</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w:t>
            </w:r>
          </w:p>
        </w:tc>
        <w:tc>
          <w:tcPr>
            <w:tcW w:w="1049"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双门安检并配备安检员</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租赁</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42</w:t>
            </w:r>
          </w:p>
        </w:tc>
        <w:tc>
          <w:tcPr>
            <w:tcW w:w="1049"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47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铁马</w:t>
            </w: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租赁1100个及其运输、摆放、看护及回收</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7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43</w:t>
            </w:r>
          </w:p>
        </w:tc>
        <w:tc>
          <w:tcPr>
            <w:tcW w:w="1049" w:type="dxa"/>
            <w:vMerge w:val="continue"/>
            <w:tcBorders>
              <w:left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47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kern w:val="0"/>
                <w:sz w:val="22"/>
                <w:szCs w:val="22"/>
                <w:u w:val="none"/>
                <w:lang w:val="en-US" w:eastAsia="zh-CN" w:bidi="ar"/>
              </w:rPr>
            </w:pPr>
          </w:p>
        </w:tc>
        <w:tc>
          <w:tcPr>
            <w:tcW w:w="22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1400个铁马的运输、摆放、看护及回收费用（不含铁马）</w:t>
            </w:r>
          </w:p>
        </w:tc>
        <w:tc>
          <w:tcPr>
            <w:tcW w:w="66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8220" w:type="dxa"/>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供应商报价：</w:t>
            </w:r>
            <w:r>
              <w:rPr>
                <w:rFonts w:hint="eastAsia" w:ascii="宋体" w:hAnsi="宋体" w:cs="宋体"/>
                <w:i w:val="0"/>
                <w:iCs w:val="0"/>
                <w:color w:val="000000"/>
                <w:kern w:val="0"/>
                <w:sz w:val="22"/>
                <w:szCs w:val="22"/>
                <w:u w:val="none"/>
                <w:lang w:val="en-US" w:eastAsia="zh-CN" w:bidi="ar"/>
              </w:rPr>
              <w:t>_________万元</w:t>
            </w:r>
          </w:p>
        </w:tc>
      </w:tr>
    </w:tbl>
    <w:p>
      <w:pPr>
        <w:pStyle w:val="8"/>
        <w:rPr>
          <w:rFonts w:hint="eastAsia"/>
          <w:lang w:eastAsia="zh-CN"/>
        </w:rPr>
      </w:pPr>
    </w:p>
    <w:p>
      <w:pPr>
        <w:pStyle w:val="8"/>
        <w:rPr>
          <w:rFonts w:hint="eastAsia"/>
          <w:lang w:eastAsia="zh-CN"/>
        </w:rPr>
      </w:pPr>
    </w:p>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4"/>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p>
    <w:p>
      <w:pPr>
        <w:pStyle w:val="14"/>
        <w:spacing w:line="560" w:lineRule="exact"/>
        <w:ind w:firstLine="640"/>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4"/>
        <w:spacing w:line="560" w:lineRule="exact"/>
        <w:ind w:firstLine="64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6"/>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6"/>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color w:val="000000"/>
          <w:sz w:val="32"/>
          <w:szCs w:val="32"/>
        </w:rPr>
      </w:pPr>
      <w:r>
        <w:rPr>
          <w:rFonts w:hint="eastAsia" w:ascii="楷体" w:hAnsi="楷体" w:eastAsia="楷体" w:cs="楷体"/>
          <w:b w:val="0"/>
          <w:bCs/>
          <w:color w:val="000000"/>
          <w:sz w:val="32"/>
          <w:szCs w:val="32"/>
        </w:rPr>
        <w:t>（二）评分权重</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2251"/>
        <w:gridCol w:w="2009"/>
        <w:gridCol w:w="2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jc w:val="center"/>
        </w:trPr>
        <w:tc>
          <w:tcPr>
            <w:tcW w:w="1983" w:type="dxa"/>
            <w:noWrap w:val="0"/>
            <w:vAlign w:val="top"/>
          </w:tcPr>
          <w:p>
            <w:pPr>
              <w:pStyle w:val="16"/>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评分内容</w:t>
            </w:r>
          </w:p>
        </w:tc>
        <w:tc>
          <w:tcPr>
            <w:tcW w:w="2251" w:type="dxa"/>
            <w:noWrap w:val="0"/>
            <w:vAlign w:val="top"/>
          </w:tcPr>
          <w:p>
            <w:pPr>
              <w:pStyle w:val="16"/>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商务</w:t>
            </w:r>
            <w:r>
              <w:rPr>
                <w:rFonts w:hint="eastAsia" w:ascii="仿宋_GB2312" w:hAnsi="仿宋_GB2312" w:eastAsia="仿宋_GB2312" w:cs="仿宋_GB2312"/>
                <w:b w:val="0"/>
                <w:bCs/>
                <w:color w:val="auto"/>
                <w:szCs w:val="24"/>
                <w:highlight w:val="none"/>
                <w:lang w:eastAsia="zh-CN"/>
              </w:rPr>
              <w:t>部分</w:t>
            </w:r>
          </w:p>
        </w:tc>
        <w:tc>
          <w:tcPr>
            <w:tcW w:w="2009" w:type="dxa"/>
            <w:noWrap w:val="0"/>
            <w:vAlign w:val="top"/>
          </w:tcPr>
          <w:p>
            <w:pPr>
              <w:pStyle w:val="16"/>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lang w:eastAsia="zh-CN"/>
              </w:rPr>
            </w:pPr>
            <w:r>
              <w:rPr>
                <w:rFonts w:hint="eastAsia" w:ascii="仿宋_GB2312" w:hAnsi="仿宋_GB2312" w:eastAsia="仿宋_GB2312" w:cs="仿宋_GB2312"/>
                <w:b w:val="0"/>
                <w:bCs/>
                <w:color w:val="auto"/>
                <w:szCs w:val="24"/>
                <w:highlight w:val="none"/>
              </w:rPr>
              <w:t>技术</w:t>
            </w:r>
            <w:r>
              <w:rPr>
                <w:rFonts w:hint="eastAsia" w:ascii="仿宋_GB2312" w:hAnsi="仿宋_GB2312" w:eastAsia="仿宋_GB2312" w:cs="仿宋_GB2312"/>
                <w:b w:val="0"/>
                <w:bCs/>
                <w:color w:val="auto"/>
                <w:szCs w:val="24"/>
                <w:highlight w:val="none"/>
                <w:lang w:eastAsia="zh-CN"/>
              </w:rPr>
              <w:t>部分</w:t>
            </w:r>
          </w:p>
        </w:tc>
        <w:tc>
          <w:tcPr>
            <w:tcW w:w="2161" w:type="dxa"/>
            <w:noWrap w:val="0"/>
            <w:vAlign w:val="top"/>
          </w:tcPr>
          <w:p>
            <w:pPr>
              <w:pStyle w:val="16"/>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3" w:hRule="atLeast"/>
          <w:jc w:val="center"/>
        </w:trPr>
        <w:tc>
          <w:tcPr>
            <w:tcW w:w="1983" w:type="dxa"/>
            <w:noWrap w:val="0"/>
            <w:vAlign w:val="top"/>
          </w:tcPr>
          <w:p>
            <w:pPr>
              <w:pStyle w:val="16"/>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rPr>
              <w:t>分值</w:t>
            </w:r>
          </w:p>
        </w:tc>
        <w:tc>
          <w:tcPr>
            <w:tcW w:w="2251" w:type="dxa"/>
            <w:noWrap w:val="0"/>
            <w:vAlign w:val="top"/>
          </w:tcPr>
          <w:p>
            <w:pPr>
              <w:pStyle w:val="16"/>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30</w:t>
            </w:r>
            <w:r>
              <w:rPr>
                <w:rFonts w:hint="eastAsia" w:ascii="仿宋_GB2312" w:hAnsi="仿宋_GB2312" w:eastAsia="仿宋_GB2312" w:cs="仿宋_GB2312"/>
                <w:b w:val="0"/>
                <w:bCs/>
                <w:color w:val="auto"/>
                <w:szCs w:val="24"/>
                <w:highlight w:val="none"/>
              </w:rPr>
              <w:t>分</w:t>
            </w:r>
          </w:p>
        </w:tc>
        <w:tc>
          <w:tcPr>
            <w:tcW w:w="2009" w:type="dxa"/>
            <w:noWrap w:val="0"/>
            <w:vAlign w:val="top"/>
          </w:tcPr>
          <w:p>
            <w:pPr>
              <w:pStyle w:val="16"/>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40</w:t>
            </w:r>
            <w:r>
              <w:rPr>
                <w:rFonts w:hint="eastAsia" w:ascii="仿宋_GB2312" w:hAnsi="仿宋_GB2312" w:eastAsia="仿宋_GB2312" w:cs="仿宋_GB2312"/>
                <w:b w:val="0"/>
                <w:bCs/>
                <w:color w:val="auto"/>
                <w:szCs w:val="24"/>
                <w:highlight w:val="none"/>
              </w:rPr>
              <w:t>分</w:t>
            </w:r>
          </w:p>
        </w:tc>
        <w:tc>
          <w:tcPr>
            <w:tcW w:w="2161" w:type="dxa"/>
            <w:noWrap w:val="0"/>
            <w:vAlign w:val="top"/>
          </w:tcPr>
          <w:p>
            <w:pPr>
              <w:pStyle w:val="16"/>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color w:val="auto"/>
                <w:szCs w:val="24"/>
                <w:highlight w:val="none"/>
              </w:rPr>
            </w:pPr>
            <w:r>
              <w:rPr>
                <w:rFonts w:hint="eastAsia" w:ascii="仿宋_GB2312" w:hAnsi="仿宋_GB2312" w:eastAsia="仿宋_GB2312" w:cs="仿宋_GB2312"/>
                <w:b w:val="0"/>
                <w:bCs/>
                <w:color w:val="auto"/>
                <w:szCs w:val="24"/>
                <w:highlight w:val="none"/>
                <w:lang w:val="en-US" w:eastAsia="zh-CN"/>
              </w:rPr>
              <w:t>30</w:t>
            </w:r>
            <w:r>
              <w:rPr>
                <w:rFonts w:hint="eastAsia" w:ascii="仿宋_GB2312" w:hAnsi="仿宋_GB2312" w:eastAsia="仿宋_GB2312" w:cs="仿宋_GB2312"/>
                <w:b w:val="0"/>
                <w:bCs/>
                <w:color w:val="auto"/>
                <w:szCs w:val="24"/>
                <w:highlight w:val="none"/>
              </w:rPr>
              <w:t>分</w:t>
            </w:r>
          </w:p>
        </w:tc>
      </w:tr>
    </w:tbl>
    <w:p>
      <w:pPr>
        <w:pStyle w:val="16"/>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楷体" w:hAnsi="楷体" w:eastAsia="楷体" w:cs="楷体"/>
          <w:b w:val="0"/>
          <w:bCs/>
          <w:color w:val="auto"/>
          <w:sz w:val="32"/>
          <w:szCs w:val="32"/>
          <w:highlight w:val="none"/>
        </w:rPr>
      </w:pPr>
      <w:r>
        <w:rPr>
          <w:rFonts w:hint="eastAsia" w:ascii="楷体" w:hAnsi="楷体" w:eastAsia="楷体" w:cs="楷体"/>
          <w:b w:val="0"/>
          <w:bCs/>
          <w:color w:val="auto"/>
          <w:sz w:val="32"/>
          <w:szCs w:val="32"/>
          <w:highlight w:val="none"/>
        </w:rPr>
        <w:t>（三）评分标准</w:t>
      </w: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1.商务能力</w:t>
      </w:r>
    </w:p>
    <w:tbl>
      <w:tblPr>
        <w:tblStyle w:val="11"/>
        <w:tblW w:w="86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0"/>
        <w:gridCol w:w="700"/>
        <w:gridCol w:w="2174"/>
        <w:gridCol w:w="4667"/>
        <w:gridCol w:w="4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20"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评分因素</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评分内容</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评分标准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0" w:hRule="atLeast"/>
          <w:jc w:val="center"/>
        </w:trPr>
        <w:tc>
          <w:tcPr>
            <w:tcW w:w="62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商务部分</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拟安排的项目团队成员情况</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1.具有相关体育专业本科（或以上）学历，每提供上述一类专业学历的得2分，最高得5分（注：提供重复学历的其他人员不累计分值。）；</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2.具有组织体育赛事活动有关工作经验，每提供一人得2分，最高得5分；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同一人具备1和2项情况的可重复得分，本项最高得10分。</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1.提供学位或学历证书或学信网查询记录，原件备查。</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2.工作经验需提供合同关键页或其他可以证明的材料；合同关键（关键信息包括但不仅限于合同的项目名称、项目负责人/团队成员名字、服务内容、合同双方盖章页），以及满足评分要求的服务内容。</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2" w:hRule="atLeast"/>
          <w:jc w:val="center"/>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同类项目业绩</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自2022年1月1日起至本项目投标截止之日止（以合同签约时间为准），投标人提供一个文体活动业绩得5分，本项最高得分10分。</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1.每项业绩按以下要求提供完整准确的证明文件，一个合同计算一个业绩，一年一签的续签合同只计算一个业绩：</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合同关键页（关键信息包括但不仅限于合同的项目名称、服务内容、合同服务的起止时间、合同双方的盖章、签订日期等）；</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2.未提供证明材料或者提供的证明材料不符合要求或提供的证明材料不清晰导致（临时）采购小组无法辨认的，不得分。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79" w:hRule="atLeast"/>
          <w:jc w:val="center"/>
        </w:trPr>
        <w:tc>
          <w:tcPr>
            <w:tcW w:w="620" w:type="dxa"/>
            <w:vMerge w:val="continue"/>
            <w:tcBorders>
              <w:left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诚信评价</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投标人在参与政府采购活动中不存在诚信相关问题且不在主管部门相关处理措施实施期限内的。</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提供《诚信承诺书》（详见附件1）得5分，未提供或内容不符不得分。未提供不得分。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2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服务承诺书</w:t>
            </w:r>
          </w:p>
        </w:tc>
        <w:tc>
          <w:tcPr>
            <w:tcW w:w="21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承诺满足招标文件要求，保证措施合理且有针对性，有具体的服务承诺。</w:t>
            </w:r>
          </w:p>
        </w:tc>
        <w:tc>
          <w:tcPr>
            <w:tcW w:w="46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提供《服务承诺书》得5分，未提供不得分。</w:t>
            </w:r>
          </w:p>
        </w:tc>
        <w:tc>
          <w:tcPr>
            <w:tcW w:w="4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w:t>
            </w:r>
          </w:p>
        </w:tc>
      </w:tr>
    </w:tbl>
    <w:p>
      <w:pPr>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2.技术部分</w:t>
      </w:r>
    </w:p>
    <w:tbl>
      <w:tblPr>
        <w:tblStyle w:val="11"/>
        <w:tblpPr w:leftFromText="180" w:rightFromText="180" w:vertAnchor="text" w:horzAnchor="page" w:tblpX="1740" w:tblpY="181"/>
        <w:tblOverlap w:val="never"/>
        <w:tblW w:w="86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01"/>
        <w:gridCol w:w="3179"/>
        <w:gridCol w:w="3561"/>
        <w:gridCol w:w="5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18" w:hRule="atLeast"/>
        </w:trPr>
        <w:tc>
          <w:tcPr>
            <w:tcW w:w="7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评分因素</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评分内容</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评分内容</w:t>
            </w:r>
          </w:p>
        </w:tc>
        <w:tc>
          <w:tcPr>
            <w:tcW w:w="3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评分标准</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63" w:hRule="atLeast"/>
        </w:trPr>
        <w:tc>
          <w:tcPr>
            <w:tcW w:w="7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技术部分</w:t>
            </w: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实施</w:t>
            </w:r>
          </w:p>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方案</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考察内容: 根据项目特点，编制实施方案，提供以下内容：</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1.项目整体规划，含活动组织策划、前期筹备等内容；</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2.活动宣传，含报道撰稿、照片记录等内容；</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3.活动应急处置预案，含突发情况的熔断机制设置；</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4.活动医疗用品保障，含医疗用品等内容；</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5.活动人员配置规划，含热身教练、工作人员的职责安排等内容；</w:t>
            </w:r>
          </w:p>
          <w:p>
            <w:pPr>
              <w:keepNext w:val="0"/>
              <w:keepLines w:val="0"/>
              <w:widowControl/>
              <w:suppressLineNumbers w:val="0"/>
              <w:jc w:val="left"/>
              <w:textAlignment w:val="center"/>
              <w:rPr>
                <w:rFonts w:hint="default"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6.活动后勤保障，含活动期间，相关的物资及需求须及时补给。</w:t>
            </w:r>
          </w:p>
        </w:tc>
        <w:tc>
          <w:tcPr>
            <w:tcW w:w="3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满足评分内容任意一项内容得</w:t>
            </w:r>
            <w:r>
              <w:rPr>
                <w:rFonts w:hint="default" w:ascii="仿宋_GB2312" w:hAnsi="宋体" w:eastAsia="仿宋_GB2312" w:cs="仿宋_GB2312"/>
                <w:i w:val="0"/>
                <w:iCs w:val="0"/>
                <w:color w:val="auto"/>
                <w:kern w:val="0"/>
                <w:sz w:val="24"/>
                <w:szCs w:val="24"/>
                <w:highlight w:val="none"/>
                <w:u w:val="none"/>
                <w:lang w:val="en-US" w:eastAsia="zh-CN" w:bidi="ar"/>
              </w:rPr>
              <w:t>3</w:t>
            </w:r>
            <w:r>
              <w:rPr>
                <w:rFonts w:hint="eastAsia" w:ascii="仿宋_GB2312" w:hAnsi="宋体" w:eastAsia="仿宋_GB2312" w:cs="仿宋_GB2312"/>
                <w:i w:val="0"/>
                <w:iCs w:val="0"/>
                <w:color w:val="auto"/>
                <w:kern w:val="0"/>
                <w:sz w:val="24"/>
                <w:szCs w:val="24"/>
                <w:highlight w:val="none"/>
                <w:u w:val="none"/>
                <w:lang w:val="en-US" w:eastAsia="zh-CN" w:bidi="ar"/>
              </w:rPr>
              <w:t>分,最高18分。在此基础上,由评标委员会对实施方案进一步评审: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1.方案合理、条理清晰、可操作强的加7分;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2.方案较合理、条理较清晰、可操作较强的加5分;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3.方案不合理、条理不清晰、可操作性差的加3分;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4.方案极不合理、条理极不清晰、可操作极差的不加分。</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266" w:hRule="atLeast"/>
        </w:trPr>
        <w:tc>
          <w:tcPr>
            <w:tcW w:w="71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iCs w:val="0"/>
                <w:color w:val="auto"/>
                <w:sz w:val="24"/>
                <w:szCs w:val="24"/>
                <w:highlight w:val="none"/>
                <w:u w:val="none"/>
              </w:rPr>
            </w:pPr>
          </w:p>
        </w:tc>
        <w:tc>
          <w:tcPr>
            <w:tcW w:w="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sz w:val="24"/>
                <w:szCs w:val="24"/>
                <w:highlight w:val="none"/>
                <w:u w:val="none"/>
              </w:rPr>
            </w:pPr>
            <w:r>
              <w:rPr>
                <w:rFonts w:hint="eastAsia" w:ascii="仿宋_GB2312" w:hAnsi="宋体" w:eastAsia="仿宋_GB2312" w:cs="仿宋_GB2312"/>
                <w:i w:val="0"/>
                <w:iCs w:val="0"/>
                <w:color w:val="auto"/>
                <w:kern w:val="0"/>
                <w:sz w:val="24"/>
                <w:szCs w:val="24"/>
                <w:highlight w:val="none"/>
                <w:u w:val="none"/>
                <w:lang w:val="en-US" w:eastAsia="zh-CN" w:bidi="ar"/>
              </w:rPr>
              <w:t>项目重点难点分析、应对措施及相关的合理化建议</w:t>
            </w:r>
          </w:p>
        </w:tc>
        <w:tc>
          <w:tcPr>
            <w:tcW w:w="31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考察对项目工作量、可完成度等重点难点问题的识别和分析能力，并就识别出的重点难点提出可行的应对措施及合理化建议。</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包括但不限于以下内容：</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1.详细阐述本项目存在的重难点问题；</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2.根据项目重难点，详细阐述对应的应对措施；</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3.向招标方提出项目实施及与其他建设项目协调的具体建议。</w:t>
            </w:r>
          </w:p>
        </w:tc>
        <w:tc>
          <w:tcPr>
            <w:tcW w:w="35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满足评分内容任意一项内容得3分，最高9分。在此基础上，由评标委员会对实施方案进一步评审：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1.方案合理、条理清晰、可操作强的加6分;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2.方案较合理、条理较清晰、可操作较强的加4分;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3.方案不合理、条理不清晰、可操作性差的加2分;</w:t>
            </w:r>
          </w:p>
          <w:p>
            <w:pPr>
              <w:keepNext w:val="0"/>
              <w:keepLines w:val="0"/>
              <w:widowControl/>
              <w:suppressLineNumbers w:val="0"/>
              <w:jc w:val="left"/>
              <w:textAlignment w:val="center"/>
              <w:rPr>
                <w:rFonts w:hint="eastAsia" w:ascii="仿宋_GB2312" w:hAnsi="宋体" w:eastAsia="仿宋_GB2312" w:cs="仿宋_GB2312"/>
                <w:i w:val="0"/>
                <w:iCs w:val="0"/>
                <w:color w:val="auto"/>
                <w:kern w:val="0"/>
                <w:sz w:val="24"/>
                <w:szCs w:val="24"/>
                <w:highlight w:val="none"/>
                <w:u w:val="none"/>
                <w:lang w:val="en-US" w:eastAsia="zh-CN" w:bidi="ar"/>
              </w:rPr>
            </w:pPr>
            <w:r>
              <w:rPr>
                <w:rFonts w:hint="eastAsia" w:ascii="仿宋_GB2312" w:hAnsi="宋体" w:eastAsia="仿宋_GB2312" w:cs="仿宋_GB2312"/>
                <w:i w:val="0"/>
                <w:iCs w:val="0"/>
                <w:color w:val="auto"/>
                <w:kern w:val="0"/>
                <w:sz w:val="24"/>
                <w:szCs w:val="24"/>
                <w:highlight w:val="none"/>
                <w:u w:val="none"/>
                <w:lang w:val="en-US" w:eastAsia="zh-CN" w:bidi="ar"/>
              </w:rPr>
              <w:t>4.方案极不合理、条理极不清晰、可操作极差的不加分。</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auto"/>
                <w:sz w:val="24"/>
                <w:szCs w:val="24"/>
                <w:highlight w:val="none"/>
                <w:u w:val="none"/>
                <w:lang w:val="en-US"/>
              </w:rPr>
            </w:pPr>
            <w:r>
              <w:rPr>
                <w:rFonts w:hint="eastAsia" w:ascii="仿宋_GB2312" w:hAnsi="宋体" w:eastAsia="仿宋_GB2312" w:cs="仿宋_GB2312"/>
                <w:i w:val="0"/>
                <w:iCs w:val="0"/>
                <w:color w:val="auto"/>
                <w:kern w:val="0"/>
                <w:sz w:val="24"/>
                <w:szCs w:val="24"/>
                <w:highlight w:val="none"/>
                <w:u w:val="none"/>
                <w:lang w:val="en-US" w:eastAsia="zh-CN" w:bidi="ar"/>
              </w:rPr>
              <w:t>15</w:t>
            </w:r>
          </w:p>
        </w:tc>
      </w:tr>
    </w:tbl>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p>
    <w:p>
      <w:pPr>
        <w:keepNext w:val="0"/>
        <w:keepLines w:val="0"/>
        <w:pageBreakBefore w:val="0"/>
        <w:kinsoku/>
        <w:wordWrap/>
        <w:overflowPunct/>
        <w:topLinePunct w:val="0"/>
        <w:autoSpaceDE/>
        <w:autoSpaceDN/>
        <w:bidi w:val="0"/>
        <w:spacing w:line="560" w:lineRule="exact"/>
        <w:ind w:right="0" w:rightChars="0"/>
        <w:textAlignment w:val="auto"/>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.报价</w:t>
      </w:r>
    </w:p>
    <w:p>
      <w:pPr>
        <w:pStyle w:val="16"/>
        <w:spacing w:line="560" w:lineRule="exact"/>
        <w:ind w:firstLine="640" w:firstLineChars="200"/>
        <w:rPr>
          <w:rFonts w:hint="eastAsia" w:ascii="楷体_GB2312" w:hAnsi="楷体_GB2312" w:eastAsia="楷体_GB2312" w:cs="楷体_GB2312"/>
          <w:b w:val="0"/>
          <w:bCs/>
          <w:color w:val="000000"/>
          <w:sz w:val="32"/>
          <w:szCs w:val="32"/>
        </w:rPr>
      </w:pPr>
      <w:r>
        <w:rPr>
          <w:rFonts w:hint="eastAsia" w:ascii="仿宋_GB2312" w:eastAsia="仿宋_GB2312"/>
          <w:b w:val="0"/>
          <w:bCs/>
          <w:color w:val="000000"/>
          <w:sz w:val="32"/>
          <w:szCs w:val="32"/>
        </w:rPr>
        <w:t>以本次</w:t>
      </w:r>
      <w:r>
        <w:rPr>
          <w:rFonts w:hint="eastAsia" w:ascii="仿宋_GB2312" w:hAnsi="仿宋" w:eastAsia="仿宋_GB2312" w:cs="仿宋_GB2312"/>
          <w:b w:val="0"/>
          <w:bCs/>
          <w:sz w:val="32"/>
          <w:szCs w:val="32"/>
        </w:rPr>
        <w:t>报价或投标</w:t>
      </w:r>
      <w:r>
        <w:rPr>
          <w:rFonts w:hint="eastAsia" w:ascii="仿宋_GB2312" w:eastAsia="仿宋_GB2312"/>
          <w:b w:val="0"/>
          <w:bCs/>
          <w:color w:val="000000"/>
          <w:sz w:val="32"/>
          <w:szCs w:val="32"/>
        </w:rPr>
        <w:t>人所报的有效报价中的最低价作为基准报价。投标人报价得分=（基准价/投标人报价）*</w:t>
      </w:r>
      <w:r>
        <w:rPr>
          <w:rFonts w:hint="eastAsia" w:ascii="仿宋_GB2312" w:eastAsia="仿宋_GB2312"/>
          <w:b w:val="0"/>
          <w:bCs/>
          <w:color w:val="000000"/>
          <w:sz w:val="32"/>
          <w:szCs w:val="32"/>
          <w:lang w:val="en-US" w:eastAsia="zh-CN"/>
        </w:rPr>
        <w:t>30</w:t>
      </w:r>
      <w:r>
        <w:rPr>
          <w:rFonts w:hint="eastAsia" w:ascii="仿宋_GB2312" w:eastAsia="仿宋_GB2312"/>
          <w:b w:val="0"/>
          <w:bCs/>
          <w:color w:val="000000"/>
          <w:sz w:val="32"/>
          <w:szCs w:val="32"/>
        </w:rPr>
        <w:t>分。</w:t>
      </w:r>
    </w:p>
    <w:p>
      <w:pPr>
        <w:pStyle w:val="16"/>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auto"/>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7"/>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7"/>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）并提供表中涉及人员的近三个月社保缴纳情况，如供应商为新成立企业且成立时间不足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7"/>
        <w:spacing w:after="0" w:line="560" w:lineRule="exact"/>
        <w:ind w:left="0" w:leftChars="0" w:right="0" w:rightChars="0" w:firstLine="640"/>
        <w:rPr>
          <w:rFonts w:hint="eastAsia" w:ascii="仿宋_GB2312" w:hAnsi="仿宋" w:eastAsia="仿宋_GB2312" w:cs="Times New Roman"/>
          <w:sz w:val="32"/>
          <w:lang w:val="en-US" w:eastAsia="zh-CN"/>
        </w:rPr>
      </w:pPr>
      <w:r>
        <w:rPr>
          <w:rFonts w:hint="eastAsia" w:ascii="仿宋_GB2312" w:hAnsi="仿宋" w:eastAsia="仿宋_GB2312" w:cs="Times New Roman"/>
          <w:sz w:val="32"/>
          <w:lang w:val="en-US" w:eastAsia="zh-CN"/>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i w:val="0"/>
          <w:caps w:val="0"/>
          <w:color w:val="auto"/>
          <w:spacing w:val="8"/>
          <w:kern w:val="2"/>
          <w:sz w:val="32"/>
          <w:szCs w:val="32"/>
          <w:lang w:val="en-US" w:eastAsia="zh-CN" w:bidi="ar-SA"/>
        </w:rPr>
        <w:t>2026年龙华区全民迎新跑</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7"/>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eastAsia"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0755-21039487</w:t>
      </w: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br w:type="page"/>
      </w:r>
    </w:p>
    <w:p>
      <w:pPr>
        <w:pStyle w:val="17"/>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3"/>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eastAsia" w:ascii="黑体" w:hAnsi="黑体" w:eastAsia="黑体" w:cs="黑体"/>
          <w:color w:val="000000"/>
          <w:sz w:val="32"/>
          <w:szCs w:val="32"/>
        </w:rPr>
      </w:pPr>
      <w:r>
        <w:rPr>
          <w:rFonts w:hint="eastAsia" w:ascii="黑体" w:hAnsi="黑体" w:eastAsia="黑体" w:cs="黑体"/>
          <w:color w:val="000000"/>
          <w:sz w:val="32"/>
          <w:szCs w:val="32"/>
        </w:rPr>
        <w:br w:type="page"/>
      </w:r>
    </w:p>
    <w:p>
      <w:pPr>
        <w:pStyle w:val="17"/>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0"/>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2"/>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4"/>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Microsoft YaHei UI">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GB2312">
    <w:altName w:val="方正仿宋_GBK"/>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3711721"/>
    <w:rsid w:val="04D5397F"/>
    <w:rsid w:val="0A4725AB"/>
    <w:rsid w:val="0A6A407D"/>
    <w:rsid w:val="0D3D3014"/>
    <w:rsid w:val="0D566BC9"/>
    <w:rsid w:val="14A2631D"/>
    <w:rsid w:val="14C34F24"/>
    <w:rsid w:val="165D6C96"/>
    <w:rsid w:val="20D34CF2"/>
    <w:rsid w:val="21D46991"/>
    <w:rsid w:val="247733EB"/>
    <w:rsid w:val="2479030C"/>
    <w:rsid w:val="255A7798"/>
    <w:rsid w:val="25EC1AD2"/>
    <w:rsid w:val="27A56A4D"/>
    <w:rsid w:val="293E783A"/>
    <w:rsid w:val="326E42CA"/>
    <w:rsid w:val="32AA04EC"/>
    <w:rsid w:val="340805C4"/>
    <w:rsid w:val="3AFD213B"/>
    <w:rsid w:val="3BC62CE0"/>
    <w:rsid w:val="3DEE05C9"/>
    <w:rsid w:val="448648CA"/>
    <w:rsid w:val="4B4B2FA2"/>
    <w:rsid w:val="58A1230D"/>
    <w:rsid w:val="58B24661"/>
    <w:rsid w:val="5F2BE56A"/>
    <w:rsid w:val="671D4941"/>
    <w:rsid w:val="67BF5D29"/>
    <w:rsid w:val="69701D6D"/>
    <w:rsid w:val="6DFFCD9E"/>
    <w:rsid w:val="6EBD5A97"/>
    <w:rsid w:val="71356DFE"/>
    <w:rsid w:val="71BB412E"/>
    <w:rsid w:val="72B96096"/>
    <w:rsid w:val="775F78C4"/>
    <w:rsid w:val="795310F0"/>
    <w:rsid w:val="7BBF2F1A"/>
    <w:rsid w:val="7D9F3A20"/>
    <w:rsid w:val="7DD39989"/>
    <w:rsid w:val="7ECC6A24"/>
    <w:rsid w:val="B7FE4D38"/>
    <w:rsid w:val="BBFF548B"/>
    <w:rsid w:val="DFFF69F1"/>
    <w:rsid w:val="E376E1AF"/>
    <w:rsid w:val="F7BFE75E"/>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rPr>
      <w:rFonts w:ascii="Calibri" w:hAnsi="Calibri" w:eastAsia="宋体" w:cs="Times New Roman"/>
    </w:rPr>
  </w:style>
  <w:style w:type="paragraph" w:styleId="4">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Body Text 2"/>
    <w:basedOn w:val="1"/>
    <w:qFormat/>
    <w:uiPriority w:val="0"/>
    <w:pPr>
      <w:spacing w:line="360" w:lineRule="auto"/>
    </w:pPr>
    <w:rPr>
      <w:sz w:val="24"/>
    </w:rPr>
  </w:style>
  <w:style w:type="paragraph" w:styleId="10">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5"/>
    <w:qFormat/>
    <w:uiPriority w:val="34"/>
    <w:pPr>
      <w:ind w:firstLine="420" w:firstLineChars="200"/>
    </w:pPr>
  </w:style>
  <w:style w:type="paragraph" w:customStyle="1" w:styleId="15">
    <w:name w:val="星耀正文"/>
    <w:basedOn w:val="1"/>
    <w:qFormat/>
    <w:uiPriority w:val="3"/>
    <w:pPr>
      <w:ind w:firstLine="422" w:firstLineChars="200"/>
    </w:pPr>
    <w:rPr>
      <w:rFonts w:ascii="宋体" w:hAnsi="宋体" w:eastAsia="仿宋_GB2312"/>
      <w:bCs/>
    </w:rPr>
  </w:style>
  <w:style w:type="paragraph" w:customStyle="1" w:styleId="16">
    <w:name w:val="USE 1"/>
    <w:basedOn w:val="1"/>
    <w:qFormat/>
    <w:uiPriority w:val="0"/>
    <w:pPr>
      <w:spacing w:line="200" w:lineRule="atLeast"/>
      <w:jc w:val="left"/>
    </w:pPr>
    <w:rPr>
      <w:rFonts w:ascii="宋体" w:hAnsi="宋体"/>
      <w:b/>
      <w:sz w:val="24"/>
      <w:szCs w:val="28"/>
    </w:rPr>
  </w:style>
  <w:style w:type="paragraph" w:customStyle="1" w:styleId="17">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8">
    <w:name w:val="_Style 3"/>
    <w:basedOn w:val="1"/>
    <w:next w:val="1"/>
    <w:qFormat/>
    <w:uiPriority w:val="99"/>
    <w:pPr>
      <w:spacing w:line="360" w:lineRule="auto"/>
      <w:ind w:firstLine="420" w:firstLineChars="200"/>
    </w:pPr>
  </w:style>
  <w:style w:type="character" w:customStyle="1" w:styleId="19">
    <w:name w:val="font21"/>
    <w:basedOn w:val="13"/>
    <w:qFormat/>
    <w:uiPriority w:val="0"/>
    <w:rPr>
      <w:rFonts w:hint="default" w:ascii="Microsoft YaHei UI" w:hAnsi="Microsoft YaHei UI" w:eastAsia="Microsoft YaHei UI" w:cs="Microsoft YaHei UI"/>
      <w:color w:val="000000"/>
      <w:sz w:val="22"/>
      <w:szCs w:val="22"/>
      <w:u w:val="none"/>
    </w:rPr>
  </w:style>
  <w:style w:type="character" w:customStyle="1" w:styleId="20">
    <w:name w:val="font61"/>
    <w:basedOn w:val="13"/>
    <w:qFormat/>
    <w:uiPriority w:val="0"/>
    <w:rPr>
      <w:rFonts w:hint="default" w:ascii="仿宋GB2312" w:hAnsi="仿宋GB2312" w:eastAsia="仿宋GB2312" w:cs="仿宋GB2312"/>
      <w:color w:val="000000"/>
      <w:sz w:val="22"/>
      <w:szCs w:val="22"/>
      <w:u w:val="none"/>
    </w:rPr>
  </w:style>
  <w:style w:type="character" w:customStyle="1" w:styleId="21">
    <w:name w:val="font31"/>
    <w:basedOn w:val="13"/>
    <w:qFormat/>
    <w:uiPriority w:val="0"/>
    <w:rPr>
      <w:rFonts w:hint="default" w:ascii="Microsoft YaHei UI" w:hAnsi="Microsoft YaHei UI" w:eastAsia="Microsoft YaHei UI" w:cs="Microsoft YaHei UI"/>
      <w:color w:val="000000"/>
      <w:sz w:val="22"/>
      <w:szCs w:val="22"/>
      <w:u w:val="none"/>
    </w:rPr>
  </w:style>
  <w:style w:type="character" w:customStyle="1" w:styleId="22">
    <w:name w:val="font71"/>
    <w:basedOn w:val="13"/>
    <w:qFormat/>
    <w:uiPriority w:val="0"/>
    <w:rPr>
      <w:rFonts w:hint="default" w:ascii="仿宋GB2312" w:hAnsi="仿宋GB2312" w:eastAsia="仿宋GB2312" w:cs="仿宋GB2312"/>
      <w:color w:val="000000"/>
      <w:sz w:val="22"/>
      <w:szCs w:val="22"/>
      <w:u w:val="none"/>
    </w:rPr>
  </w:style>
  <w:style w:type="character" w:customStyle="1" w:styleId="23">
    <w:name w:val="font51"/>
    <w:basedOn w:val="13"/>
    <w:qFormat/>
    <w:uiPriority w:val="0"/>
    <w:rPr>
      <w:rFonts w:hint="default" w:ascii="仿宋GB2312" w:hAnsi="仿宋GB2312" w:eastAsia="仿宋GB2312" w:cs="仿宋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4240</Words>
  <Characters>4455</Characters>
  <Lines>0</Lines>
  <Paragraphs>0</Paragraphs>
  <TotalTime>1</TotalTime>
  <ScaleCrop>false</ScaleCrop>
  <LinksUpToDate>false</LinksUpToDate>
  <CharactersWithSpaces>4586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2025-04-14T09:16:00Z</dcterms:created>
  <dc:creator>yang</dc:creator>
  <cp:lastModifiedBy>lxy</cp:lastModifiedBy>
  <dcterms:modified xsi:type="dcterms:W3CDTF">2025-11-04T16:18:00Z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CFD6FF7C37BEEC10D5AD096933FCFEFC</vt:lpwstr>
  </property>
  <property fmtid="{D5CDD505-2E9C-101B-9397-08002B2CF9AE}" pid="4" name="KSOTemplateDocerSaveRecord">
    <vt:lpwstr>eyJoZGlkIjoiNjI1M2EyYWJiMDc1NDk4Yzc0MzY5NDVhY2ZkY2UxZGEiLCJ1c2VySWQiOiIzODAzMjc4MTgifQ==</vt:lpwstr>
  </property>
</Properties>
</file>