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2025-2026年度龙华区青少年足球梯队</w:t>
      </w:r>
    </w:p>
    <w:p>
      <w:pPr>
        <w:pStyle w:val="11"/>
        <w:keepNext w:val="0"/>
        <w:keepLines w:val="0"/>
        <w:pageBreakBefore w:val="0"/>
        <w:kinsoku/>
        <w:wordWrap/>
        <w:overflowPunct/>
        <w:topLinePunct w:val="0"/>
        <w:autoSpaceDE/>
        <w:autoSpaceDN/>
        <w:bidi w:val="0"/>
        <w:adjustRightInd/>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竞训服务项目</w:t>
      </w:r>
      <w:r>
        <w:rPr>
          <w:rFonts w:hint="eastAsia" w:ascii="方正小标宋简体" w:hAnsi="方正小标宋简体" w:eastAsia="方正小标宋简体" w:cs="方正小标宋简体"/>
          <w:b w:val="0"/>
          <w:bCs w:val="0"/>
          <w:sz w:val="44"/>
          <w:szCs w:val="44"/>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left="0" w:leftChars="0" w:right="0" w:rightChars="0"/>
        <w:jc w:val="both"/>
        <w:textAlignment w:val="auto"/>
        <w:rPr>
          <w:rFonts w:hint="eastAsia" w:ascii="黑体" w:hAnsi="黑体" w:eastAsia="黑体" w:cs="黑体"/>
          <w:bCs/>
          <w:sz w:val="32"/>
          <w:szCs w:val="32"/>
          <w:lang w:eastAsia="zh-CN"/>
        </w:rPr>
      </w:pPr>
    </w:p>
    <w:p>
      <w:pPr>
        <w:keepNext w:val="0"/>
        <w:keepLines w:val="0"/>
        <w:pageBreakBefore w:val="0"/>
        <w:numPr>
          <w:ilvl w:val="0"/>
          <w:numId w:val="1"/>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项目</w:t>
      </w:r>
      <w:r>
        <w:rPr>
          <w:rFonts w:hint="eastAsia" w:ascii="黑体" w:hAnsi="黑体" w:eastAsia="黑体" w:cs="黑体"/>
          <w:bCs/>
          <w:sz w:val="32"/>
          <w:szCs w:val="32"/>
        </w:rPr>
        <w:t>目</w:t>
      </w:r>
      <w:r>
        <w:rPr>
          <w:rFonts w:hint="eastAsia" w:ascii="黑体" w:hAnsi="黑体" w:eastAsia="黑体" w:cs="黑体"/>
          <w:bCs/>
          <w:sz w:val="32"/>
          <w:szCs w:val="32"/>
          <w:lang w:eastAsia="zh-CN"/>
        </w:rPr>
        <w:t>标</w:t>
      </w:r>
    </w:p>
    <w:p>
      <w:pPr>
        <w:pStyle w:val="11"/>
        <w:keepNext w:val="0"/>
        <w:keepLines w:val="0"/>
        <w:pageBreakBefore w:val="0"/>
        <w:kinsoku/>
        <w:wordWrap/>
        <w:overflowPunct/>
        <w:topLinePunct w:val="0"/>
        <w:autoSpaceDE/>
        <w:autoSpaceDN/>
        <w:bidi w:val="0"/>
        <w:adjustRightInd/>
        <w:spacing w:before="0" w:after="0" w:line="560" w:lineRule="exact"/>
        <w:ind w:left="0" w:leftChars="0" w:right="0" w:rightChars="0" w:firstLine="640" w:firstLineChars="200"/>
        <w:jc w:val="both"/>
        <w:textAlignment w:val="auto"/>
        <w:rPr>
          <w:rFonts w:hint="default" w:ascii="仿宋_GB2312" w:hAnsi="仿宋" w:eastAsia="仿宋_GB2312" w:cs="仿宋"/>
          <w:b w:val="0"/>
          <w:bCs w:val="0"/>
          <w:kern w:val="2"/>
          <w:sz w:val="32"/>
          <w:szCs w:val="32"/>
          <w:lang w:val="en-US" w:eastAsia="zh-CN" w:bidi="ar-SA"/>
        </w:rPr>
      </w:pPr>
      <w:r>
        <w:rPr>
          <w:rFonts w:hint="eastAsia" w:ascii="仿宋_GB2312" w:hAnsi="仿宋" w:eastAsia="仿宋_GB2312" w:cs="仿宋"/>
          <w:b w:val="0"/>
          <w:bCs w:val="0"/>
          <w:kern w:val="2"/>
          <w:sz w:val="32"/>
          <w:szCs w:val="32"/>
          <w:lang w:val="en-US" w:eastAsia="zh-CN" w:bidi="ar-SA"/>
        </w:rPr>
        <w:t>完成“2025-2026年度龙华区青少年足球梯队竞训服务”项目落地执行，</w:t>
      </w:r>
      <w:r>
        <w:rPr>
          <w:rFonts w:hint="eastAsia" w:ascii="仿宋_GB2312" w:hAnsi="仿宋" w:eastAsia="仿宋_GB2312" w:cs="仿宋"/>
          <w:b w:val="0"/>
          <w:kern w:val="2"/>
          <w:sz w:val="32"/>
          <w:szCs w:val="32"/>
          <w:lang w:val="en-US" w:eastAsia="zh-CN" w:bidi="ar-SA"/>
        </w:rPr>
        <w:t>保持该项目运动在我区良好的发展势头，完善金字塔体系建设，提升各级梯队竟训水平，培育更多优质足球苗子。</w:t>
      </w:r>
    </w:p>
    <w:p>
      <w:pPr>
        <w:keepNext w:val="0"/>
        <w:keepLines w:val="0"/>
        <w:pageBreakBefore w:val="0"/>
        <w:widowControl/>
        <w:numPr>
          <w:ilvl w:val="0"/>
          <w:numId w:val="1"/>
        </w:numPr>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服务时间</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leftChars="200" w:right="0" w:rightChars="0" w:firstLine="320" w:firstLineChars="100"/>
        <w:jc w:val="both"/>
        <w:textAlignment w:val="auto"/>
        <w:rPr>
          <w:rFonts w:hint="eastAsia" w:ascii="黑体" w:hAnsi="黑体" w:eastAsia="仿宋_GB2312" w:cs="黑体"/>
          <w:bCs/>
          <w:sz w:val="32"/>
          <w:szCs w:val="32"/>
          <w:lang w:val="en"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11月—2026年11月</w:t>
      </w:r>
      <w:r>
        <w:rPr>
          <w:rFonts w:hint="eastAsia" w:ascii="仿宋_GB2312" w:hAnsi="仿宋_GB2312" w:eastAsia="仿宋_GB2312" w:cs="仿宋_GB2312"/>
          <w:sz w:val="32"/>
          <w:szCs w:val="32"/>
          <w:lang w:val="en" w:eastAsia="zh-CN"/>
        </w:rPr>
        <w:t>。</w:t>
      </w:r>
    </w:p>
    <w:p>
      <w:pPr>
        <w:keepNext w:val="0"/>
        <w:keepLines w:val="0"/>
        <w:pageBreakBefore w:val="0"/>
        <w:numPr>
          <w:ilvl w:val="0"/>
          <w:numId w:val="1"/>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及需求</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 w:eastAsia="仿宋_GB2312" w:cs="仿宋"/>
          <w:b w:val="0"/>
          <w:kern w:val="2"/>
          <w:sz w:val="32"/>
          <w:szCs w:val="32"/>
          <w:lang w:val="en-US" w:eastAsia="zh-CN" w:bidi="ar-SA"/>
        </w:rPr>
      </w:pPr>
      <w:r>
        <w:rPr>
          <w:rFonts w:hint="eastAsia" w:ascii="仿宋_GB2312" w:hAnsi="仿宋" w:eastAsia="仿宋_GB2312" w:cs="仿宋"/>
          <w:b w:val="0"/>
          <w:kern w:val="2"/>
          <w:sz w:val="32"/>
          <w:szCs w:val="32"/>
          <w:lang w:val="en-US" w:eastAsia="zh-CN" w:bidi="ar-SA"/>
        </w:rPr>
        <w:t>采购男子6支梯队和女子3支梯队，共9支梯队的竞赛训练保障服务，具体服务内容包括但不限于:选派9名持证足球教练员（需持有不低于中国足协D级教练员证）进驻龙华区青少年足球各级梯队，开展日常训练与比赛，配合梯队完成竞赛组织、训练指导、赛事保障、宣传推广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b w:val="0"/>
          <w:kern w:val="2"/>
          <w:sz w:val="32"/>
          <w:szCs w:val="32"/>
          <w:lang w:val="en-US" w:eastAsia="zh-CN" w:bidi="ar-SA"/>
        </w:rPr>
        <w:t>1.项目数量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 w:eastAsia="仿宋_GB2312" w:cs="仿宋"/>
          <w:b w:val="0"/>
          <w:kern w:val="2"/>
          <w:sz w:val="32"/>
          <w:szCs w:val="32"/>
          <w:lang w:val="en-US" w:eastAsia="zh-CN" w:bidi="ar-SA"/>
        </w:rPr>
      </w:pPr>
      <w:r>
        <w:rPr>
          <w:rFonts w:hint="eastAsia" w:ascii="仿宋_GB2312" w:hAnsi="仿宋" w:eastAsia="仿宋_GB2312" w:cs="仿宋"/>
          <w:b w:val="0"/>
          <w:bCs w:val="0"/>
          <w:kern w:val="2"/>
          <w:sz w:val="32"/>
          <w:szCs w:val="32"/>
          <w:lang w:val="en-US" w:eastAsia="zh-CN" w:bidi="ar-SA"/>
        </w:rPr>
        <w:t>竞训服务总计900课时</w:t>
      </w:r>
      <w:r>
        <w:rPr>
          <w:rFonts w:hint="eastAsia" w:ascii="仿宋_GB2312" w:hAnsi="仿宋" w:eastAsia="仿宋_GB2312" w:cs="仿宋"/>
          <w:b w:val="0"/>
          <w:kern w:val="2"/>
          <w:sz w:val="32"/>
          <w:szCs w:val="32"/>
          <w:lang w:val="en-US" w:eastAsia="zh-CN" w:bidi="ar-SA"/>
        </w:rPr>
        <w:t>，每支梯队100课时，男子6支梯队共需600课时，女子3支梯队共需300课时，每课时长不少于120分钟，竞训人数25-30人，竞训服务人员需持有不低于中国足协D级教练员证。</w:t>
      </w:r>
    </w:p>
    <w:p>
      <w:pPr>
        <w:pStyle w:val="8"/>
        <w:keepNext w:val="0"/>
        <w:keepLines w:val="0"/>
        <w:pageBreakBefore w:val="0"/>
        <w:widowControl w:val="0"/>
        <w:numPr>
          <w:ilvl w:val="0"/>
          <w:numId w:val="0"/>
        </w:numPr>
        <w:kinsoku/>
        <w:wordWrap/>
        <w:overflowPunct/>
        <w:topLinePunct w:val="0"/>
        <w:autoSpaceDE/>
        <w:autoSpaceDN/>
        <w:bidi w:val="0"/>
        <w:adjustRightInd/>
        <w:spacing w:after="0" w:line="560" w:lineRule="exact"/>
        <w:ind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2.其他需求</w:t>
      </w:r>
    </w:p>
    <w:p>
      <w:pPr>
        <w:pStyle w:val="8"/>
        <w:keepNext w:val="0"/>
        <w:keepLines w:val="0"/>
        <w:pageBreakBefore w:val="0"/>
        <w:widowControl w:val="0"/>
        <w:numPr>
          <w:ilvl w:val="0"/>
          <w:numId w:val="0"/>
        </w:numPr>
        <w:kinsoku/>
        <w:wordWrap/>
        <w:overflowPunct/>
        <w:topLinePunct w:val="0"/>
        <w:autoSpaceDE/>
        <w:autoSpaceDN/>
        <w:bidi w:val="0"/>
        <w:adjustRightInd/>
        <w:spacing w:after="0" w:line="560" w:lineRule="exact"/>
        <w:ind w:right="0" w:rightChars="0" w:firstLine="640" w:firstLineChars="200"/>
        <w:textAlignment w:val="auto"/>
        <w:rPr>
          <w:rFonts w:hint="default" w:eastAsia="仿宋_GB2312"/>
          <w:lang w:val="en-US" w:eastAsia="zh-CN"/>
        </w:rPr>
      </w:pPr>
      <w:r>
        <w:rPr>
          <w:rFonts w:hint="eastAsia" w:ascii="仿宋_GB2312" w:hAnsi="仿宋" w:eastAsia="仿宋_GB2312" w:cs="仿宋"/>
          <w:kern w:val="2"/>
          <w:sz w:val="32"/>
          <w:szCs w:val="32"/>
          <w:lang w:val="en-US" w:eastAsia="zh-CN" w:bidi="ar-SA"/>
        </w:rPr>
        <w:t>除完成项目需求的主要工作任务以外，服务商还需积极协助配合甲方足球梯队开展相关有助于展示提升我区青少年足球运动积极向上精神的事务。</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报价限额</w:t>
      </w:r>
    </w:p>
    <w:p>
      <w:pPr>
        <w:pStyle w:val="8"/>
        <w:keepNext w:val="0"/>
        <w:keepLines w:val="0"/>
        <w:pageBreakBefore w:val="0"/>
        <w:numPr>
          <w:ilvl w:val="0"/>
          <w:numId w:val="0"/>
        </w:numPr>
        <w:kinsoku/>
        <w:wordWrap/>
        <w:overflowPunct/>
        <w:topLinePunct w:val="0"/>
        <w:autoSpaceDE/>
        <w:autoSpaceDN/>
        <w:bidi w:val="0"/>
        <w:spacing w:after="0" w:line="560" w:lineRule="exact"/>
        <w:ind w:right="0" w:rightChars="0"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49.50万元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871"/>
        <w:gridCol w:w="3629"/>
        <w:gridCol w:w="1081"/>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top"/>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871" w:type="dxa"/>
            <w:noWrap w:val="0"/>
            <w:vAlign w:val="top"/>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项目</w:t>
            </w:r>
          </w:p>
        </w:tc>
        <w:tc>
          <w:tcPr>
            <w:tcW w:w="3629" w:type="dxa"/>
            <w:noWrap w:val="0"/>
            <w:vAlign w:val="top"/>
          </w:tcPr>
          <w:p>
            <w:pPr>
              <w:pStyle w:val="8"/>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内容说明</w:t>
            </w:r>
          </w:p>
        </w:tc>
        <w:tc>
          <w:tcPr>
            <w:tcW w:w="1081" w:type="dxa"/>
            <w:noWrap w:val="0"/>
            <w:vAlign w:val="top"/>
          </w:tcPr>
          <w:p>
            <w:pPr>
              <w:pStyle w:val="8"/>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w:t>
            </w:r>
          </w:p>
        </w:tc>
        <w:tc>
          <w:tcPr>
            <w:tcW w:w="1000" w:type="dxa"/>
            <w:noWrap w:val="0"/>
            <w:vAlign w:val="top"/>
          </w:tcPr>
          <w:p>
            <w:pPr>
              <w:pStyle w:val="8"/>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928"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871"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男子6支梯队竞训服务</w:t>
            </w:r>
          </w:p>
        </w:tc>
        <w:tc>
          <w:tcPr>
            <w:tcW w:w="3629" w:type="dxa"/>
            <w:vMerge w:val="restart"/>
            <w:noWrap w:val="0"/>
            <w:vAlign w:val="center"/>
          </w:tcPr>
          <w:p>
            <w:pPr>
              <w:pStyle w:val="8"/>
              <w:spacing w:after="0" w:line="560" w:lineRule="exact"/>
              <w:ind w:left="0" w:leftChars="0" w:right="0" w:rightChars="0" w:firstLine="0" w:firstLineChars="0"/>
              <w:jc w:val="both"/>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lang w:eastAsia="zh-CN"/>
              </w:rPr>
              <w:t>开展日常训练与比赛工作，配合梯队完成竞赛组织、训练指导、赛事保障、宣传推广等工作。                                                                                                 2、每课时长不少于120分钟，竞训人数25-30人，竞训服务人员需持有不低于中国足协D级教练员证。</w:t>
            </w:r>
          </w:p>
        </w:tc>
        <w:tc>
          <w:tcPr>
            <w:tcW w:w="1081"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eastAsia="zh-CN"/>
              </w:rPr>
              <w:t>课时</w:t>
            </w:r>
          </w:p>
        </w:tc>
        <w:tc>
          <w:tcPr>
            <w:tcW w:w="1000"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32"/>
                <w:szCs w:val="32"/>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1871"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女子</w:t>
            </w:r>
            <w:r>
              <w:rPr>
                <w:rFonts w:hint="eastAsia"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lang w:eastAsia="zh-CN"/>
              </w:rPr>
              <w:t>支梯队竞训服务</w:t>
            </w:r>
          </w:p>
        </w:tc>
        <w:tc>
          <w:tcPr>
            <w:tcW w:w="3629" w:type="dxa"/>
            <w:vMerge w:val="continue"/>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p>
        </w:tc>
        <w:tc>
          <w:tcPr>
            <w:tcW w:w="1081"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28"/>
                <w:szCs w:val="28"/>
                <w:vertAlign w:val="baseline"/>
                <w:lang w:eastAsia="zh-CN"/>
              </w:rPr>
              <w:t>课时</w:t>
            </w:r>
          </w:p>
        </w:tc>
        <w:tc>
          <w:tcPr>
            <w:tcW w:w="1000"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32"/>
                <w:szCs w:val="32"/>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trPr>
        <w:tc>
          <w:tcPr>
            <w:tcW w:w="2799"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2"/>
                <w:sz w:val="28"/>
                <w:szCs w:val="28"/>
                <w:vertAlign w:val="baseline"/>
                <w:lang w:val="en-US" w:eastAsia="zh-CN" w:bidi="ar-SA"/>
              </w:rPr>
              <w:t>供应商报价（元）：</w:t>
            </w:r>
          </w:p>
        </w:tc>
        <w:tc>
          <w:tcPr>
            <w:tcW w:w="5710" w:type="dxa"/>
            <w:gridSpan w:val="3"/>
            <w:noWrap w:val="0"/>
            <w:vAlign w:val="center"/>
          </w:tcPr>
          <w:p>
            <w:pPr>
              <w:keepNext w:val="0"/>
              <w:keepLines w:val="0"/>
              <w:widowControl/>
              <w:suppressLineNumbers w:val="0"/>
              <w:snapToGrid w:val="0"/>
              <w:jc w:val="both"/>
              <w:textAlignment w:val="center"/>
              <w:rPr>
                <w:rFonts w:hint="eastAsia" w:ascii="微软雅黑" w:hAnsi="微软雅黑" w:eastAsia="微软雅黑" w:cs="微软雅黑"/>
                <w:i w:val="0"/>
                <w:iCs w:val="0"/>
                <w:color w:val="000000"/>
                <w:kern w:val="0"/>
                <w:sz w:val="24"/>
                <w:szCs w:val="24"/>
                <w:u w:val="none"/>
                <w:lang w:val="en-US" w:eastAsia="zh-CN" w:bidi="ar"/>
              </w:rPr>
            </w:pPr>
          </w:p>
        </w:tc>
      </w:tr>
    </w:tbl>
    <w:p>
      <w:pPr>
        <w:pStyle w:val="8"/>
        <w:keepNext w:val="0"/>
        <w:keepLines w:val="0"/>
        <w:pageBreakBefore w:val="0"/>
        <w:numPr>
          <w:ilvl w:val="0"/>
          <w:numId w:val="0"/>
        </w:numPr>
        <w:kinsoku/>
        <w:wordWrap/>
        <w:overflowPunct/>
        <w:topLinePunct w:val="0"/>
        <w:autoSpaceDE/>
        <w:autoSpaceDN/>
        <w:bidi w:val="0"/>
        <w:spacing w:after="0" w:line="240" w:lineRule="auto"/>
        <w:ind w:right="0" w:rightChars="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16"/>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6"/>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6"/>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 w:eastAsia="仿宋_GB2312"/>
          <w:color w:val="auto"/>
          <w:sz w:val="32"/>
          <w:highlight w:val="none"/>
        </w:rPr>
      </w:pPr>
      <w:r>
        <w:rPr>
          <w:rFonts w:hint="eastAsia" w:ascii="仿宋_GB2312" w:hAnsi="仿宋" w:eastAsia="仿宋_GB2312"/>
          <w:color w:val="auto"/>
          <w:sz w:val="32"/>
          <w:highlight w:val="none"/>
          <w:lang w:eastAsia="zh-CN"/>
        </w:rPr>
        <w:t>综合评分</w:t>
      </w:r>
      <w:r>
        <w:rPr>
          <w:rFonts w:hint="eastAsia" w:ascii="仿宋_GB2312" w:hAnsi="仿宋" w:eastAsia="仿宋_GB2312"/>
          <w:color w:val="auto"/>
          <w:sz w:val="32"/>
          <w:highlight w:val="none"/>
        </w:rPr>
        <w:t>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5"/>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color w:val="000000"/>
          <w:sz w:val="32"/>
          <w:szCs w:val="32"/>
          <w:lang w:val="en-US" w:eastAsia="zh-CN"/>
        </w:rPr>
      </w:pPr>
      <w:r>
        <w:rPr>
          <w:rFonts w:hint="eastAsia" w:ascii="楷体" w:hAnsi="楷体" w:eastAsia="楷体" w:cs="楷体"/>
          <w:b w:val="0"/>
          <w:bCs/>
          <w:color w:val="000000"/>
          <w:sz w:val="32"/>
          <w:szCs w:val="32"/>
        </w:rPr>
        <w:t>（二）评分权重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2234"/>
        <w:gridCol w:w="2100"/>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821" w:type="dxa"/>
            <w:noWrap w:val="0"/>
            <w:vAlign w:val="center"/>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234" w:type="dxa"/>
            <w:noWrap w:val="0"/>
            <w:vAlign w:val="center"/>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商务能力</w:t>
            </w:r>
          </w:p>
        </w:tc>
        <w:tc>
          <w:tcPr>
            <w:tcW w:w="2100" w:type="dxa"/>
            <w:noWrap w:val="0"/>
            <w:vAlign w:val="center"/>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技术能力</w:t>
            </w:r>
          </w:p>
        </w:tc>
        <w:tc>
          <w:tcPr>
            <w:tcW w:w="2249" w:type="dxa"/>
            <w:noWrap w:val="0"/>
            <w:vAlign w:val="center"/>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5" w:hRule="atLeast"/>
          <w:jc w:val="center"/>
        </w:trPr>
        <w:tc>
          <w:tcPr>
            <w:tcW w:w="1821" w:type="dxa"/>
            <w:noWrap w:val="0"/>
            <w:vAlign w:val="center"/>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234" w:type="dxa"/>
            <w:noWrap w:val="0"/>
            <w:vAlign w:val="center"/>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default"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30分</w:t>
            </w:r>
          </w:p>
        </w:tc>
        <w:tc>
          <w:tcPr>
            <w:tcW w:w="2100" w:type="dxa"/>
            <w:noWrap w:val="0"/>
            <w:vAlign w:val="center"/>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40</w:t>
            </w:r>
            <w:r>
              <w:rPr>
                <w:rFonts w:hint="eastAsia" w:ascii="仿宋_GB2312" w:hAnsi="仿宋_GB2312" w:eastAsia="仿宋_GB2312" w:cs="仿宋_GB2312"/>
                <w:b w:val="0"/>
                <w:bCs/>
                <w:szCs w:val="24"/>
              </w:rPr>
              <w:t>分</w:t>
            </w:r>
          </w:p>
        </w:tc>
        <w:tc>
          <w:tcPr>
            <w:tcW w:w="2249" w:type="dxa"/>
            <w:noWrap w:val="0"/>
            <w:vAlign w:val="center"/>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r>
    </w:tbl>
    <w:p>
      <w:pPr>
        <w:pStyle w:val="15"/>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gridSpan w:val="3"/>
            <w:noWrap w:val="0"/>
            <w:vAlign w:val="top"/>
          </w:tcPr>
          <w:p>
            <w:pPr>
              <w:spacing w:line="560" w:lineRule="exact"/>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widowControl/>
              <w:numPr>
                <w:ilvl w:val="0"/>
                <w:numId w:val="2"/>
              </w:numPr>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w:t>
            </w:r>
            <w:r>
              <w:rPr>
                <w:rFonts w:hint="eastAsia" w:ascii="仿宋_GB2312" w:hAnsi="宋体" w:eastAsia="仿宋_GB2312" w:cs="仿宋_GB2312"/>
                <w:i w:val="0"/>
                <w:iCs w:val="0"/>
                <w:color w:val="000000"/>
                <w:kern w:val="0"/>
                <w:sz w:val="24"/>
                <w:szCs w:val="24"/>
                <w:u w:val="none"/>
                <w:lang w:val="en-US" w:eastAsia="zh-CN" w:bidi="ar"/>
              </w:rPr>
              <w:t>具有同类项目业绩。</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2、每提供一个得5分，最高得10分。</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1.提供项目合同关键页扫描件；</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2.同一项目及续签项目不重复计分；</w:t>
            </w:r>
          </w:p>
          <w:p>
            <w:pPr>
              <w:topLinePunct/>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3.未提供证明材料或者提供的证明材料不符合要求或提供的证明材料不清晰采购监督小组无法辨认的，不得分。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143" w:type="dxa"/>
            <w:noWrap w:val="0"/>
            <w:vAlign w:val="center"/>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left"/>
              <w:rPr>
                <w:rFonts w:hint="eastAsia" w:ascii="仿宋_GB2312" w:hAnsi="仿宋_GB2312" w:eastAsia="仿宋_GB2312" w:cs="仿宋_GB2312"/>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具备足够的师资团队，能够提供D级及以上足球教练员证书，每提供一个得1分，最高得10分。</w:t>
            </w:r>
          </w:p>
          <w:p>
            <w:pPr>
              <w:keepNext w:val="0"/>
              <w:keepLines w:val="0"/>
              <w:widowControl/>
              <w:numPr>
                <w:ilvl w:val="0"/>
                <w:numId w:val="0"/>
              </w:numPr>
              <w:suppressLineNumbers w:val="0"/>
              <w:jc w:val="left"/>
              <w:textAlignment w:val="center"/>
              <w:rPr>
                <w:rFonts w:hint="default"/>
                <w:lang w:val="en-US" w:eastAsia="zh-CN"/>
              </w:rPr>
            </w:pPr>
            <w:r>
              <w:rPr>
                <w:rFonts w:hint="eastAsia" w:ascii="仿宋_GB2312" w:hAnsi="宋体" w:eastAsia="仿宋_GB2312" w:cs="仿宋_GB2312"/>
                <w:i w:val="0"/>
                <w:iCs w:val="0"/>
                <w:color w:val="000000"/>
                <w:kern w:val="0"/>
                <w:sz w:val="24"/>
                <w:szCs w:val="24"/>
                <w:u w:val="none"/>
                <w:lang w:val="en-US" w:eastAsia="zh-CN" w:bidi="ar"/>
              </w:rPr>
              <w:t>1.提供项目团队成员足球教练员证书（复印件）；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2.未提供证明材料或者提供的证明材料不符合要求或提供的证明材料不清晰评审无法辨认的，不得分。</w:t>
            </w:r>
          </w:p>
          <w:p>
            <w:pPr>
              <w:topLinePunct/>
              <w:snapToGrid w:val="0"/>
              <w:jc w:val="left"/>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3.项目实施教练员应与投标提供教练人员一致。</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证书材料</w:t>
            </w:r>
            <w:r>
              <w:rPr>
                <w:rFonts w:hint="eastAsia" w:ascii="仿宋_GB2312" w:hAnsi="仿宋_GB2312" w:eastAsia="仿宋_GB2312" w:cs="仿宋_GB2312"/>
                <w:sz w:val="24"/>
                <w:szCs w:val="24"/>
                <w:lang w:eastAsia="zh-CN"/>
              </w:rPr>
              <w:t>需真实有效，原件备查</w:t>
            </w:r>
            <w:r>
              <w:rPr>
                <w:rFonts w:hint="eastAsia" w:ascii="仿宋_GB2312" w:hAnsi="仿宋_GB2312" w:eastAsia="仿宋_GB2312" w:cs="仿宋_GB2312"/>
                <w:sz w:val="24"/>
                <w:szCs w:val="24"/>
              </w:rPr>
              <w:t>。</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诚信</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w:t>
            </w:r>
          </w:p>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（5分）</w:t>
            </w:r>
          </w:p>
        </w:tc>
        <w:tc>
          <w:tcPr>
            <w:tcW w:w="6143" w:type="dxa"/>
            <w:noWrap w:val="0"/>
            <w:vAlign w:val="top"/>
          </w:tcPr>
          <w:p>
            <w:pPr>
              <w:topLinePunct/>
              <w:snapToGrid w:val="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违约</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（5分）</w:t>
            </w:r>
          </w:p>
        </w:tc>
        <w:tc>
          <w:tcPr>
            <w:tcW w:w="6143"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1.严格按照招标文件及投标承诺履行义务；</w:t>
            </w:r>
          </w:p>
          <w:p>
            <w:pPr>
              <w:spacing w:line="324"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2.合同履行期间如若违约，由此造成的损失由投标人承担</w:t>
            </w:r>
            <w:r>
              <w:rPr>
                <w:rFonts w:hint="eastAsia" w:ascii="仿宋_GB2312" w:hAnsi="仿宋_GB2312" w:eastAsia="仿宋_GB2312" w:cs="仿宋_GB2312"/>
                <w:sz w:val="24"/>
                <w:szCs w:val="24"/>
                <w:lang w:eastAsia="zh-CN"/>
              </w:rPr>
              <w:t>。</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部分</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（20分）</w:t>
            </w:r>
          </w:p>
        </w:tc>
        <w:tc>
          <w:tcPr>
            <w:tcW w:w="6143"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满足以上任意一项要求得3分，最高得12分，在此基础上。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1.优：项目实施方案内容全面、具体、针对性强、科学合理、可操作性强得8分；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2.良：项目实施方案内容较全面、较具体、针对性较强、较科学合理、可操作性较强得5分；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3.中：项目实施方案内容较基本全面、一般具体、针对性一般、一般科学合理、可操作性一般得3分；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center"/>
              <w:rPr>
                <w:rFonts w:hint="eastAsia"/>
                <w:lang w:eastAsia="zh-CN"/>
              </w:rPr>
            </w:pPr>
            <w:r>
              <w:rPr>
                <w:rFonts w:hint="eastAsia" w:ascii="仿宋_GB2312" w:hAnsi="仿宋_GB2312" w:eastAsia="仿宋_GB2312" w:cs="仿宋_GB2312"/>
                <w:sz w:val="24"/>
                <w:szCs w:val="24"/>
                <w:vertAlign w:val="baseline"/>
                <w:lang w:val="en-US" w:eastAsia="zh-CN"/>
              </w:rPr>
              <w:t>（20分）</w:t>
            </w:r>
          </w:p>
        </w:tc>
        <w:tc>
          <w:tcPr>
            <w:tcW w:w="6143"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3.向招标方提出项目实施及与其他建设项目协调的具体建议。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5"/>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8"/>
        <w:spacing w:after="0" w:line="560" w:lineRule="exact"/>
        <w:ind w:left="0" w:leftChars="0" w:right="0" w:rightChars="0" w:firstLine="640"/>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8"/>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8"/>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sz w:val="32"/>
        </w:rPr>
        <w:t>7份密封纸质版投标资料至本单位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 w:eastAsia="仿宋_GB2312" w:cs="仿宋"/>
          <w:b w:val="0"/>
          <w:bCs w:val="0"/>
          <w:kern w:val="2"/>
          <w:sz w:val="32"/>
          <w:szCs w:val="32"/>
          <w:lang w:val="en-US" w:eastAsia="zh-CN" w:bidi="ar-SA"/>
        </w:rPr>
        <w:t>2025-2026年度龙华区青少年足球梯队竞训服务项目</w:t>
      </w:r>
      <w:r>
        <w:rPr>
          <w:rFonts w:hint="eastAsia" w:ascii="仿宋_GB2312" w:hAnsi="仿宋_GB2312" w:eastAsia="仿宋_GB2312" w:cs="仿宋_GB2312"/>
          <w:color w:val="000000"/>
          <w:kern w:val="0"/>
          <w:sz w:val="32"/>
          <w:szCs w:val="32"/>
          <w:lang w:val="en-US" w:eastAsia="zh-CN"/>
        </w:rPr>
        <w:t>+公司全称+日期+联系人+联系方式”。</w:t>
      </w:r>
    </w:p>
    <w:p>
      <w:pPr>
        <w:pStyle w:val="8"/>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ascii="仿宋_GB2312" w:hAnsi="仿宋" w:eastAsia="仿宋_GB2312" w:cs="Times New Roman"/>
          <w:sz w:val="32"/>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default" w:ascii="黑体" w:hAnsi="黑体" w:eastAsia="黑体" w:cs="黑体"/>
          <w:color w:val="000000"/>
          <w:sz w:val="32"/>
          <w:szCs w:val="32"/>
          <w:lang w:val="en-US" w:eastAsia="zh-CN"/>
        </w:rPr>
      </w:pPr>
      <w:bookmarkStart w:id="1" w:name="_GoBack"/>
      <w:bookmarkEnd w:id="1"/>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6"/>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textAlignment w:val="auto"/>
        <w:rPr>
          <w:rFonts w:hint="eastAsia" w:ascii="仿宋_GB2312" w:hAnsi="仿宋" w:eastAsia="仿宋_GB2312" w:cs="Times New Roman"/>
          <w:color w:val="auto"/>
          <w:kern w:val="2"/>
          <w:sz w:val="32"/>
          <w:szCs w:val="22"/>
          <w:highlight w:val="none"/>
          <w:lang w:val="en-US" w:eastAsia="zh-CN" w:bidi="ar-SA"/>
        </w:rPr>
      </w:pPr>
    </w:p>
    <w:sectPr>
      <w:pgSz w:w="11906" w:h="16838"/>
      <w:pgMar w:top="2098" w:right="1474" w:bottom="198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6842D"/>
    <w:multiLevelType w:val="singleLevel"/>
    <w:tmpl w:val="A686842D"/>
    <w:lvl w:ilvl="0" w:tentative="0">
      <w:start w:val="1"/>
      <w:numFmt w:val="decimal"/>
      <w:suff w:val="nothing"/>
      <w:lvlText w:val="%1、"/>
      <w:lvlJc w:val="left"/>
    </w:lvl>
  </w:abstractNum>
  <w:abstractNum w:abstractNumId="1">
    <w:nsid w:val="D00ABEA2"/>
    <w:multiLevelType w:val="singleLevel"/>
    <w:tmpl w:val="D00ABEA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ZTMwN2Y3NDYwNDBhNDA3NTFiMzA0ZThhZWM1M2EifQ=="/>
  </w:docVars>
  <w:rsids>
    <w:rsidRoot w:val="FFF64914"/>
    <w:rsid w:val="022D2583"/>
    <w:rsid w:val="04156FEE"/>
    <w:rsid w:val="04DA3C98"/>
    <w:rsid w:val="065C0130"/>
    <w:rsid w:val="08280FDD"/>
    <w:rsid w:val="093519D6"/>
    <w:rsid w:val="09A348EC"/>
    <w:rsid w:val="0AFF2B8D"/>
    <w:rsid w:val="0CC37F97"/>
    <w:rsid w:val="0CC64248"/>
    <w:rsid w:val="0D3B14CC"/>
    <w:rsid w:val="0DCB70C7"/>
    <w:rsid w:val="0DEB2ED9"/>
    <w:rsid w:val="0EBE5F66"/>
    <w:rsid w:val="10727C56"/>
    <w:rsid w:val="11671282"/>
    <w:rsid w:val="133E79B2"/>
    <w:rsid w:val="158F0318"/>
    <w:rsid w:val="16E95A31"/>
    <w:rsid w:val="1952777C"/>
    <w:rsid w:val="1A0F5A3B"/>
    <w:rsid w:val="1EF41A96"/>
    <w:rsid w:val="1F4A28AD"/>
    <w:rsid w:val="21C81DCC"/>
    <w:rsid w:val="23543384"/>
    <w:rsid w:val="24E60886"/>
    <w:rsid w:val="24EC63D7"/>
    <w:rsid w:val="299D02AB"/>
    <w:rsid w:val="2A656A11"/>
    <w:rsid w:val="2A981691"/>
    <w:rsid w:val="2B1B2F6C"/>
    <w:rsid w:val="2C0E43B3"/>
    <w:rsid w:val="2DFA335A"/>
    <w:rsid w:val="2FCEC403"/>
    <w:rsid w:val="2FDD3D85"/>
    <w:rsid w:val="3112256A"/>
    <w:rsid w:val="31B92195"/>
    <w:rsid w:val="32926A59"/>
    <w:rsid w:val="33555B00"/>
    <w:rsid w:val="33884B38"/>
    <w:rsid w:val="33F04D94"/>
    <w:rsid w:val="344B04D7"/>
    <w:rsid w:val="34533E9C"/>
    <w:rsid w:val="37064312"/>
    <w:rsid w:val="3802779A"/>
    <w:rsid w:val="3922473E"/>
    <w:rsid w:val="3E682227"/>
    <w:rsid w:val="3FC3194A"/>
    <w:rsid w:val="417C5297"/>
    <w:rsid w:val="43E06181"/>
    <w:rsid w:val="46873754"/>
    <w:rsid w:val="488C5E2B"/>
    <w:rsid w:val="490F694D"/>
    <w:rsid w:val="4EBD7546"/>
    <w:rsid w:val="4F542715"/>
    <w:rsid w:val="4F980780"/>
    <w:rsid w:val="5A701CD3"/>
    <w:rsid w:val="5C8A78F3"/>
    <w:rsid w:val="5EEA7876"/>
    <w:rsid w:val="60E17A84"/>
    <w:rsid w:val="64574B58"/>
    <w:rsid w:val="64874E86"/>
    <w:rsid w:val="66001345"/>
    <w:rsid w:val="665673CF"/>
    <w:rsid w:val="673E6E35"/>
    <w:rsid w:val="68947802"/>
    <w:rsid w:val="6A162F93"/>
    <w:rsid w:val="6AA77C70"/>
    <w:rsid w:val="6BDFA046"/>
    <w:rsid w:val="710B2583"/>
    <w:rsid w:val="72033FF7"/>
    <w:rsid w:val="72316892"/>
    <w:rsid w:val="72604BA5"/>
    <w:rsid w:val="734447EF"/>
    <w:rsid w:val="7426344D"/>
    <w:rsid w:val="768173C3"/>
    <w:rsid w:val="76872767"/>
    <w:rsid w:val="76ED0E45"/>
    <w:rsid w:val="78321893"/>
    <w:rsid w:val="793795FC"/>
    <w:rsid w:val="7A9C7B31"/>
    <w:rsid w:val="7C2633D0"/>
    <w:rsid w:val="7D02505B"/>
    <w:rsid w:val="7D487302"/>
    <w:rsid w:val="7DA247CB"/>
    <w:rsid w:val="7E9727EF"/>
    <w:rsid w:val="7F121FCA"/>
    <w:rsid w:val="7FFD264E"/>
    <w:rsid w:val="B5EED450"/>
    <w:rsid w:val="B7F491BE"/>
    <w:rsid w:val="D7BD82A1"/>
    <w:rsid w:val="DBDF2314"/>
    <w:rsid w:val="ECF76FEF"/>
    <w:rsid w:val="F375C07F"/>
    <w:rsid w:val="FFDF2EB3"/>
    <w:rsid w:val="FFF64914"/>
    <w:rsid w:val="FFFBD3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rPr>
  </w:style>
  <w:style w:type="paragraph" w:styleId="6">
    <w:name w:val="Normal Indent"/>
    <w:basedOn w:val="1"/>
    <w:qFormat/>
    <w:uiPriority w:val="0"/>
    <w:pPr>
      <w:ind w:firstLine="420"/>
    </w:pPr>
    <w:rPr>
      <w:szCs w:val="20"/>
    </w:rPr>
  </w:style>
  <w:style w:type="paragraph" w:styleId="7">
    <w:name w:val="Body Text"/>
    <w:basedOn w:val="1"/>
    <w:next w:val="1"/>
    <w:qFormat/>
    <w:uiPriority w:val="99"/>
    <w:pPr>
      <w:spacing w:line="360" w:lineRule="auto"/>
    </w:pPr>
    <w:rPr>
      <w:b/>
      <w:sz w:val="24"/>
      <w:szCs w:val="24"/>
    </w:rPr>
  </w:style>
  <w:style w:type="paragraph" w:styleId="8">
    <w:name w:val="Block Text"/>
    <w:basedOn w:val="1"/>
    <w:qFormat/>
    <w:uiPriority w:val="0"/>
    <w:pPr>
      <w:tabs>
        <w:tab w:val="left" w:pos="426"/>
      </w:tabs>
      <w:spacing w:after="120"/>
      <w:ind w:left="1440" w:leftChars="700" w:right="1440" w:rightChars="70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USE 1"/>
    <w:basedOn w:val="1"/>
    <w:qFormat/>
    <w:uiPriority w:val="0"/>
    <w:pPr>
      <w:spacing w:line="200" w:lineRule="atLeast"/>
      <w:jc w:val="left"/>
    </w:pPr>
    <w:rPr>
      <w:rFonts w:ascii="宋体" w:hAnsi="宋体"/>
      <w:b/>
      <w:sz w:val="24"/>
      <w:szCs w:val="28"/>
    </w:rPr>
  </w:style>
  <w:style w:type="paragraph" w:styleId="16">
    <w:name w:val="List Paragraph"/>
    <w:basedOn w:val="17"/>
    <w:qFormat/>
    <w:uiPriority w:val="34"/>
    <w:pPr>
      <w:ind w:firstLine="420" w:firstLineChars="200"/>
    </w:pPr>
  </w:style>
  <w:style w:type="paragraph" w:customStyle="1" w:styleId="17">
    <w:name w:val="星耀正文"/>
    <w:basedOn w:val="1"/>
    <w:qFormat/>
    <w:uiPriority w:val="3"/>
    <w:pPr>
      <w:ind w:firstLine="422" w:firstLineChars="200"/>
    </w:pPr>
    <w:rPr>
      <w:rFonts w:ascii="宋体" w:hAnsi="宋体" w:eastAsia="仿宋_GB2312"/>
      <w:bCs/>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3844</Words>
  <Characters>4018</Characters>
  <Lines>0</Lines>
  <Paragraphs>0</Paragraphs>
  <TotalTime>2</TotalTime>
  <ScaleCrop>false</ScaleCrop>
  <LinksUpToDate>false</LinksUpToDate>
  <CharactersWithSpaces>4239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2021-12-23T11:00:00Z</dcterms:created>
  <dc:creator>lihui123</dc:creator>
  <cp:lastModifiedBy>lxy</cp:lastModifiedBy>
  <cp:lastPrinted>2025-09-12T00:49:00Z</cp:lastPrinted>
  <dcterms:modified xsi:type="dcterms:W3CDTF">2025-11-05T17:24:09Z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5BA518C0CCE04FB5B05609E5855F2F4A_13</vt:lpwstr>
  </property>
  <property fmtid="{D5CDD505-2E9C-101B-9397-08002B2CF9AE}" pid="4" name="KSOTemplateDocerSaveRecord">
    <vt:lpwstr>eyJoZGlkIjoiYWQ3ZTMwN2Y3NDYwNDBhNDA3NTFiMzA0ZThhZWM1M2EiLCJ1c2VySWQiOiI0Mzg4MDM0NDUifQ==</vt:lpwstr>
  </property>
</Properties>
</file>