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简体" w:hAnsi="方正小标宋简体" w:eastAsia="方正小标宋简体" w:cs="方正小标宋简体"/>
          <w:b w:val="0"/>
          <w:bCs w:val="0"/>
          <w:sz w:val="44"/>
          <w:szCs w:val="44"/>
          <w:lang w:val="en-US" w:eastAsia="zh-CN"/>
        </w:rPr>
      </w:pPr>
      <w:r>
        <w:rPr>
          <w:rFonts w:hint="default" w:ascii="方正小标宋简体" w:hAnsi="方正小标宋简体" w:eastAsia="方正小标宋简体" w:cs="方正小标宋简体"/>
          <w:b w:val="0"/>
          <w:bCs w:val="0"/>
          <w:sz w:val="44"/>
          <w:szCs w:val="44"/>
          <w:lang w:val="en-US" w:eastAsia="zh-CN"/>
        </w:rPr>
        <w:t>2026年龙华区“体彩杯”系列赛</w:t>
      </w:r>
    </w:p>
    <w:p>
      <w:pPr>
        <w:spacing w:line="560" w:lineRule="exact"/>
        <w:jc w:val="center"/>
        <w:rPr>
          <w:rFonts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b w:val="0"/>
          <w:bCs w:val="0"/>
          <w:sz w:val="44"/>
          <w:szCs w:val="44"/>
          <w:lang w:val="en-US" w:eastAsia="zh-CN"/>
        </w:rPr>
        <w:t>项目</w:t>
      </w:r>
      <w:r>
        <w:rPr>
          <w:rFonts w:hint="eastAsia" w:ascii="方正小标宋简体" w:hAnsi="方正小标宋简体" w:eastAsia="方正小标宋简体" w:cs="方正小标宋简体"/>
          <w:sz w:val="44"/>
          <w:szCs w:val="44"/>
        </w:rPr>
        <w:t>需求书</w:t>
      </w:r>
    </w:p>
    <w:p>
      <w:pPr>
        <w:pStyle w:val="7"/>
        <w:spacing w:line="560" w:lineRule="exact"/>
        <w:jc w:val="center"/>
        <w:rPr>
          <w:rFonts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eastAsia="仿宋_GB2312"/>
          <w:lang w:eastAsia="zh-CN"/>
        </w:rPr>
      </w:pPr>
      <w:r>
        <w:rPr>
          <w:rFonts w:hint="eastAsia" w:ascii="仿宋_GB2312" w:hAnsi="仿宋" w:eastAsia="仿宋_GB2312" w:cs="仿宋"/>
          <w:kern w:val="2"/>
          <w:sz w:val="32"/>
          <w:szCs w:val="32"/>
          <w:lang w:val="en-US" w:eastAsia="zh-CN" w:bidi="ar-SA"/>
        </w:rPr>
        <w:t>完成</w:t>
      </w:r>
      <w:r>
        <w:rPr>
          <w:rFonts w:hint="default" w:ascii="仿宋_GB2312" w:hAnsi="仿宋_GB2312" w:eastAsia="仿宋_GB2312" w:cs="仿宋_GB2312"/>
          <w:kern w:val="2"/>
          <w:sz w:val="32"/>
          <w:szCs w:val="20"/>
          <w:lang w:val="en-US" w:eastAsia="zh-CN" w:bidi="ar-SA"/>
        </w:rPr>
        <w:t>2026年龙华区“体彩杯”系列赛项目</w:t>
      </w:r>
      <w:r>
        <w:rPr>
          <w:rFonts w:hint="eastAsia" w:ascii="仿宋_GB2312" w:hAnsi="仿宋" w:eastAsia="仿宋_GB2312" w:cs="仿宋"/>
          <w:kern w:val="2"/>
          <w:sz w:val="32"/>
          <w:szCs w:val="32"/>
          <w:lang w:val="en-US" w:eastAsia="zh-CN" w:bidi="ar-SA"/>
        </w:rPr>
        <w:t>落地执行。</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default" w:ascii="仿宋_GB2312" w:eastAsia="仿宋_GB2312"/>
          <w:sz w:val="32"/>
          <w:szCs w:val="32"/>
          <w:lang w:val="en" w:eastAsia="zh-CN"/>
        </w:rPr>
        <w:t>202</w:t>
      </w:r>
      <w:r>
        <w:rPr>
          <w:rFonts w:hint="eastAsia" w:ascii="仿宋_GB2312" w:eastAsia="仿宋_GB2312"/>
          <w:sz w:val="32"/>
          <w:szCs w:val="32"/>
          <w:lang w:val="en-US" w:eastAsia="zh-CN"/>
        </w:rPr>
        <w:t>6</w:t>
      </w:r>
      <w:r>
        <w:rPr>
          <w:rFonts w:hint="default" w:ascii="仿宋_GB2312" w:eastAsia="仿宋_GB2312"/>
          <w:sz w:val="32"/>
          <w:szCs w:val="32"/>
          <w:lang w:val="en" w:eastAsia="zh-CN"/>
        </w:rPr>
        <w:t>年</w:t>
      </w:r>
      <w:r>
        <w:rPr>
          <w:rFonts w:hint="eastAsia" w:ascii="仿宋_GB2312" w:eastAsia="仿宋_GB2312"/>
          <w:sz w:val="32"/>
          <w:szCs w:val="32"/>
          <w:lang w:val="en-US" w:eastAsia="zh-CN"/>
        </w:rPr>
        <w:t>3月-8</w:t>
      </w:r>
      <w:r>
        <w:rPr>
          <w:rFonts w:hint="default" w:ascii="仿宋_GB2312" w:eastAsia="仿宋_GB2312"/>
          <w:sz w:val="32"/>
          <w:szCs w:val="32"/>
          <w:lang w:val="en" w:eastAsia="zh-CN"/>
        </w:rPr>
        <w:t>月</w:t>
      </w:r>
      <w:r>
        <w:rPr>
          <w:rFonts w:hint="eastAsia" w:ascii="仿宋_GB2312" w:eastAsia="仿宋_GB2312"/>
          <w:sz w:val="32"/>
          <w:szCs w:val="32"/>
          <w:lang w:val="en" w:eastAsia="zh-CN"/>
        </w:rPr>
        <w:t>（</w:t>
      </w:r>
      <w:r>
        <w:rPr>
          <w:rFonts w:hint="eastAsia" w:ascii="仿宋_GB2312" w:eastAsia="仿宋_GB2312"/>
          <w:sz w:val="32"/>
          <w:szCs w:val="32"/>
          <w:lang w:val="en-US" w:eastAsia="zh-CN"/>
        </w:rPr>
        <w:t>暂定</w:t>
      </w:r>
      <w:r>
        <w:rPr>
          <w:rFonts w:hint="eastAsia" w:ascii="仿宋_GB2312" w:eastAsia="仿宋_GB2312"/>
          <w:sz w:val="32"/>
          <w:szCs w:val="32"/>
          <w:lang w:eastAsia="zh-CN"/>
        </w:rPr>
        <w:t>）</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rPr>
      </w:pPr>
      <w:r>
        <w:rPr>
          <w:rFonts w:hint="eastAsia" w:ascii="仿宋_GB2312" w:hAnsi="仿宋_GB2312" w:eastAsia="仿宋_GB2312" w:cs="仿宋_GB2312"/>
          <w:b w:val="0"/>
          <w:bCs/>
          <w:i w:val="0"/>
          <w:color w:val="000000"/>
          <w:sz w:val="32"/>
          <w:szCs w:val="32"/>
        </w:rPr>
        <w:t>为</w:t>
      </w:r>
      <w:r>
        <w:rPr>
          <w:rFonts w:hint="eastAsia" w:ascii="仿宋_GB2312" w:eastAsia="仿宋_GB2312"/>
          <w:sz w:val="32"/>
          <w:szCs w:val="32"/>
        </w:rPr>
        <w:t>丰富干部职工文化体育生活，激发全民健身运动热情，</w:t>
      </w:r>
      <w:r>
        <w:rPr>
          <w:rFonts w:hint="eastAsia" w:ascii="仿宋_GB2312" w:hAnsi="仿宋_GB2312" w:eastAsia="仿宋_GB2312" w:cs="仿宋_GB2312"/>
          <w:sz w:val="32"/>
          <w:szCs w:val="32"/>
          <w:highlight w:val="none"/>
          <w:lang w:val="en-US" w:eastAsia="zh-CN"/>
        </w:rPr>
        <w:t>改善精神状况，</w:t>
      </w:r>
      <w:r>
        <w:rPr>
          <w:rFonts w:hint="eastAsia" w:ascii="仿宋_GB2312" w:eastAsia="仿宋_GB2312"/>
          <w:sz w:val="32"/>
          <w:szCs w:val="32"/>
        </w:rPr>
        <w:t>增强体质，增进友谊</w:t>
      </w:r>
      <w:r>
        <w:rPr>
          <w:rFonts w:hint="eastAsia" w:ascii="仿宋_GB2312" w:eastAsia="仿宋_GB2312"/>
          <w:sz w:val="32"/>
          <w:szCs w:val="32"/>
          <w:lang w:eastAsia="zh-CN"/>
        </w:rPr>
        <w:t>，</w:t>
      </w:r>
      <w:r>
        <w:rPr>
          <w:rFonts w:hint="eastAsia" w:ascii="仿宋_GB2312" w:hAnsi="仿宋_GB2312" w:eastAsia="仿宋_GB2312" w:cs="仿宋_GB2312"/>
          <w:sz w:val="32"/>
          <w:szCs w:val="32"/>
          <w:highlight w:val="none"/>
          <w:lang w:val="en-US" w:eastAsia="zh-CN"/>
        </w:rPr>
        <w:t>满足干部职工身心发展需求，</w:t>
      </w:r>
      <w:r>
        <w:rPr>
          <w:rFonts w:hint="eastAsia" w:ascii="仿宋_GB2312" w:eastAsia="仿宋_GB2312"/>
          <w:sz w:val="32"/>
          <w:szCs w:val="32"/>
        </w:rPr>
        <w:t>结合我区实际</w:t>
      </w:r>
      <w:r>
        <w:rPr>
          <w:rFonts w:hint="eastAsia" w:ascii="仿宋_GB2312" w:eastAsia="仿宋_GB2312"/>
          <w:sz w:val="32"/>
          <w:szCs w:val="32"/>
          <w:lang w:eastAsia="zh-CN"/>
        </w:rPr>
        <w:t>，</w:t>
      </w:r>
      <w:r>
        <w:rPr>
          <w:rFonts w:hint="eastAsia" w:ascii="仿宋_GB2312" w:hAnsi="仿宋_GB2312" w:eastAsia="仿宋_GB2312" w:cs="仿宋_GB2312"/>
          <w:sz w:val="32"/>
          <w:szCs w:val="32"/>
          <w:highlight w:val="none"/>
          <w:lang w:val="en-US" w:eastAsia="zh-CN"/>
        </w:rPr>
        <w:t>搭建起机关职工相互切磋、同频交流的平台，进一步增进文体交流，全面实施全民健身计划，拟定于</w:t>
      </w:r>
      <w:r>
        <w:rPr>
          <w:rFonts w:hint="default" w:ascii="仿宋_GB2312" w:hAnsi="仿宋_GB2312" w:eastAsia="仿宋_GB2312" w:cs="仿宋_GB2312"/>
          <w:sz w:val="32"/>
          <w:szCs w:val="32"/>
          <w:highlight w:val="none"/>
          <w:lang w:val="en-US" w:eastAsia="zh-CN"/>
        </w:rPr>
        <w:t>2026年</w:t>
      </w:r>
      <w:r>
        <w:rPr>
          <w:rFonts w:hint="eastAsia" w:ascii="仿宋_GB2312" w:hAnsi="仿宋_GB2312" w:eastAsia="仿宋_GB2312" w:cs="仿宋_GB2312"/>
          <w:sz w:val="32"/>
          <w:szCs w:val="32"/>
          <w:highlight w:val="none"/>
          <w:lang w:val="en-US" w:eastAsia="zh-CN"/>
        </w:rPr>
        <w:t>3月</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8</w:t>
      </w:r>
      <w:r>
        <w:rPr>
          <w:rFonts w:hint="default"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开展</w:t>
      </w:r>
      <w:r>
        <w:rPr>
          <w:rFonts w:hint="default" w:ascii="仿宋_GB2312" w:hAnsi="仿宋_GB2312" w:eastAsia="仿宋_GB2312" w:cs="仿宋_GB2312"/>
          <w:sz w:val="32"/>
          <w:szCs w:val="32"/>
          <w:highlight w:val="none"/>
          <w:lang w:val="en-US" w:eastAsia="zh-CN"/>
        </w:rPr>
        <w:t>2026年龙华区“体彩杯”系列赛活动</w:t>
      </w:r>
      <w:r>
        <w:rPr>
          <w:rFonts w:hint="eastAsia" w:ascii="仿宋_GB2312" w:hAnsi="仿宋_GB2312" w:eastAsia="仿宋_GB2312" w:cs="仿宋_GB2312"/>
          <w:sz w:val="32"/>
          <w:szCs w:val="32"/>
          <w:highlight w:val="none"/>
          <w:lang w:val="en-US" w:eastAsia="zh-CN"/>
        </w:rPr>
        <w:t>。</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default" w:ascii="仿宋_GB2312" w:hAnsi="仿宋" w:eastAsia="仿宋_GB2312" w:cs="仿宋"/>
          <w:kern w:val="2"/>
          <w:sz w:val="32"/>
          <w:szCs w:val="32"/>
          <w:lang w:val="en-US" w:eastAsia="zh-CN" w:bidi="ar-SA"/>
        </w:rPr>
        <w:t>（1）</w:t>
      </w:r>
      <w:r>
        <w:rPr>
          <w:rFonts w:hint="eastAsia" w:ascii="仿宋_GB2312" w:hAnsi="仿宋" w:eastAsia="仿宋_GB2312" w:cs="仿宋"/>
          <w:kern w:val="2"/>
          <w:sz w:val="32"/>
          <w:szCs w:val="32"/>
          <w:lang w:val="en-US" w:eastAsia="zh-CN" w:bidi="ar-SA"/>
        </w:rPr>
        <w:t>制定</w:t>
      </w:r>
      <w:r>
        <w:rPr>
          <w:rFonts w:hint="default" w:ascii="仿宋_GB2312" w:hAnsi="仿宋" w:eastAsia="仿宋_GB2312" w:cs="仿宋"/>
          <w:kern w:val="2"/>
          <w:sz w:val="32"/>
          <w:szCs w:val="32"/>
          <w:lang w:val="en-US" w:eastAsia="zh-CN" w:bidi="ar-SA"/>
        </w:rPr>
        <w:t>2026年龙华区“体彩杯”系列赛</w:t>
      </w:r>
      <w:r>
        <w:rPr>
          <w:rFonts w:hint="eastAsia" w:ascii="仿宋_GB2312" w:hAnsi="仿宋" w:eastAsia="仿宋_GB2312" w:cs="仿宋"/>
          <w:kern w:val="2"/>
          <w:sz w:val="32"/>
          <w:szCs w:val="32"/>
          <w:lang w:val="en-US" w:eastAsia="zh-CN" w:bidi="ar-SA"/>
        </w:rPr>
        <w:t>活动具体实施方案和报价单；</w:t>
      </w:r>
    </w:p>
    <w:p>
      <w:pPr>
        <w:pStyle w:val="6"/>
        <w:keepNext w:val="0"/>
        <w:keepLines w:val="0"/>
        <w:pageBreakBefore w:val="0"/>
        <w:numPr>
          <w:ilvl w:val="0"/>
          <w:numId w:val="0"/>
        </w:numPr>
        <w:kinsoku/>
        <w:wordWrap/>
        <w:overflowPunct/>
        <w:topLinePunct w:val="0"/>
        <w:autoSpaceDE/>
        <w:autoSpaceDN/>
        <w:bidi w:val="0"/>
        <w:spacing w:after="0" w:line="560" w:lineRule="exact"/>
        <w:ind w:right="0" w:rightChars="0" w:firstLine="640" w:firstLineChars="200"/>
        <w:textAlignment w:val="auto"/>
        <w:rPr>
          <w:rFonts w:hint="default"/>
          <w:lang w:val="en" w:eastAsia="zh-CN"/>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负责做好</w:t>
      </w:r>
      <w:r>
        <w:rPr>
          <w:rFonts w:hint="eastAsia" w:ascii="仿宋_GB2312" w:hAnsi="仿宋_GB2312" w:eastAsia="仿宋_GB2312" w:cs="仿宋_GB2312"/>
          <w:sz w:val="32"/>
          <w:szCs w:val="32"/>
          <w:lang w:val="en-US" w:eastAsia="zh-CN"/>
        </w:rPr>
        <w:t>赛前赛中赛后的组织工作，聘请相关工作人员、裁判员、医疗人员配置</w:t>
      </w:r>
      <w:r>
        <w:rPr>
          <w:rFonts w:hint="eastAsia" w:ascii="仿宋_GB2312" w:hAnsi="仿宋" w:eastAsia="仿宋_GB2312" w:cs="仿宋"/>
          <w:kern w:val="2"/>
          <w:sz w:val="32"/>
          <w:szCs w:val="32"/>
          <w:lang w:val="en-US" w:eastAsia="zh-CN" w:bidi="ar-SA"/>
        </w:rPr>
        <w:t>（含场地布置、赛事配置、图片直播（含配套摄影师）及后勤保障物资、组织颁奖仪式、赛后奖励、奖杯及奖牌发放、裁判配置及人员安排等）；</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default" w:ascii="仿宋_GB2312" w:hAnsi="仿宋" w:eastAsia="仿宋_GB2312" w:cs="仿宋"/>
          <w:kern w:val="2"/>
          <w:sz w:val="32"/>
          <w:szCs w:val="32"/>
          <w:lang w:val="en-US" w:eastAsia="zh-CN" w:bidi="ar-SA"/>
        </w:rPr>
        <w:t>（3）</w:t>
      </w:r>
      <w:r>
        <w:rPr>
          <w:rFonts w:hint="eastAsia" w:ascii="仿宋_GB2312" w:hAnsi="仿宋" w:eastAsia="仿宋_GB2312" w:cs="仿宋"/>
          <w:kern w:val="2"/>
          <w:sz w:val="32"/>
          <w:szCs w:val="32"/>
          <w:lang w:val="en-US" w:eastAsia="zh-CN" w:bidi="ar-SA"/>
        </w:rPr>
        <w:t>设专人统筹组织该系列赛活动实施与监督，保证该系列赛进展整改的时效性，响应时间须在1小时以内完成，全程跟进赛事开展情况，确保赛事质量要求及落地呈现效果；</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default" w:ascii="仿宋_GB2312" w:hAnsi="仿宋" w:eastAsia="仿宋_GB2312" w:cs="仿宋"/>
          <w:kern w:val="2"/>
          <w:sz w:val="32"/>
          <w:szCs w:val="32"/>
          <w:lang w:val="en-US" w:eastAsia="zh-CN" w:bidi="ar-SA"/>
        </w:rPr>
        <w:t>（4）</w:t>
      </w:r>
      <w:r>
        <w:rPr>
          <w:rFonts w:hint="eastAsia" w:ascii="仿宋_GB2312" w:hAnsi="仿宋" w:eastAsia="仿宋_GB2312" w:cs="仿宋"/>
          <w:kern w:val="2"/>
          <w:sz w:val="32"/>
          <w:szCs w:val="32"/>
          <w:lang w:val="en-US" w:eastAsia="zh-CN" w:bidi="ar-SA"/>
        </w:rPr>
        <w:t>负责主办方交办的其他事项，具体比赛时间、地点，根据实际开展情况做好调整安排。</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pStyle w:val="7"/>
        <w:ind w:firstLine="640" w:firstLineChars="200"/>
        <w:rPr>
          <w:rFonts w:hint="eastAsia" w:ascii="仿宋_GB2312" w:hAnsi="仿宋_GB2312" w:eastAsia="仿宋_GB2312" w:cs="仿宋_GB2312"/>
          <w:sz w:val="32"/>
          <w:szCs w:val="32"/>
          <w:lang w:eastAsia="zh-CN"/>
        </w:rPr>
      </w:pPr>
      <w:r>
        <w:rPr>
          <w:rFonts w:hint="eastAsia" w:ascii="仿宋_GB2312" w:hAnsi="仿宋" w:eastAsia="仿宋_GB2312" w:cs="仿宋"/>
          <w:kern w:val="2"/>
          <w:sz w:val="32"/>
          <w:szCs w:val="32"/>
          <w:lang w:val="en-US" w:eastAsia="zh-CN" w:bidi="ar-SA"/>
        </w:rPr>
        <w:t>80</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897"/>
        <w:gridCol w:w="1238"/>
        <w:gridCol w:w="4624"/>
        <w:gridCol w:w="557"/>
        <w:gridCol w:w="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842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比赛项目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项目费用类别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比赛奖励（同等价值购物劵）</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组和二组）团体赛每支队伍奖品，第一名5000元（价值购物劵）、第二名3500元（价值购物劵）、第三名2000元（价值购物劵）、第四名1500元（价值购物劵）、第五名、第六名各1000元（价值购物劵）、体育道德风尚奖（牌匾）</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奖杯</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奖杯（牌匾）共计14个</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奖牌</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（一组和二组）各前六名</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裁判员、工作人员及运动员比赛饮用水</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比赛饮用水（15箱/天,共18天）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裁判员、工作人员</w:t>
            </w:r>
            <w:r>
              <w:rPr>
                <w:rFonts w:hint="eastAsia" w:ascii="宋体" w:hAnsi="宋体" w:cs="宋体"/>
                <w:i w:val="0"/>
                <w:iCs w:val="0"/>
                <w:color w:val="000000"/>
                <w:kern w:val="0"/>
                <w:sz w:val="22"/>
                <w:szCs w:val="22"/>
                <w:u w:val="none"/>
                <w:lang w:val="en-US" w:eastAsia="zh-CN" w:bidi="ar"/>
              </w:rPr>
              <w:t>、医疗人员</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比赛工作餐（18份/天,共18天）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裁判员、工作人员劳务费</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一级或二级裁判员共10人、工作人员共6人（16人/天,共18天）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主持人、礼仪</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组织颁奖仪式，主持人1名1500元，礼仪3名900元，合计2400元</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医疗人员</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聘请2名医疗人员加急救物资(300人/天，急救物资600元；300*2*18+600)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排版印刷赛事秩序册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背景板3.4m*12m（框架搭建）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A字板、海报、横幅，音响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体育用品</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比赛用球、哨子、24秒计时器租赁，比分显示屏租赁、赛事器具等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赛事配置</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主席台观众席替补席布置、指示牌、手举牌、成绩公告栏等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图片直播（含配套摄影师），18天、每天1000元</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物料运输</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物料运输（背景板框架、赛事所需器具等）</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赛事组织费</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赛事编排、组织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赛事报道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设计（设计背景板、奖杯、奖牌、场地A字板、海报）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比赛奖励（同等价值购物劵）</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组和二组）团体赛每支队伍奖品，第一名5000元（价值购物劵）、第二名3500元（价值购物劵）、第三名2000元（价值购物劵）、第四名1500元（价值购物劵）、第五名、第六名各1000元（价值购物劵）、体育道德风尚奖（牌匾）</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奖杯</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奖杯（牌匾）共计14个</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奖牌</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（一组和二组）各前六名</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裁判员、工作人员及运动员比赛饮用水</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比赛饮用水（14箱/天,共18天）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w:t>
            </w:r>
            <w:r>
              <w:rPr>
                <w:rFonts w:hint="eastAsia" w:ascii="宋体" w:hAnsi="宋体" w:cs="宋体"/>
                <w:i w:val="0"/>
                <w:iCs w:val="0"/>
                <w:color w:val="000000"/>
                <w:kern w:val="0"/>
                <w:sz w:val="22"/>
                <w:szCs w:val="22"/>
                <w:u w:val="none"/>
                <w:lang w:val="en-US" w:eastAsia="zh-CN" w:bidi="ar"/>
              </w:rPr>
              <w:t>、医疗人员</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比赛工作餐（16份/天,共18天）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裁判员、工作人员劳务费</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一级或二级裁判员共10人、工作人员共4人（14人/天,共18天）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主持人、礼仪</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组织颁奖仪式，主持人1名1500元，礼仪3名900元，合计2400元</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医疗人员</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聘请2名医疗人员加急救物资(300人/天，急救物资600元；300*2*18+600)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排版印刷赛事秩序册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背景板3.4m*12m（框架搭建）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A字板、海报、彩旗、横幅、音箱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比赛用球、哨子、比分显示屏租赁、赛事器具等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主席台观众席替补席布置、指示牌、手举牌、成绩公告栏等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图片直播（含配套摄影师），18天、每天1000元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物料运输（背景板框架、赛事所需器具等）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赛事组织费</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赛事编排、组织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赛事报道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设计（设计背景板、奖杯、奖牌、场地A字板、海报、彩旗）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比赛奖励（同等价值购物劵）</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组和乙组）团体赛每支队伍奖品，第一名4000元（价值购物劵）、第二名3000元（价值购物劵）、第三名2000元（价值购物劵）、第四名1500元（价值购物劵）、第五名和第六名各1000元（价值购物劵）、体育道德风尚奖（牌匾）</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奖杯</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奖杯（牌匾）共计14个</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奖牌</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（一组和二组）各前六名</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裁判员、工作人员及运动员比赛饮用水</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比赛饮用水（50箱/天,共2天）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裁判员、工作人员</w:t>
            </w:r>
            <w:r>
              <w:rPr>
                <w:rFonts w:hint="eastAsia" w:ascii="宋体" w:hAnsi="宋体" w:cs="宋体"/>
                <w:i w:val="0"/>
                <w:iCs w:val="0"/>
                <w:color w:val="000000"/>
                <w:kern w:val="0"/>
                <w:sz w:val="22"/>
                <w:szCs w:val="22"/>
                <w:u w:val="none"/>
                <w:lang w:val="en-US" w:eastAsia="zh-CN" w:bidi="ar"/>
              </w:rPr>
              <w:t>、医疗人员</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比赛工作餐（27份/天,共2天）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裁判员、工作人员劳务费</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裁判员16人、工作人员9人（25人/天,共2天）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主持人、礼仪</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组织颁奖仪式，主持人1名1500元，礼仪3名900元，合计2400元</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医疗人员</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聘请2名医疗人员加急救物资(300人/天，急救物资600元；300*2*2+600)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排版印刷赛事秩序册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背景板3.4m*12m（框架搭建）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A字板、海报、横幅、音箱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比赛用球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哨子、赛事记分牌、赛事器具等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主席台观众席替补席布置、指示牌、手举牌、成绩公告栏等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图片直播（含配套摄影师），2天、每天1000元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物料运输（背景板框架、赛事所需器具等）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赛事组织费</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赛事编排、组织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赛事报道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设计（设计背景板、奖杯、奖牌、场地A字板、海报）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比赛奖励（同等价值购物劵）</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组和二组）团体赛每支队伍奖品，第一名4000元（价值购物劵）、第二名3000元（价值购物劵）、第三名2000元（价值购物劵）、第四名1500元（价值购物劵）、第五名和第六名各1000元（价值购物劵）、体育道德风尚奖（牌匾)</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奖杯</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奖杯（牌匾)共计14个</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奖牌</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（一组和二组）各前六名</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裁判员、工作人员及运动员比赛饮用水</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比赛饮用水（50箱/天,共3天）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w:t>
            </w:r>
            <w:r>
              <w:rPr>
                <w:rFonts w:hint="eastAsia" w:ascii="宋体" w:hAnsi="宋体" w:cs="宋体"/>
                <w:i w:val="0"/>
                <w:iCs w:val="0"/>
                <w:color w:val="000000"/>
                <w:kern w:val="0"/>
                <w:sz w:val="22"/>
                <w:szCs w:val="22"/>
                <w:u w:val="none"/>
                <w:lang w:val="en-US" w:eastAsia="zh-CN" w:bidi="ar"/>
              </w:rPr>
              <w:t>、医疗人员</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比赛工作餐（22份/天,共3天）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裁判员、工作人员劳务费</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裁判员14人、工作人员6人（20人/天,共3天）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主持人、礼仪</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组织颁奖仪式，主持人1名1500元，礼仪3名900元，合计2400元</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医疗人员</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聘请2名医疗人员加急救物资(300人/天，急救物资600元；300*2*3+600)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排版印刷赛事秩序册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背景板3.4m*10m（框架搭建）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A字板、海报、横幅、音箱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比赛用球、赛事记分牌、赛事器具等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主席台观众席替补席布置、指示牌、手举牌、成绩公告栏等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图片直播（含配套摄影师），3天、每天1000元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物料运输（背景板框架、赛事所需器具等）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赛事组织费</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赛事编排、组织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赛事报道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设计（设计背景板、奖杯、奖牌、场地A字板、海报）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比赛奖励（同等价值购物劵）</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组和二组）团体赛每支队伍奖品，第一名4000元（价值购物劵）、第二名3000元（价值购物劵）、第三名2000元（价值购物劵）、第四名1500元（价值购物劵）、第五名和第六名各1000元（价值购物劵）、体育道德风尚奖（牌匾)</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奖杯</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奖杯（牌匾)共计14个</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奖牌</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（一组和二组）各前六名</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裁判员、工作人员及运动员比赛饮用水</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比赛饮用水（50箱/天,共3天）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w:t>
            </w:r>
            <w:r>
              <w:rPr>
                <w:rFonts w:hint="eastAsia" w:ascii="宋体" w:hAnsi="宋体" w:cs="宋体"/>
                <w:i w:val="0"/>
                <w:iCs w:val="0"/>
                <w:color w:val="000000"/>
                <w:kern w:val="0"/>
                <w:sz w:val="22"/>
                <w:szCs w:val="22"/>
                <w:u w:val="none"/>
                <w:lang w:val="en-US" w:eastAsia="zh-CN" w:bidi="ar"/>
              </w:rPr>
              <w:t>、医疗人员</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比赛工作餐（22份/天,共3天）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裁判员、工作人员劳务费</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裁判员14人、工作人员6人（20人/天,共3天）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主持人、礼仪</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组织颁奖仪式，主持人1名1500元，礼仪3名900元，合计2400元</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医疗人员</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聘请2名医疗人员加急救物资(300人/天，急救物资600元；300*2*3+600)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排版印刷赛事秩序册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背景板3.4m*10m（框架搭建）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A字板、海报、横幅、音箱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比赛用球、赛事记分牌、赛事器具等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主席台观众席替补席布置、指示牌、手举牌、成绩公告栏等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图片直播（含配套摄影师），3天、每天1000元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物料运输（背景板框架、赛事所需器具等）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赛事组织费</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赛事编排、组织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赛事报道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设计（设计背景板、奖杯、奖牌、场地A字板、海报）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游泳</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比赛奖励（同等价值购物劵）</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个人赛：第一500元（价值购物劵）×6=3000元、第二名400元（价值购物劵）×6=2400元、第三名300元（价值购物劵）×6=1800元                                                                                    混合赛：第一名3200元（价值购物劵）、第二名2400元（价值购物劵）、第三名2000元（价值购物劵）、第四名1200元（价值购物劵）、第五名和第六名各1000元（价值购物劵）、2个体育道德风尚奖（牌匾)</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奖杯</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奖杯（牌匾)共计8个</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奖牌</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个人赛前三名6*3=18，混合赛前十二名4*12=48</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裁判员、工作人员及运动员比赛饮用水</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比赛饮用水（50箱/天,共2天）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w:t>
            </w:r>
            <w:r>
              <w:rPr>
                <w:rFonts w:hint="eastAsia" w:ascii="宋体" w:hAnsi="宋体" w:cs="宋体"/>
                <w:i w:val="0"/>
                <w:iCs w:val="0"/>
                <w:color w:val="000000"/>
                <w:kern w:val="0"/>
                <w:sz w:val="22"/>
                <w:szCs w:val="22"/>
                <w:u w:val="none"/>
                <w:lang w:val="en-US" w:eastAsia="zh-CN" w:bidi="ar"/>
              </w:rPr>
              <w:t>、医疗人员</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比赛工作餐（32份/天,共2天）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裁判员、工作人员劳务费</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裁判员22人、工作人员8人（30人/天,共2天）</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主持人、礼仪</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组织颁奖仪式，主持人1名1500元，礼仪3名900元，合计2400元</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医疗人员</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聘请2名医疗人员加急救物资(300人/天，急救物资600元；300*2*2+600)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排版印刷赛事秩序册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背景板3.4m*10m（框架搭建）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主席台裁判席布置、海报、横幅、音箱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赛事器具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赛事配置</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比赛等待区、检录区布置、指示牌、手举牌、成绩公告栏等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图片直播（含配套摄影师），2天、每天1000元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物料运输（背景板框架、赛事所需器具等）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赛事组织费</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赛事编排、组织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赛事报道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设计（设计背景板、海报、奖杯、奖牌、横幅）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42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供应商报价：</w:t>
            </w:r>
            <w:r>
              <w:rPr>
                <w:rStyle w:val="19"/>
                <w:lang w:val="en-US" w:eastAsia="zh-CN" w:bidi="ar"/>
              </w:rPr>
              <w:t xml:space="preserve">         </w:t>
            </w:r>
            <w:r>
              <w:rPr>
                <w:rStyle w:val="19"/>
                <w:rFonts w:hint="eastAsia"/>
                <w:lang w:val="en-US" w:eastAsia="zh-CN" w:bidi="ar"/>
              </w:rPr>
              <w:t xml:space="preserve">     </w:t>
            </w:r>
            <w:r>
              <w:rPr>
                <w:rStyle w:val="19"/>
                <w:rFonts w:hint="eastAsia"/>
                <w:u w:val="none"/>
                <w:lang w:val="en-US" w:eastAsia="zh-CN" w:bidi="ar"/>
              </w:rPr>
              <w:t>万元（以万元为单位，并最多保留两位小数）</w:t>
            </w:r>
          </w:p>
        </w:tc>
      </w:tr>
    </w:tbl>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4"/>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14"/>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4"/>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pPr>
      <w:r>
        <w:rPr>
          <w:rFonts w:hint="eastAsia" w:ascii="仿宋_GB2312" w:eastAsia="仿宋_GB2312"/>
          <w:color w:val="000000"/>
          <w:sz w:val="32"/>
          <w:szCs w:val="32"/>
        </w:rPr>
        <w:t>采取综合评分标准，平均分最高的投标人为本项目中标人。</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1"/>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w:t>
            </w:r>
            <w:r>
              <w:rPr>
                <w:rFonts w:hint="eastAsia" w:ascii="仿宋_GB2312" w:hAnsi="仿宋_GB2312" w:eastAsia="仿宋_GB2312" w:cs="仿宋_GB2312"/>
                <w:b w:val="0"/>
                <w:bCs/>
                <w:szCs w:val="24"/>
                <w:lang w:val="en-US" w:eastAsia="zh-CN"/>
              </w:rPr>
              <w:t>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6"/>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评分因素</w:t>
            </w:r>
          </w:p>
        </w:tc>
        <w:tc>
          <w:tcPr>
            <w:tcW w:w="6916" w:type="dxa"/>
            <w:noWrap w:val="0"/>
            <w:vAlign w:val="top"/>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916"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5"/>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评分因素</w:t>
            </w:r>
          </w:p>
        </w:tc>
        <w:tc>
          <w:tcPr>
            <w:tcW w:w="6916"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每提供一项相关文体组织赛事类活动</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916" w:type="dxa"/>
            <w:noWrap w:val="0"/>
            <w:vAlign w:val="center"/>
          </w:tcPr>
          <w:p>
            <w:pPr>
              <w:numPr>
                <w:ilvl w:val="0"/>
                <w:numId w:val="3"/>
              </w:num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numPr>
                <w:ilvl w:val="0"/>
                <w:numId w:val="0"/>
              </w:num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每提供一类专业学历证明资料的得分比例要求如下：具有</w:t>
            </w:r>
            <w:r>
              <w:rPr>
                <w:rFonts w:hint="eastAsia" w:ascii="仿宋_GB2312" w:hAnsi="宋体" w:eastAsia="仿宋_GB2312" w:cs="仿宋_GB2312"/>
                <w:i w:val="0"/>
                <w:iCs w:val="0"/>
                <w:color w:val="000000"/>
                <w:kern w:val="0"/>
                <w:sz w:val="24"/>
                <w:szCs w:val="24"/>
                <w:u w:val="none"/>
                <w:lang w:val="en-US" w:eastAsia="zh-CN" w:bidi="ar"/>
              </w:rPr>
              <w:t>相关体育专业大专学历得1分；具有相关体育专业本科及以上学历得2分，</w:t>
            </w:r>
            <w:r>
              <w:rPr>
                <w:rFonts w:hint="eastAsia" w:ascii="仿宋_GB2312" w:hAnsi="仿宋_GB2312" w:eastAsia="仿宋_GB2312" w:cs="仿宋_GB2312"/>
                <w:sz w:val="24"/>
                <w:szCs w:val="24"/>
                <w:lang w:eastAsia="zh-CN"/>
              </w:rPr>
              <w:t>本项最高得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（注：提供重复学历按最高得分为准，同一人学历不参与累计分值。）</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提供学位或学历证书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学信网查询记录，原件备查。</w:t>
            </w:r>
          </w:p>
          <w:p>
            <w:pPr>
              <w:topLinePunct/>
              <w:snapToGrid w:val="0"/>
              <w:jc w:val="left"/>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诚信承诺</w:t>
            </w:r>
          </w:p>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（一）评审内容：</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投标人在参与政府采购活动中出现诚信相关问题且在相关主管部门处理措施实施期限内的本项不得分，否则得满分。</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（二）评审依据：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投标人需按招标文件格式要求提供《诚信承诺函》，</w:t>
            </w:r>
            <w:r>
              <w:rPr>
                <w:rFonts w:hint="eastAsia" w:ascii="仿宋_GB2312" w:hAnsi="仿宋_GB2312" w:eastAsia="仿宋_GB2312" w:cs="仿宋_GB2312"/>
                <w:sz w:val="24"/>
                <w:szCs w:val="24"/>
                <w:lang w:eastAsia="zh-CN"/>
              </w:rPr>
              <w:t>详见附件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违约承诺</w:t>
            </w:r>
          </w:p>
          <w:p>
            <w:pPr>
              <w:pStyle w:val="5"/>
              <w:rPr>
                <w:rFonts w:hint="eastAsia"/>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324" w:lineRule="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根据针对本项目做出的违约承诺，考察包括但不限于以下内容：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严格按照招标文件及投标承诺履行义务；</w:t>
            </w:r>
          </w:p>
          <w:p>
            <w:pPr>
              <w:spacing w:line="324"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合同履行期间如若违约，由此造成的损失由投标人承担；</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eastAsia="zh-CN"/>
              </w:rPr>
              <w:t>违约</w:t>
            </w:r>
            <w:r>
              <w:rPr>
                <w:rFonts w:hint="eastAsia" w:ascii="仿宋_GB2312" w:hAnsi="仿宋_GB2312" w:eastAsia="仿宋_GB2312" w:cs="仿宋_GB2312"/>
                <w:sz w:val="24"/>
                <w:szCs w:val="24"/>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技术部分（40分）</w:t>
            </w:r>
          </w:p>
        </w:tc>
        <w:tc>
          <w:tcPr>
            <w:tcW w:w="861"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实施方案</w:t>
            </w:r>
          </w:p>
          <w:p>
            <w:pPr>
              <w:pStyle w:val="5"/>
              <w:jc w:val="center"/>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topLinePunct/>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满足以上任意一项要求得4分，最高16得分，在此基础上。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3.中：项目实施方案内容较基本全面、一般具体、针对性一般、一般科学合理、可操作性一般得5分；</w:t>
            </w:r>
          </w:p>
          <w:p>
            <w:pPr>
              <w:keepNext w:val="0"/>
              <w:keepLines w:val="0"/>
              <w:pageBreakBefore w:val="0"/>
              <w:widowControl w:val="0"/>
              <w:snapToGrid/>
              <w:spacing w:line="276" w:lineRule="auto"/>
              <w:ind w:firstLine="0" w:firstLineChars="0"/>
              <w:jc w:val="left"/>
              <w:rPr>
                <w:rFonts w:hint="eastAsia"/>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项目重点难点分析、应对措施及相关的合理化建议</w:t>
            </w:r>
          </w:p>
          <w:p>
            <w:pPr>
              <w:keepNext w:val="0"/>
              <w:keepLines w:val="0"/>
              <w:pageBreakBefore w:val="0"/>
              <w:widowControl w:val="0"/>
              <w:snapToGrid/>
              <w:spacing w:line="276" w:lineRule="auto"/>
              <w:ind w:firstLine="0" w:firstLineChars="0"/>
              <w:jc w:val="left"/>
              <w:rPr>
                <w:rFonts w:hint="eastAsia"/>
                <w:lang w:eastAsia="zh-CN"/>
              </w:rPr>
            </w:pPr>
            <w:r>
              <w:rPr>
                <w:rFonts w:hint="eastAsia" w:ascii="仿宋_GB2312" w:hAnsi="仿宋_GB2312" w:eastAsia="仿宋_GB2312" w:cs="仿宋_GB2312"/>
                <w:color w:val="auto"/>
                <w:sz w:val="24"/>
                <w:szCs w:val="24"/>
                <w:highlight w:val="none"/>
                <w:lang w:val="en-US" w:eastAsia="zh-CN"/>
              </w:rPr>
              <w:t>（15分）</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3.向招标方提出项目实施及与其他建设项目协调的具体建议。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满足以上任意一项要求得3分，最高得9分，在此基础上。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6"/>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FF0000"/>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pPr>
      <w:r>
        <w:rPr>
          <w:rFonts w:hint="eastAsia" w:ascii="仿宋_GB2312" w:hAnsi="仿宋" w:eastAsia="仿宋_GB2312" w:cs="Times New Roman"/>
          <w:sz w:val="32"/>
        </w:rPr>
        <w:t>2.法定代表人身份证复印件；</w:t>
      </w:r>
    </w:p>
    <w:p>
      <w:pPr>
        <w:pStyle w:val="6"/>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6"/>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6"/>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6"/>
        <w:spacing w:after="0" w:line="560" w:lineRule="exact"/>
        <w:ind w:left="0" w:leftChars="0" w:right="0" w:rightChars="0" w:firstLine="640"/>
        <w:rPr>
          <w:rFonts w:hint="eastAsia" w:ascii="楷体_GB2312" w:hAnsi="楷体_GB2312" w:eastAsia="楷体_GB2312" w:cs="楷体_GB2312"/>
          <w:bCs/>
          <w:color w:val="000000"/>
          <w:sz w:val="32"/>
          <w:szCs w:val="32"/>
          <w:lang w:val="en-US" w:eastAsia="zh-CN"/>
        </w:rPr>
      </w:pPr>
      <w:r>
        <w:rPr>
          <w:rFonts w:hint="eastAsia" w:ascii="楷体_GB2312" w:hAnsi="楷体_GB2312" w:eastAsia="楷体_GB2312" w:cs="楷体_GB2312"/>
          <w:bCs/>
          <w:color w:val="000000"/>
          <w:sz w:val="32"/>
          <w:szCs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6"/>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default" w:ascii="仿宋_GB2312" w:hAnsi="仿宋_GB2312" w:eastAsia="仿宋_GB2312" w:cs="仿宋_GB2312"/>
          <w:kern w:val="2"/>
          <w:sz w:val="32"/>
          <w:szCs w:val="20"/>
          <w:lang w:val="en-US" w:eastAsia="zh-CN" w:bidi="ar-SA"/>
        </w:rPr>
        <w:t>2026年龙华区“体彩杯”系列赛</w:t>
      </w:r>
      <w:r>
        <w:rPr>
          <w:rFonts w:hint="eastAsia" w:ascii="仿宋_GB2312" w:hAnsi="仿宋_GB2312" w:eastAsia="仿宋_GB2312" w:cs="仿宋_GB2312"/>
          <w:kern w:val="2"/>
          <w:sz w:val="32"/>
          <w:szCs w:val="20"/>
          <w:lang w:val="en-US" w:eastAsia="zh-CN" w:bidi="ar-SA"/>
        </w:rPr>
        <w:t>活动</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6"/>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7"/>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bookmarkStart w:id="2" w:name="_GoBack"/>
      <w:bookmarkEnd w:id="2"/>
      <w:r>
        <w:rPr>
          <w:rFonts w:hint="eastAsia" w:ascii="仿宋_GB2312" w:hAnsi="仿宋" w:eastAsia="仿宋_GB2312" w:cs="Times New Roman"/>
          <w:sz w:val="32"/>
          <w:szCs w:val="22"/>
        </w:rPr>
        <w:t>0755-23338140</w:t>
      </w:r>
    </w:p>
    <w:p>
      <w:pPr>
        <w:pStyle w:val="7"/>
        <w:rPr>
          <w:rFonts w:hint="eastAsia" w:ascii="仿宋_GB2312" w:hAnsi="仿宋" w:eastAsia="仿宋_GB2312" w:cs="Times New Roman"/>
          <w:sz w:val="32"/>
          <w:szCs w:val="22"/>
        </w:rPr>
      </w:pPr>
    </w:p>
    <w:p>
      <w:pPr>
        <w:pStyle w:val="7"/>
        <w:rPr>
          <w:rFonts w:hint="eastAsia" w:ascii="仿宋_GB2312" w:hAnsi="仿宋" w:eastAsia="仿宋_GB2312" w:cs="Times New Roman"/>
          <w:sz w:val="32"/>
          <w:szCs w:val="22"/>
        </w:rPr>
      </w:pPr>
    </w:p>
    <w:p>
      <w:pPr>
        <w:pStyle w:val="17"/>
        <w:spacing w:line="560" w:lineRule="exact"/>
        <w:ind w:firstLine="0" w:firstLineChars="0"/>
        <w:rPr>
          <w:rFonts w:hint="default" w:ascii="黑体" w:hAnsi="黑体" w:eastAsia="黑体" w:cs="黑体"/>
          <w:color w:val="000000"/>
          <w:sz w:val="32"/>
          <w:szCs w:val="32"/>
          <w:lang w:val="en-US" w:eastAsia="zh-CN"/>
        </w:rPr>
      </w:pPr>
      <w:r>
        <w:rPr>
          <w:rFonts w:hint="eastAsia" w:ascii="仿宋_GB2312" w:hAnsi="仿宋" w:eastAsia="仿宋_GB2312" w:cs="Times New Roman"/>
          <w:sz w:val="32"/>
          <w:szCs w:val="2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pStyle w:val="17"/>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2"/>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4A99746B"/>
    <w:multiLevelType w:val="singleLevel"/>
    <w:tmpl w:val="4A99746B"/>
    <w:lvl w:ilvl="0" w:tentative="0">
      <w:start w:val="1"/>
      <w:numFmt w:val="chineseCounting"/>
      <w:suff w:val="nothing"/>
      <w:lvlText w:val="（%1）"/>
      <w:lvlJc w:val="left"/>
      <w:rPr>
        <w:rFonts w:hint="eastAsia"/>
      </w:rPr>
    </w:lvl>
  </w:abstractNum>
  <w:abstractNum w:abstractNumId="2">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4D5397F"/>
    <w:rsid w:val="09293FE9"/>
    <w:rsid w:val="0A4725AB"/>
    <w:rsid w:val="0D566BC9"/>
    <w:rsid w:val="14A2631D"/>
    <w:rsid w:val="14C34F24"/>
    <w:rsid w:val="165D6C96"/>
    <w:rsid w:val="1CA8200C"/>
    <w:rsid w:val="20D34CF2"/>
    <w:rsid w:val="26E92615"/>
    <w:rsid w:val="27A56A4D"/>
    <w:rsid w:val="293E783A"/>
    <w:rsid w:val="29F922AD"/>
    <w:rsid w:val="2FFDC4C3"/>
    <w:rsid w:val="326E42CA"/>
    <w:rsid w:val="340805C4"/>
    <w:rsid w:val="3AFD213B"/>
    <w:rsid w:val="3F0264C5"/>
    <w:rsid w:val="448648CA"/>
    <w:rsid w:val="4B4B2FA2"/>
    <w:rsid w:val="4C8E5A92"/>
    <w:rsid w:val="58A1230D"/>
    <w:rsid w:val="58B24661"/>
    <w:rsid w:val="5F2BE56A"/>
    <w:rsid w:val="671D4941"/>
    <w:rsid w:val="69701D6D"/>
    <w:rsid w:val="6DFFCD9E"/>
    <w:rsid w:val="6EBD5A97"/>
    <w:rsid w:val="71BB412E"/>
    <w:rsid w:val="73D3A87E"/>
    <w:rsid w:val="795310F0"/>
    <w:rsid w:val="7D7F3411"/>
    <w:rsid w:val="7D9F3A20"/>
    <w:rsid w:val="7DD39989"/>
    <w:rsid w:val="7FDD8D21"/>
    <w:rsid w:val="AFDDD097"/>
    <w:rsid w:val="B7FE4D38"/>
    <w:rsid w:val="BBFF548B"/>
    <w:rsid w:val="DFFF69F1"/>
    <w:rsid w:val="E079416C"/>
    <w:rsid w:val="E376E1AF"/>
    <w:rsid w:val="E5FF4FAA"/>
    <w:rsid w:val="EF9FC4D1"/>
    <w:rsid w:val="EFCE03D0"/>
    <w:rsid w:val="EFFFA078"/>
    <w:rsid w:val="FFEF2FC6"/>
    <w:rsid w:val="FFFFAF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5">
    <w:name w:val="Body Text"/>
    <w:basedOn w:val="1"/>
    <w:next w:val="1"/>
    <w:qFormat/>
    <w:uiPriority w:val="0"/>
    <w:pPr>
      <w:spacing w:after="120"/>
    </w:pPr>
  </w:style>
  <w:style w:type="paragraph" w:styleId="6">
    <w:name w:val="Block Text"/>
    <w:basedOn w:val="1"/>
    <w:qFormat/>
    <w:uiPriority w:val="0"/>
    <w:pPr>
      <w:tabs>
        <w:tab w:val="left" w:pos="426"/>
      </w:tabs>
      <w:spacing w:after="120"/>
      <w:ind w:left="1440" w:leftChars="700" w:right="1440" w:rightChars="700"/>
    </w:pPr>
  </w:style>
  <w:style w:type="paragraph" w:styleId="7">
    <w:name w:val="Plain Text"/>
    <w:basedOn w:val="1"/>
    <w:unhideWhenUsed/>
    <w:qFormat/>
    <w:uiPriority w:val="99"/>
    <w:rPr>
      <w:rFonts w:ascii="宋体" w:hAnsi="Calibri" w:cs="Courier New"/>
      <w:szCs w:val="21"/>
    </w:rPr>
  </w:style>
  <w:style w:type="paragraph" w:styleId="8">
    <w:name w:val="toc 1"/>
    <w:basedOn w:val="1"/>
    <w:next w:val="1"/>
    <w:qFormat/>
    <w:uiPriority w:val="39"/>
    <w:rPr>
      <w:rFonts w:ascii="Calibri" w:hAnsi="Calibri" w:eastAsia="宋体" w:cs="Times New Roman"/>
    </w:rPr>
  </w:style>
  <w:style w:type="paragraph" w:styleId="9">
    <w:name w:val="Body Text 2"/>
    <w:basedOn w:val="1"/>
    <w:qFormat/>
    <w:uiPriority w:val="0"/>
    <w:pPr>
      <w:spacing w:line="360" w:lineRule="auto"/>
    </w:pPr>
    <w:rPr>
      <w:sz w:val="24"/>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5"/>
    <w:qFormat/>
    <w:uiPriority w:val="34"/>
    <w:pPr>
      <w:ind w:firstLine="420" w:firstLineChars="200"/>
    </w:pPr>
  </w:style>
  <w:style w:type="paragraph" w:customStyle="1" w:styleId="15">
    <w:name w:val="星耀正文"/>
    <w:basedOn w:val="1"/>
    <w:qFormat/>
    <w:uiPriority w:val="3"/>
    <w:pPr>
      <w:ind w:firstLine="422" w:firstLineChars="200"/>
    </w:pPr>
    <w:rPr>
      <w:rFonts w:ascii="宋体" w:hAnsi="宋体" w:eastAsia="仿宋_GB2312"/>
      <w:bCs/>
    </w:rPr>
  </w:style>
  <w:style w:type="paragraph" w:customStyle="1" w:styleId="16">
    <w:name w:val="USE 1"/>
    <w:basedOn w:val="1"/>
    <w:qFormat/>
    <w:uiPriority w:val="0"/>
    <w:pPr>
      <w:spacing w:line="200" w:lineRule="atLeast"/>
      <w:jc w:val="left"/>
    </w:pPr>
    <w:rPr>
      <w:rFonts w:ascii="宋体" w:hAnsi="宋体"/>
      <w:b/>
      <w:sz w:val="24"/>
      <w:szCs w:val="28"/>
    </w:rPr>
  </w:style>
  <w:style w:type="paragraph" w:customStyle="1" w:styleId="1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8">
    <w:name w:val="_Style 3"/>
    <w:basedOn w:val="1"/>
    <w:next w:val="1"/>
    <w:qFormat/>
    <w:uiPriority w:val="99"/>
    <w:pPr>
      <w:spacing w:line="360" w:lineRule="auto"/>
      <w:ind w:firstLine="420" w:firstLineChars="200"/>
    </w:pPr>
  </w:style>
  <w:style w:type="character" w:customStyle="1" w:styleId="19">
    <w:name w:val="font21"/>
    <w:basedOn w:val="13"/>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512</Words>
  <Characters>537</Characters>
  <Lines>0</Lines>
  <Paragraphs>0</Paragraphs>
  <TotalTime>262</TotalTime>
  <ScaleCrop>false</ScaleCrop>
  <LinksUpToDate>false</LinksUpToDate>
  <CharactersWithSpaces>537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2025-04-15T01:16:00Z</dcterms:created>
  <dc:creator>yang</dc:creator>
  <cp:lastModifiedBy>lxy</cp:lastModifiedBy>
  <dcterms:modified xsi:type="dcterms:W3CDTF">2025-11-14T17:13:04Z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FE2E23DF164341E5BA08A466159AD987_13</vt:lpwstr>
  </property>
  <property fmtid="{D5CDD505-2E9C-101B-9397-08002B2CF9AE}" pid="4" name="KSOTemplateDocerSaveRecord">
    <vt:lpwstr>eyJoZGlkIjoiYWQ3ZTMwN2Y3NDYwNDBhNDA3NTFiMzA0ZThhZWM1M2EiLCJ1c2VySWQiOiI0Mzg4MDM0NDUifQ==</vt:lpwstr>
  </property>
</Properties>
</file>