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kinsoku/>
        <w:overflowPunct/>
        <w:topLinePunct w:val="0"/>
        <w:bidi w:val="0"/>
        <w:spacing w:before="0" w:beforeAutospacing="0" w:after="0" w:afterAutospacing="0" w:line="360" w:lineRule="auto"/>
        <w:ind w:left="0" w:right="0" w:firstLine="0" w:leftChars="0" w:firstLineChars="0"/>
        <w:jc w:val="center"/>
        <w:outlineLvl w:val="0"/>
        <w:rPr>
          <w:rFonts w:ascii="宋体" w:eastAsia="宋体" w:hAnsi="宋体" w:cs="宋体" w:hint="eastAsia"/>
          <w:sz w:val="40"/>
          <w:szCs w:val="40"/>
          <w:lang w:eastAsia="zh-CN"/>
        </w:rPr>
      </w:pPr>
      <w:r>
        <w:rPr>
          <w:rFonts w:ascii="宋体" w:eastAsia="宋体" w:hAnsi="宋体" w:cs="宋体" w:hint="eastAsia"/>
          <w:sz w:val="40"/>
          <w:szCs w:val="40"/>
          <w:lang w:eastAsia="zh-CN"/>
        </w:rPr>
        <w:t>“AI+”绩效管理系统项目</w:t>
      </w:r>
    </w:p>
    <w:p>
      <w:pPr>
        <w:widowControl/>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sz w:val="40"/>
          <w:szCs w:val="40"/>
          <w:lang w:eastAsia="zh-CN"/>
        </w:rPr>
      </w:pPr>
      <w:r>
        <w:rPr>
          <w:rFonts w:ascii="宋体" w:eastAsia="宋体" w:hAnsi="宋体" w:cs="宋体" w:hint="eastAsia"/>
          <w:sz w:val="40"/>
          <w:szCs w:val="40"/>
          <w:lang w:eastAsia="zh-CN"/>
        </w:rPr>
        <w:t>招标文件信息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36" w:type="dxa"/>
          <w:left w:w="36" w:type="dxa"/>
          <w:bottom w:w="36" w:type="dxa"/>
          <w:right w:w="36" w:type="dxa"/>
        </w:tblCellMar>
      </w:tblPr>
      <w:tblGrid>
        <w:gridCol w:w="2732"/>
        <w:gridCol w:w="598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项目编号：</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kern w:val="2"/>
                <w:sz w:val="28"/>
                <w:szCs w:val="28"/>
                <w:lang w:eastAsia="zh-CN"/>
              </w:rPr>
              <w:t>LHAZXCG-2025-00111</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项目名称：</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kern w:val="2"/>
                <w:sz w:val="28"/>
                <w:szCs w:val="28"/>
                <w:lang w:eastAsia="zh-CN"/>
              </w:rPr>
              <w:t>“AI+”绩效管理系统项目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包</w:t>
            </w:r>
            <w:r>
              <w:rPr>
                <w:rFonts w:ascii="宋体" w:eastAsia="宋体" w:hAnsi="宋体" w:hint="eastAsia"/>
                <w:kern w:val="2"/>
                <w:sz w:val="28"/>
                <w:szCs w:val="28"/>
                <w:lang w:eastAsia="zh-CN"/>
              </w:rPr>
              <w:t xml:space="preserve">    </w:t>
            </w:r>
            <w:r>
              <w:rPr>
                <w:rFonts w:ascii="宋体" w:eastAsia="宋体" w:hAnsi="宋体"/>
                <w:kern w:val="2"/>
                <w:sz w:val="28"/>
                <w:szCs w:val="28"/>
                <w:lang w:eastAsia="zh-CN"/>
              </w:rPr>
              <w:t>号：</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项目类型：</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cs="宋体" w:hint="eastAsia"/>
                <w:kern w:val="2"/>
                <w:sz w:val="30"/>
                <w:szCs w:val="30"/>
                <w:lang w:eastAsia="zh-CN"/>
              </w:rPr>
              <w:t>服务</w:t>
            </w:r>
            <w:r>
              <w:rPr>
                <w:rFonts w:ascii="宋体" w:eastAsia="宋体" w:hAnsi="宋体" w:cs="宋体" w:hint="eastAsia"/>
                <w:kern w:val="2"/>
                <w:sz w:val="30"/>
                <w:szCs w:val="30"/>
                <w:lang w:eastAsia="zh-CN"/>
              </w:rPr>
              <w:t>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采购方式：</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货币类型：</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568" w:type="pct"/>
            <w:vAlign w:val="center"/>
          </w:tcPr>
          <w:p>
            <w:pPr>
              <w:widowControl w:val="0"/>
              <w:kinsoku/>
              <w:overflowPunct/>
              <w:topLinePunct w:val="0"/>
              <w:bidi w:val="0"/>
              <w:spacing w:line="360" w:lineRule="auto"/>
              <w:ind w:firstLine="0" w:firstLineChars="0"/>
              <w:jc w:val="right"/>
              <w:rPr>
                <w:rFonts w:ascii="宋体" w:eastAsia="宋体" w:hAnsi="宋体"/>
                <w:kern w:val="2"/>
                <w:sz w:val="28"/>
                <w:szCs w:val="28"/>
                <w:lang w:eastAsia="zh-CN"/>
              </w:rPr>
            </w:pPr>
            <w:r>
              <w:rPr>
                <w:rFonts w:ascii="宋体" w:eastAsia="宋体" w:hAnsi="宋体"/>
                <w:kern w:val="2"/>
                <w:sz w:val="28"/>
                <w:szCs w:val="28"/>
                <w:lang w:eastAsia="zh-CN"/>
              </w:rPr>
              <w:t>评标方法：</w:t>
            </w:r>
          </w:p>
        </w:tc>
        <w:tc>
          <w:tcPr>
            <w:tcW w:w="3431" w:type="pct"/>
            <w:vAlign w:val="center"/>
          </w:tcPr>
          <w:p>
            <w:pPr>
              <w:widowControl w:val="0"/>
              <w:kinsoku/>
              <w:overflowPunct/>
              <w:topLinePunct w:val="0"/>
              <w:bidi w:val="0"/>
              <w:spacing w:beforeAutospacing="0" w:afterAutospacing="0" w:line="360" w:lineRule="auto"/>
              <w:ind w:left="0" w:right="0" w:firstLine="0" w:leftChars="0" w:rightChars="0" w:firstLineChars="0"/>
              <w:jc w:val="left"/>
              <w:rPr>
                <w:rFonts w:ascii="宋体" w:eastAsia="宋体" w:hAnsi="宋体"/>
                <w:kern w:val="2"/>
                <w:sz w:val="28"/>
                <w:szCs w:val="28"/>
                <w:lang w:eastAsia="zh-CN"/>
              </w:rPr>
            </w:pPr>
            <w:r>
              <w:rPr>
                <w:rFonts w:ascii="宋体" w:eastAsia="宋体" w:hAnsi="宋体" w:cs="宋体" w:hint="eastAsia"/>
                <w:kern w:val="2"/>
                <w:sz w:val="30"/>
                <w:szCs w:val="30"/>
                <w:lang w:eastAsia="zh-CN"/>
              </w:rPr>
              <w:t>综合评分法</w:t>
            </w:r>
          </w:p>
        </w:tc>
      </w:tr>
    </w:tbl>
    <w:p>
      <w:pPr>
        <w:widowControl w:val="0"/>
        <w:tabs>
          <w:tab w:val="left" w:pos="2790"/>
        </w:tabs>
        <w:kinsoku/>
        <w:overflowPunct/>
        <w:topLinePunct w:val="0"/>
        <w:bidi w:val="0"/>
        <w:snapToGrid w:val="0"/>
        <w:spacing w:beforeAutospacing="0" w:afterAutospacing="0" w:line="360" w:lineRule="auto"/>
        <w:ind w:left="0" w:right="0" w:firstLine="0" w:leftChars="0" w:firstLineChars="0"/>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0"/>
        <w:gridCol w:w="80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8273"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8273" w:type="dxa"/>
            <w:tcBorders>
              <w:top w:val="single" w:sz="8" w:space="0" w:color="000000"/>
              <w:left w:val="single" w:sz="8" w:space="0" w:color="000000"/>
              <w:bottom w:val="single" w:sz="8" w:space="0" w:color="000000"/>
              <w:right w:val="single" w:sz="8" w:space="0" w:color="000000"/>
            </w:tcBorders>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投标人不符合资格要求，或未提交相应的资格证明资料（详见招标公告</w:t>
            </w:r>
            <w:r>
              <w:rPr>
                <w:rFonts w:ascii="宋体" w:eastAsia="宋体" w:hAnsi="宋体" w:cs="宋体" w:hint="eastAsia"/>
                <w:kern w:val="2"/>
                <w:sz w:val="21"/>
                <w:szCs w:val="21"/>
                <w:lang w:eastAsia="zh-CN"/>
              </w:rPr>
              <w:t>投标人资格要求，即申请人的资格要求</w:t>
            </w:r>
            <w:r>
              <w:rPr>
                <w:rFonts w:ascii="宋体" w:eastAsia="宋体" w:hAnsi="宋体" w:cs="宋体" w:hint="eastAsia"/>
                <w:sz w:val="21"/>
                <w:szCs w:val="21"/>
                <w:lang w:eastAsia="zh-CN"/>
              </w:rPr>
              <w:t>）。</w:t>
            </w:r>
          </w:p>
        </w:tc>
      </w:tr>
    </w:tbl>
    <w:p>
      <w:pPr>
        <w:widowControl w:val="0"/>
        <w:tabs>
          <w:tab w:val="left" w:pos="2790"/>
        </w:tabs>
        <w:kinsoku/>
        <w:overflowPunct/>
        <w:topLinePunct w:val="0"/>
        <w:bidi w:val="0"/>
        <w:snapToGrid w:val="0"/>
        <w:spacing w:beforeAutospacing="0" w:afterAutospacing="0" w:line="360" w:lineRule="auto"/>
        <w:ind w:left="0" w:right="0" w:firstLine="0" w:leftChars="0" w:firstLineChars="0"/>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80"/>
        <w:gridCol w:w="80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8"/>
                <w:szCs w:val="28"/>
                <w:lang w:eastAsia="zh-CN"/>
              </w:rPr>
            </w:pPr>
            <w:r>
              <w:rPr>
                <w:rFonts w:ascii="宋体" w:eastAsia="宋体" w:hAnsi="宋体" w:cs="宋体" w:hint="eastAsia"/>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8"/>
                <w:szCs w:val="28"/>
                <w:lang w:eastAsia="zh-CN"/>
              </w:rPr>
            </w:pPr>
            <w:r>
              <w:rPr>
                <w:rFonts w:ascii="宋体" w:eastAsia="宋体" w:hAnsi="宋体" w:cs="宋体" w:hint="eastAsia"/>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分项报价或投标总价不得高于</w:t>
            </w:r>
            <w:bookmarkStart w:id="0" w:name="_Hlk71832186"/>
            <w:r>
              <w:rPr>
                <w:rFonts w:ascii="宋体" w:eastAsia="宋体" w:hAnsi="宋体" w:cs="宋体" w:hint="eastAsia"/>
                <w:kern w:val="2"/>
                <w:sz w:val="21"/>
                <w:szCs w:val="22"/>
                <w:lang w:eastAsia="zh-CN"/>
              </w:rPr>
              <w:t>相应预算金额（或设定的预算金额下的最高限价）</w:t>
            </w:r>
            <w:bookmarkEnd w:id="0"/>
            <w:r>
              <w:rPr>
                <w:rFonts w:ascii="宋体" w:eastAsia="宋体" w:hAnsi="宋体" w:cs="宋体"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kinsoku/>
              <w:overflowPunct/>
              <w:topLinePunct w:val="0"/>
              <w:bidi w:val="0"/>
              <w:spacing w:beforeAutospacing="0" w:afterAutospacing="0" w:line="360" w:lineRule="auto"/>
              <w:ind w:left="0" w:right="0" w:firstLine="0" w:leftChars="0" w:rightChars="0" w:firstLineChars="0"/>
              <w:jc w:val="left"/>
              <w:textAlignment w:val="top"/>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kinsoku/>
              <w:overflowPunct/>
              <w:topLinePunct w:val="0"/>
              <w:bidi w:val="0"/>
              <w:spacing w:beforeAutospacing="0" w:afterAutospacing="0" w:line="360" w:lineRule="auto"/>
              <w:ind w:left="0" w:right="0" w:firstLine="0" w:leftChars="0" w:firstLineChars="0"/>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kinsoku/>
              <w:overflowPunct/>
              <w:topLinePunct w:val="0"/>
              <w:bidi w:val="0"/>
              <w:spacing w:beforeAutospacing="0" w:afterAutospacing="0" w:line="360" w:lineRule="auto"/>
              <w:ind w:left="0" w:right="0" w:firstLine="0" w:leftChars="0" w:firstLineChars="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法律、法规、规章、规范性文件规定的其他情形。</w:t>
            </w:r>
          </w:p>
        </w:tc>
      </w:tr>
    </w:tbl>
    <w:p>
      <w:pPr>
        <w:widowControl/>
        <w:kinsoku/>
        <w:overflowPunct/>
        <w:topLinePunct w:val="0"/>
        <w:bidi w:val="0"/>
        <w:spacing w:before="0" w:beforeAutospacing="0" w:afterAutospacing="0" w:line="360" w:lineRule="auto"/>
        <w:ind w:left="0" w:right="0" w:firstLine="0" w:leftChars="0" w:firstLineChars="0"/>
        <w:jc w:val="center"/>
        <w:outlineLvl w:val="0"/>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评标信息</w:t>
      </w:r>
    </w:p>
    <w:tbl>
      <w:tblPr>
        <w:tblStyle w:val="TableNormal"/>
        <w:tblW w:w="5000" w:type="pct"/>
        <w:tblCellSpacing w:w="0" w:type="dxa"/>
        <w:tblInd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10"/>
        <w:gridCol w:w="457"/>
        <w:gridCol w:w="881"/>
        <w:gridCol w:w="2389"/>
        <w:gridCol w:w="733"/>
        <w:gridCol w:w="1"/>
        <w:gridCol w:w="4259"/>
        <w:gridCol w:w="10"/>
      </w:tblGrid>
      <w:tr>
        <w:tblPrEx>
          <w:tblW w:w="5000" w:type="pct"/>
          <w:tblCellSpacing w:w="0" w:type="dxa"/>
          <w:tblInd w:w="0" w:type="dxa"/>
          <w:tblBorders>
            <w:top w:val="nil"/>
            <w:left w:val="nil"/>
            <w:bottom w:val="nil"/>
            <w:right w:val="nil"/>
            <w:insideH w:val="nil"/>
            <w:insideV w:val="nil"/>
          </w:tblBorders>
          <w:tblLayout w:type="fixed"/>
          <w:tblCellMar>
            <w:top w:w="45" w:type="dxa"/>
            <w:left w:w="45" w:type="dxa"/>
            <w:bottom w:w="45" w:type="dxa"/>
            <w:right w:w="45" w:type="dxa"/>
          </w:tblCellMar>
        </w:tblPrEx>
        <w:trPr>
          <w:gridAfter w:val="1"/>
          <w:wAfter w:w="10" w:type="dxa"/>
          <w:tblCellSpacing w:w="0" w:type="dxa"/>
        </w:trPr>
        <w:tc>
          <w:tcPr>
            <w:tcW w:w="9141" w:type="dxa"/>
            <w:gridSpan w:val="7"/>
            <w:shd w:val="clear" w:color="auto" w:fill="auto"/>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kern w:val="2"/>
                <w:szCs w:val="22"/>
                <w:lang w:eastAsia="zh-CN"/>
              </w:rPr>
            </w:pPr>
            <w:r>
              <w:rPr>
                <w:rFonts w:ascii="宋体" w:eastAsia="宋体" w:hAnsi="宋体" w:cs="宋体" w:hint="eastAsia"/>
                <w:b/>
                <w:bCs/>
                <w:kern w:val="2"/>
                <w:sz w:val="21"/>
                <w:szCs w:val="22"/>
                <w:lang w:eastAsia="zh-CN"/>
              </w:rPr>
              <w:t>评标方法：综合评分法</w:t>
            </w:r>
          </w:p>
        </w:tc>
      </w:tr>
      <w:tr>
        <w:tblPrEx>
          <w:tblW w:w="5000" w:type="pct"/>
          <w:tblCellSpacing w:w="0" w:type="dxa"/>
          <w:tblInd w:w="0" w:type="dxa"/>
          <w:tblLayout w:type="fixed"/>
          <w:tblCellMar>
            <w:top w:w="45" w:type="dxa"/>
            <w:left w:w="45" w:type="dxa"/>
            <w:bottom w:w="45" w:type="dxa"/>
            <w:right w:w="45" w:type="dxa"/>
          </w:tblCellMar>
        </w:tblPrEx>
        <w:trPr>
          <w:gridAfter w:val="1"/>
          <w:wAfter w:w="10" w:type="dxa"/>
          <w:trHeight w:val="478"/>
          <w:tblCellSpacing w:w="0" w:type="dxa"/>
        </w:trPr>
        <w:tc>
          <w:tcPr>
            <w:tcW w:w="9141" w:type="dxa"/>
            <w:gridSpan w:val="7"/>
            <w:tcBorders>
              <w:bottom w:val="single" w:sz="4" w:space="0" w:color="auto"/>
            </w:tcBorders>
            <w:shd w:val="clear" w:color="auto" w:fill="auto"/>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综合评分法，是指投标文件满足招标文件全部实质性要求，且按照评审因素的量化指标评审得分排名前列的投标人为中标候选人的评标方法。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价格分计算方法：</w:t>
            </w:r>
          </w:p>
          <w:p>
            <w:pPr>
              <w:widowControl/>
              <w:kinsoku/>
              <w:overflowPunct/>
              <w:topLinePunct w:val="0"/>
              <w:bidi w:val="0"/>
              <w:spacing w:before="0"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投标报价得</w:t>
            </w:r>
            <w:r>
              <w:rPr>
                <w:rFonts w:ascii="宋体" w:eastAsia="宋体" w:hAnsi="宋体" w:cs="宋体" w:hint="eastAsia"/>
                <w:kern w:val="2"/>
                <w:sz w:val="21"/>
                <w:szCs w:val="21"/>
                <w:lang w:eastAsia="zh-CN"/>
              </w:rPr>
              <w:t xml:space="preserve">分=(评标基准价／投标报价)×100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评标总得分＝F1×A1＋F2×A2＋……＋Fn×An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F1、F2……Fn分别为各项评审因素的得分；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A1、A2、……An 分别为各项评审因素所占的权重(A1＋A2＋……＋An＝1)。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评标过程中，不得去掉报价中的最高报价和最低报价。</w:t>
            </w:r>
          </w:p>
          <w:p>
            <w:pPr>
              <w:widowControl/>
              <w:kinsoku/>
              <w:overflowPunct/>
              <w:topLinePunct w:val="0"/>
              <w:bidi w:val="0"/>
              <w:spacing w:before="0" w:beforeAutospacing="0" w:afterAutospacing="0" w:line="360" w:lineRule="auto"/>
              <w:ind w:left="0" w:right="0" w:firstLine="0" w:leftChars="0" w:firstLineChars="0"/>
              <w:jc w:val="left"/>
              <w:rPr>
                <w:rFonts w:ascii="宋体" w:eastAsia="宋体" w:hAnsi="宋体" w:cs="宋体" w:hint="eastAsia"/>
                <w:kern w:val="2"/>
                <w:lang w:eastAsia="zh-CN"/>
              </w:rPr>
            </w:pPr>
            <w:r>
              <w:rPr>
                <w:rFonts w:ascii="宋体" w:eastAsia="宋体" w:hAnsi="宋体" w:cs="宋体" w:hint="eastAsia"/>
                <w:kern w:val="2"/>
                <w:sz w:val="21"/>
                <w:szCs w:val="21"/>
                <w:lang w:eastAsia="zh-CN"/>
              </w:rPr>
              <w:t>因落实政府采购政策进行价格调整的，以调整后的价格计算评标基准价和投标报价。</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4192"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4471"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val="restart"/>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4192"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4471"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10</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8663" w:type="dxa"/>
            <w:gridSpan w:val="6"/>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kern w:val="2"/>
                <w:sz w:val="21"/>
                <w:szCs w:val="21"/>
                <w:lang w:eastAsia="zh-CN"/>
              </w:rPr>
            </w:pP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val="restart"/>
            <w:tcBorders>
              <w:top w:val="single" w:sz="4" w:space="0" w:color="auto"/>
              <w:left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4192"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4471"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65</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8663" w:type="dxa"/>
            <w:gridSpan w:val="6"/>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kern w:val="2"/>
                <w:sz w:val="21"/>
                <w:szCs w:val="21"/>
                <w:lang w:eastAsia="zh-CN"/>
              </w:rPr>
            </w:pP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shd w:val="clear" w:color="auto" w:fill="E6EFFA"/>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2501"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768"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4471"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实施方案</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5</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numPr>
                <w:ilvl w:val="12"/>
                <w:numId w:val="0"/>
              </w:numPr>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（一）评审内容：</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投标人需提供的本项目实施方案中包括：</w:t>
            </w:r>
          </w:p>
          <w:p>
            <w:pPr>
              <w:widowControl w:val="0"/>
              <w:numPr>
                <w:ilvl w:val="0"/>
                <w:numId w:val="0"/>
              </w:numPr>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项目背景描述（含项目背景、项目目标、现状分析</w:t>
            </w:r>
            <w:r>
              <w:rPr>
                <w:rFonts w:ascii="宋体" w:eastAsia="宋体" w:hAnsi="宋体" w:cs="宋体" w:hint="eastAsia"/>
                <w:kern w:val="2"/>
                <w:sz w:val="21"/>
                <w:szCs w:val="21"/>
                <w:lang w:eastAsia="zh-CN"/>
              </w:rPr>
              <w:t>、总体设计、项目管理方案</w:t>
            </w:r>
            <w:r>
              <w:rPr>
                <w:rFonts w:ascii="宋体" w:eastAsia="宋体" w:hAnsi="宋体" w:cs="宋体" w:hint="eastAsia"/>
                <w:kern w:val="2"/>
                <w:sz w:val="21"/>
                <w:szCs w:val="21"/>
                <w:lang w:eastAsia="zh-CN"/>
              </w:rPr>
              <w:t>）；</w:t>
            </w:r>
          </w:p>
          <w:p>
            <w:pPr>
              <w:widowControl w:val="0"/>
              <w:numPr>
                <w:ilvl w:val="0"/>
                <w:numId w:val="0"/>
              </w:numPr>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需求分析（含用户需求、业务需求、安全需求、性能需求）；</w:t>
            </w:r>
          </w:p>
          <w:p>
            <w:pPr>
              <w:widowControl w:val="0"/>
              <w:tabs>
                <w:tab w:val="left" w:pos="312"/>
              </w:tabs>
              <w:kinsoku/>
              <w:overflowPunct/>
              <w:topLinePunct w:val="0"/>
              <w:bidi w:val="0"/>
              <w:spacing w:line="360" w:lineRule="auto"/>
              <w:ind w:firstLine="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3.实施方案（含</w:t>
            </w:r>
            <w:r>
              <w:rPr>
                <w:rFonts w:ascii="宋体" w:eastAsia="宋体" w:hAnsi="宋体" w:cs="宋体" w:hint="eastAsia"/>
                <w:kern w:val="2"/>
                <w:sz w:val="21"/>
                <w:szCs w:val="21"/>
                <w:lang w:eastAsia="zh-CN"/>
              </w:rPr>
              <w:t>建设内容、详细设计</w:t>
            </w:r>
            <w:r>
              <w:rPr>
                <w:rFonts w:ascii="宋体" w:eastAsia="宋体" w:hAnsi="宋体" w:cs="宋体" w:hint="eastAsia"/>
                <w:kern w:val="2"/>
                <w:sz w:val="21"/>
                <w:szCs w:val="21"/>
                <w:lang w:eastAsia="zh-CN"/>
              </w:rPr>
              <w:t>、实施计划及实施阶段、风险控制和工作保障措施、项目管理方案）；</w:t>
            </w:r>
          </w:p>
          <w:p>
            <w:pPr>
              <w:widowControl w:val="0"/>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1.满足上述全部3项要求得75分，满足任意2项要求得50分，满足任意1项要求得25分，其他情况不得分。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2.在（二）评分依据第1点基础上，专家根据各供应商的具体响应内容按照量化的评审因素指标进一步评审：</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（1）评审为优：对项目需求和业务领域理解非常到位，有详细的分析把握，实施方案细致具体的，加25分；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（2）评审为良：对项目需求和业务领域理解较为到位，有较全面的分析把握，实施方案较为完整，加20分；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（3）评审为中：对项目需求和业务领域理解一般，有基本的分析把握，实施方案基本完整，加10分；</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（4）评审为差：上述情况之外的不加分。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质量保障措施及方案</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numPr>
                <w:ilvl w:val="12"/>
                <w:numId w:val="0"/>
              </w:numPr>
              <w:kinsoku/>
              <w:overflowPunct/>
              <w:topLinePunct w:val="0"/>
              <w:bidi w:val="0"/>
              <w:spacing w:line="360" w:lineRule="auto"/>
              <w:ind w:left="0"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投标人提供基于项目需求及目标制定的质量保障措施及方案，包括但不限于以下内容：</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1.详细阐述项目时间管理制度与措施；</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2.详细阐述项目质量管理制度与措施；</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3.详细阐述项目资料、成果安全性保障制度与措施；</w:t>
            </w:r>
          </w:p>
          <w:p>
            <w:pPr>
              <w:widowControl w:val="0"/>
              <w:kinsoku/>
              <w:overflowPunct/>
              <w:topLinePunct w:val="0"/>
              <w:bidi w:val="0"/>
              <w:spacing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1.满足上述全部3项要求得75分，满足任意2项要求得50分，满足任意1项要求得25分，其他情况不得分。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2.在（二）评分依据第1点基础上，专家根据各供应商的具体响应内容按照量化的评审因素指标进一步评审：</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（1）评审为优：质量保障措施及方案全面具体，科学合理，加25分；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（2）评审为良：质量保障措施及方案较为全面具体，科学合理性较好，加20分；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（3）评审为中：质量保障措施及方案基本全面具体，科学合理性一般，加10分；</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（4）评审为差：上述情况之外的不加分。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项目重难点分析、应对措施及相关的合理化建议</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numPr>
                <w:ilvl w:val="12"/>
                <w:numId w:val="0"/>
              </w:numPr>
              <w:kinsoku/>
              <w:overflowPunct/>
              <w:topLinePunct w:val="0"/>
              <w:bidi w:val="0"/>
              <w:spacing w:line="360" w:lineRule="auto"/>
              <w:ind w:left="0"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投标人基于项目实际情况，提交的项目重难点分析、应对措施及相关的合理化建议，应包含：</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1.详细阐述本项目存在的重难点问题；</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2.根据项目重难点，提出应对措施；</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3.相关合理化建议。</w:t>
            </w:r>
          </w:p>
          <w:p>
            <w:pPr>
              <w:widowControl w:val="0"/>
              <w:kinsoku/>
              <w:overflowPunct/>
              <w:topLinePunct w:val="0"/>
              <w:bidi w:val="0"/>
              <w:spacing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1.满足上述全部3项要求得75分，满足任意2项要求得50分，满足任意1项要求得25分，其他情况不得分。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2.在（二）评分依据第1点基础上，专家根据各供应商的具体响应内容按照量化的评审因素指标进一步评审：</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（1）评审为优：项目重难点分析、应对措施及相关的合理化建议全面具体，内容合理性强，加25分；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（2）评审为良：项目重难点分析、应对措施及相关的合理化建议比较全面具体，内容合理性较强，加20分；</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（3）评审为中：项目重难点分析、应对措施及相关的合理化建议比较简单、内容合理性一般，加10分；</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（4）评审为差：上述情况之外的不加分。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项目完成（服务期满）后的服务承诺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numPr>
                <w:ilvl w:val="12"/>
                <w:numId w:val="0"/>
              </w:numPr>
              <w:kinsoku/>
              <w:overflowPunct/>
              <w:topLinePunct w:val="0"/>
              <w:bidi w:val="0"/>
              <w:spacing w:line="360" w:lineRule="auto"/>
              <w:ind w:left="0"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投标人书面承诺，</w:t>
            </w:r>
            <w:r>
              <w:rPr>
                <w:rFonts w:ascii="宋体" w:eastAsia="宋体" w:hAnsi="宋体" w:cs="宋体" w:hint="eastAsia"/>
                <w:kern w:val="2"/>
                <w:sz w:val="21"/>
                <w:szCs w:val="21"/>
                <w:lang w:eastAsia="zh-CN"/>
              </w:rPr>
              <w:t>若中标</w:t>
            </w:r>
            <w:r>
              <w:rPr>
                <w:rFonts w:ascii="宋体" w:eastAsia="宋体" w:hAnsi="宋体" w:cs="宋体" w:hint="eastAsia"/>
                <w:kern w:val="2"/>
                <w:sz w:val="21"/>
                <w:szCs w:val="21"/>
                <w:lang w:eastAsia="zh-CN"/>
              </w:rPr>
              <w:t>：</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项目竣工</w:t>
            </w:r>
            <w:r>
              <w:rPr>
                <w:rFonts w:ascii="宋体" w:eastAsia="宋体" w:hAnsi="宋体" w:cs="宋体" w:hint="eastAsia"/>
                <w:kern w:val="2"/>
                <w:sz w:val="21"/>
                <w:szCs w:val="21"/>
                <w:lang w:eastAsia="zh-CN"/>
              </w:rPr>
              <w:t>后主动交接项目相关资料；</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2.与后续服务公司进行资料、工作等交接；</w:t>
            </w:r>
          </w:p>
          <w:p>
            <w:pPr>
              <w:widowControl w:val="0"/>
              <w:kinsoku/>
              <w:overflowPunct/>
              <w:topLinePunct w:val="0"/>
              <w:bidi w:val="0"/>
              <w:spacing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1.提供书面承诺函（格式自拟）的，得100分；</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违约承诺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overflowPunct/>
              <w:topLinePunct w:val="0"/>
              <w:bidi w:val="0"/>
              <w:spacing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投标人书面承诺，</w:t>
            </w:r>
            <w:r>
              <w:rPr>
                <w:rFonts w:ascii="宋体" w:eastAsia="宋体" w:hAnsi="宋体" w:cs="宋体" w:hint="eastAsia"/>
                <w:kern w:val="2"/>
                <w:sz w:val="21"/>
                <w:szCs w:val="21"/>
                <w:lang w:eastAsia="zh-CN"/>
              </w:rPr>
              <w:t>若中标</w:t>
            </w:r>
            <w:r>
              <w:rPr>
                <w:rFonts w:ascii="宋体" w:eastAsia="宋体" w:hAnsi="宋体" w:cs="宋体" w:hint="eastAsia"/>
                <w:kern w:val="2"/>
                <w:sz w:val="21"/>
                <w:szCs w:val="21"/>
                <w:lang w:eastAsia="zh-CN"/>
              </w:rPr>
              <w:t>：</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1.需在合同约定之日起3个工作日内，安排承诺人员开展</w:t>
            </w:r>
            <w:r>
              <w:rPr>
                <w:rFonts w:ascii="宋体" w:eastAsia="宋体" w:hAnsi="宋体" w:cs="宋体" w:hint="eastAsia"/>
                <w:kern w:val="2"/>
                <w:sz w:val="21"/>
                <w:szCs w:val="21"/>
                <w:lang w:eastAsia="zh-CN"/>
              </w:rPr>
              <w:t>服务</w:t>
            </w:r>
            <w:r>
              <w:rPr>
                <w:rFonts w:ascii="宋体" w:eastAsia="宋体" w:hAnsi="宋体" w:cs="宋体" w:hint="eastAsia"/>
                <w:kern w:val="2"/>
                <w:sz w:val="21"/>
                <w:szCs w:val="21"/>
                <w:lang w:eastAsia="zh-CN"/>
              </w:rPr>
              <w:t>，如未能按时开展，将视为根本违约，采购人有权立即解除与其签订的采购合同，且中标人还需向采购人支付中标价的20%的违约金并赔偿其他损失。</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2.服务质量达到招标文件要求；</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3.对未能达到的管理要求承担管理责任。</w:t>
            </w:r>
          </w:p>
          <w:p>
            <w:pPr>
              <w:keepNext w:val="0"/>
              <w:keepLines w:val="0"/>
              <w:pageBreakBefore w:val="0"/>
              <w:widowControl/>
              <w:kinsoku/>
              <w:overflowPunct/>
              <w:topLinePunct w:val="0"/>
              <w:bidi w:val="0"/>
              <w:spacing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1.提供书面承诺函（格式自拟）的，得100分；</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拟安排项目负责人情况</w:t>
            </w:r>
          </w:p>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（仅限1人）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拟安排项目负责人（仅限1人）为投标人自有员工（</w:t>
            </w:r>
            <w:r>
              <w:rPr>
                <w:rFonts w:ascii="宋体" w:eastAsia="宋体" w:hAnsi="宋体" w:cs="宋体" w:hint="eastAsia"/>
                <w:kern w:val="2"/>
                <w:sz w:val="21"/>
                <w:szCs w:val="21"/>
                <w:lang w:eastAsia="zh-CN"/>
              </w:rPr>
              <w:t>提供社保证明）</w:t>
            </w:r>
            <w:r>
              <w:rPr>
                <w:rFonts w:ascii="宋体" w:eastAsia="宋体" w:hAnsi="宋体" w:cs="宋体" w:hint="eastAsia"/>
                <w:kern w:val="2"/>
                <w:sz w:val="21"/>
                <w:szCs w:val="21"/>
                <w:lang w:eastAsia="zh-CN"/>
              </w:rPr>
              <w:t>，否则本项不得分，在此基础上：</w:t>
            </w:r>
          </w:p>
          <w:p>
            <w:pPr>
              <w:widowControl w:val="0"/>
              <w:numPr>
                <w:ilvl w:val="0"/>
                <w:numId w:val="0"/>
              </w:numPr>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1.学历情况：</w:t>
            </w:r>
          </w:p>
          <w:p>
            <w:pPr>
              <w:widowControl w:val="0"/>
              <w:numPr>
                <w:ilvl w:val="12"/>
                <w:numId w:val="0"/>
              </w:numPr>
              <w:kinsoku/>
              <w:overflowPunct/>
              <w:topLinePunct w:val="0"/>
              <w:bidi w:val="0"/>
              <w:spacing w:line="360" w:lineRule="auto"/>
              <w:ind w:left="0" w:firstLine="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（1）具有计算机相关专业本科（</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学历的，得</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0分；</w:t>
            </w:r>
          </w:p>
          <w:p>
            <w:pPr>
              <w:widowControl w:val="0"/>
              <w:numPr>
                <w:ilvl w:val="12"/>
                <w:numId w:val="0"/>
              </w:numPr>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2.具有人社部门颁发的计算机技术与软件专业技术资格（专业：信息系统项目管理师）证书的，得</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0分。</w:t>
            </w:r>
          </w:p>
          <w:p>
            <w:pPr>
              <w:widowControl w:val="0"/>
              <w:numPr>
                <w:ilvl w:val="12"/>
                <w:numId w:val="0"/>
              </w:numPr>
              <w:kinsoku/>
              <w:overflowPunct/>
              <w:topLinePunct w:val="0"/>
              <w:bidi w:val="0"/>
              <w:spacing w:line="360" w:lineRule="auto"/>
              <w:ind w:left="0" w:firstLine="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3.具有区级（或以上）行政机关或事业单位委托的政府信息化软件项目经验，且担任项目负责人或技术负责人的，得20分。</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以上三项累计得分100分。</w:t>
            </w:r>
          </w:p>
          <w:p>
            <w:pPr>
              <w:widowControl w:val="0"/>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开标日前由投标人为拟投入本项目的负责人缴交的载有政府部门公章（或专用章）的2025年8-10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3个月的，需承诺相关人员为投标人自有员工，承诺函格式自拟并加盖公章；</w:t>
            </w:r>
          </w:p>
          <w:p>
            <w:pPr>
              <w:keepNext w:val="0"/>
              <w:keepLines w:val="0"/>
              <w:pageBreakBefore w:val="0"/>
              <w:widowControl/>
              <w:numPr>
                <w:ilvl w:val="0"/>
                <w:numId w:val="0"/>
              </w:numPr>
              <w:tabs>
                <w:tab w:val="left" w:pos="312"/>
              </w:tabs>
              <w:kinsoku/>
              <w:wordWrap w:val="0"/>
              <w:overflowPunct/>
              <w:topLinePunct w:val="0"/>
              <w:autoSpaceDE/>
              <w:autoSpaceDN/>
              <w:bidi w:val="0"/>
              <w:adjustRightInd/>
              <w:snapToGrid/>
              <w:spacing w:line="360" w:lineRule="auto"/>
              <w:ind w:left="0" w:firstLine="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第1项提供毕业证书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widowControl/>
              <w:numPr>
                <w:ilvl w:val="0"/>
                <w:numId w:val="0"/>
              </w:numPr>
              <w:tabs>
                <w:tab w:val="left" w:pos="312"/>
              </w:tabs>
              <w:kinsoku/>
              <w:wordWrap w:val="0"/>
              <w:overflowPunct/>
              <w:topLinePunct w:val="0"/>
              <w:bidi w:val="0"/>
              <w:spacing w:line="36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第2项</w:t>
            </w:r>
            <w:r>
              <w:rPr>
                <w:rFonts w:ascii="宋体" w:eastAsia="宋体" w:hAnsi="宋体" w:cs="宋体" w:hint="eastAsia"/>
                <w:kern w:val="2"/>
                <w:sz w:val="21"/>
                <w:szCs w:val="21"/>
                <w:lang w:eastAsia="zh-CN"/>
              </w:rPr>
              <w:t>提供证书扫描件；</w:t>
            </w:r>
          </w:p>
          <w:p>
            <w:pPr>
              <w:widowControl/>
              <w:numPr>
                <w:ilvl w:val="0"/>
                <w:numId w:val="0"/>
              </w:numPr>
              <w:tabs>
                <w:tab w:val="left" w:pos="312"/>
              </w:tabs>
              <w:kinsoku/>
              <w:wordWrap w:val="0"/>
              <w:overflowPunct/>
              <w:topLinePunct w:val="0"/>
              <w:bidi w:val="0"/>
              <w:spacing w:line="360" w:lineRule="auto"/>
              <w:ind w:left="0" w:firstLine="0" w:firstLineChars="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第3项提供</w:t>
            </w:r>
            <w:r>
              <w:rPr>
                <w:rFonts w:ascii="宋体" w:eastAsia="宋体" w:hAnsi="宋体" w:cs="宋体" w:hint="eastAsia"/>
                <w:kern w:val="2"/>
                <w:sz w:val="21"/>
                <w:szCs w:val="21"/>
                <w:lang w:eastAsia="zh-CN"/>
              </w:rPr>
              <w:t>项目合同关键信息（</w:t>
            </w:r>
            <w:r>
              <w:rPr>
                <w:rFonts w:ascii="宋体" w:eastAsia="宋体" w:hAnsi="宋体" w:cs="宋体" w:hint="eastAsia"/>
                <w:kern w:val="2"/>
                <w:sz w:val="21"/>
                <w:szCs w:val="21"/>
                <w:lang w:eastAsia="zh-CN"/>
              </w:rPr>
              <w:t>服务合同首页、服务内容页及签字盖章页，需体现人员信息）</w:t>
            </w:r>
            <w:r>
              <w:rPr>
                <w:rFonts w:ascii="宋体" w:eastAsia="宋体" w:hAnsi="宋体" w:cs="宋体" w:hint="eastAsia"/>
                <w:kern w:val="2"/>
                <w:sz w:val="21"/>
                <w:szCs w:val="21"/>
                <w:lang w:eastAsia="zh-CN"/>
              </w:rPr>
              <w:t>，通过合同关键信息无法判断是否得分的，</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同时提供合同甲方出具的</w:t>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lang w:eastAsia="zh-CN"/>
              </w:rPr>
              <w:t>证明文件</w:t>
            </w:r>
            <w:r>
              <w:rPr>
                <w:rFonts w:ascii="宋体" w:eastAsia="宋体" w:hAnsi="宋体" w:cs="宋体" w:hint="eastAsia"/>
                <w:kern w:val="2"/>
                <w:sz w:val="21"/>
                <w:szCs w:val="21"/>
                <w:lang w:eastAsia="zh-CN"/>
              </w:rPr>
              <w:t>扫描件</w:t>
            </w:r>
            <w:r>
              <w:rPr>
                <w:rFonts w:ascii="宋体" w:eastAsia="宋体" w:hAnsi="宋体" w:cs="宋体" w:hint="eastAsia"/>
                <w:kern w:val="2"/>
                <w:sz w:val="21"/>
                <w:szCs w:val="21"/>
                <w:lang w:eastAsia="zh-CN"/>
              </w:rPr>
              <w:t>；</w:t>
            </w:r>
          </w:p>
          <w:p>
            <w:pPr>
              <w:widowControl/>
              <w:numPr>
                <w:ilvl w:val="0"/>
                <w:numId w:val="0"/>
              </w:numPr>
              <w:tabs>
                <w:tab w:val="left" w:pos="312"/>
              </w:tabs>
              <w:kinsoku/>
              <w:wordWrap w:val="0"/>
              <w:overflowPunct/>
              <w:topLinePunct w:val="0"/>
              <w:bidi w:val="0"/>
              <w:spacing w:line="360" w:lineRule="auto"/>
              <w:ind w:lef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7</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拟安排项目核心团队成员（项目负责人除外）情况</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拟安排核心团队成员（不少于6人，项目负责人除外）为投标人自有员工（</w:t>
            </w:r>
            <w:r>
              <w:rPr>
                <w:rFonts w:ascii="宋体" w:eastAsia="宋体" w:hAnsi="宋体" w:cs="宋体" w:hint="eastAsia"/>
                <w:kern w:val="2"/>
                <w:sz w:val="21"/>
                <w:szCs w:val="21"/>
                <w:lang w:eastAsia="zh-CN"/>
              </w:rPr>
              <w:t>提供社保证明）</w:t>
            </w:r>
            <w:r>
              <w:rPr>
                <w:rFonts w:ascii="宋体" w:eastAsia="宋体" w:hAnsi="宋体" w:cs="宋体" w:hint="eastAsia"/>
                <w:kern w:val="2"/>
                <w:sz w:val="21"/>
                <w:szCs w:val="21"/>
                <w:lang w:eastAsia="zh-CN"/>
              </w:rPr>
              <w:t>且具有专科（或以上）学历，否则本项不得分，在此基础上：</w:t>
            </w:r>
          </w:p>
          <w:p>
            <w:pPr>
              <w:widowControl w:val="0"/>
              <w:numPr>
                <w:ilvl w:val="0"/>
                <w:numId w:val="0"/>
              </w:numPr>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1.学历情况：</w:t>
            </w:r>
          </w:p>
          <w:p>
            <w:pPr>
              <w:widowControl w:val="0"/>
              <w:numPr>
                <w:ilvl w:val="0"/>
                <w:numId w:val="0"/>
              </w:numPr>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（1）具有计算机相关专业本科（</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学历的，</w:t>
            </w:r>
            <w:r>
              <w:rPr>
                <w:rFonts w:ascii="宋体" w:eastAsia="宋体" w:hAnsi="宋体" w:cs="宋体" w:hint="eastAsia"/>
                <w:kern w:val="2"/>
                <w:sz w:val="21"/>
                <w:szCs w:val="21"/>
                <w:lang w:eastAsia="zh-CN"/>
              </w:rPr>
              <w:t>每提供1人</w:t>
            </w:r>
            <w:r>
              <w:rPr>
                <w:rFonts w:ascii="宋体" w:eastAsia="宋体" w:hAnsi="宋体" w:cs="宋体" w:hint="eastAsia"/>
                <w:kern w:val="2"/>
                <w:sz w:val="21"/>
                <w:szCs w:val="21"/>
                <w:lang w:eastAsia="zh-CN"/>
              </w:rPr>
              <w:t>得10分；</w:t>
            </w:r>
          </w:p>
          <w:p>
            <w:pPr>
              <w:widowControl w:val="0"/>
              <w:numPr>
                <w:ilvl w:val="12"/>
                <w:numId w:val="0"/>
              </w:numPr>
              <w:kinsoku/>
              <w:overflowPunct/>
              <w:topLinePunct w:val="0"/>
              <w:bidi w:val="0"/>
              <w:spacing w:line="360" w:lineRule="auto"/>
              <w:ind w:left="0" w:firstLine="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本项最高得60分。</w:t>
            </w:r>
          </w:p>
          <w:p>
            <w:pPr>
              <w:widowControl/>
              <w:tabs>
                <w:tab w:val="left" w:pos="426"/>
              </w:tabs>
              <w:spacing w:line="360" w:lineRule="auto"/>
              <w:jc w:val="left"/>
              <w:rPr>
                <w:rFonts w:ascii="宋体" w:eastAsia="宋体" w:hAnsi="宋体" w:cs="宋体"/>
                <w:kern w:val="2"/>
                <w:sz w:val="21"/>
                <w:szCs w:val="21"/>
                <w:highlight w:val="yellow"/>
                <w:lang w:eastAsia="zh-CN"/>
              </w:rPr>
            </w:pPr>
            <w:r>
              <w:rPr>
                <w:rFonts w:ascii="宋体" w:eastAsia="宋体" w:hAnsi="宋体" w:cs="宋体" w:hint="eastAsia"/>
                <w:kern w:val="2"/>
                <w:sz w:val="21"/>
                <w:szCs w:val="21"/>
                <w:lang w:eastAsia="zh-CN"/>
              </w:rPr>
              <w:t>2.具有区级（或以上）行政机关或事业单位委托的政府信息化软件项目经验的，每提供1人得10分，此项最高得40分；</w:t>
            </w:r>
          </w:p>
          <w:p>
            <w:pPr>
              <w:keepNext w:val="0"/>
              <w:keepLines w:val="0"/>
              <w:pageBreakBefore w:val="0"/>
              <w:widowControl/>
              <w:tabs>
                <w:tab w:val="left" w:pos="426"/>
              </w:tabs>
              <w:kinsoku/>
              <w:overflowPunct/>
              <w:topLinePunct w:val="0"/>
              <w:bidi w:val="0"/>
              <w:spacing w:line="36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同一人满足以上两项可累计计分，以上两项累计最高得100分。</w:t>
            </w:r>
          </w:p>
          <w:p>
            <w:pPr>
              <w:widowControl w:val="0"/>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开标日前由投标人为拟投入本项目的核心团队成员缴交的载有政府部门公章（或专用章）的2025年8-10月的社保缴交证明材料（已退休返聘人员需提供聘用合同），如开标日上一个月的社保材料因政府部门原因暂时无法取得，则可以往前顺延一个月；社保资料至少显示缴交养老保险信息，未显示该信息的该社保资料则不符合要求，原件备查。如供应商为新成立企业且成立时间不足3个月的，需承诺相关人员为投标人自有员工，承诺函格式自拟并加盖公章；</w:t>
            </w:r>
          </w:p>
          <w:p>
            <w:pPr>
              <w:widowControl w:val="0"/>
              <w:numPr>
                <w:ilvl w:val="0"/>
                <w:numId w:val="0"/>
              </w:numPr>
              <w:tabs>
                <w:tab w:val="left" w:pos="312"/>
              </w:tabs>
              <w:wordWrap w:val="0"/>
              <w:spacing w:line="36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第1项提供毕业证书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3.第2项提供项目合同关键信息（服务合同首页、服务内容页及签字盖章页，需体现人员信息），通过合同关键信息无法判断是否得分的，可同时提供合同甲方出具的其他证明文件扫描件；</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4.以上资料未提供或未按要求提供或提供的不清晰导致专家无法判断的，不得分。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val="restart"/>
            <w:tcBorders>
              <w:top w:val="single" w:sz="4" w:space="0" w:color="auto"/>
              <w:left w:val="single" w:sz="4" w:space="0" w:color="auto"/>
              <w:bottom w:val="single" w:sz="4" w:space="0" w:color="auto"/>
              <w:right w:val="single" w:sz="4" w:space="0" w:color="auto"/>
            </w:tcBorders>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4192"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商务</w:t>
            </w:r>
            <w:r>
              <w:rPr>
                <w:rFonts w:ascii="宋体" w:eastAsia="宋体" w:hAnsi="宋体" w:cs="宋体" w:hint="eastAsia"/>
                <w:b/>
                <w:bCs/>
                <w:color w:val="0000FF"/>
                <w:kern w:val="2"/>
                <w:sz w:val="21"/>
                <w:szCs w:val="21"/>
                <w:lang w:eastAsia="zh-CN"/>
              </w:rPr>
              <w:t>部分</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20</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2501"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768"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4471"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投标人资质情况及通过相关认证情况</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hd w:val="clear" w:color="auto" w:fill="auto"/>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numPr>
                <w:ilvl w:val="0"/>
                <w:numId w:val="0"/>
              </w:numPr>
              <w:shd w:val="clear" w:color="auto" w:fill="auto"/>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1.具有ISO 9001质量管理体系认证证书，得50分；</w:t>
            </w:r>
          </w:p>
          <w:p>
            <w:pPr>
              <w:widowControl/>
              <w:numPr>
                <w:ilvl w:val="0"/>
                <w:numId w:val="0"/>
              </w:numPr>
              <w:shd w:val="clear" w:color="auto" w:fill="auto"/>
              <w:wordWrap w:val="0"/>
              <w:spacing w:line="360" w:lineRule="auto"/>
              <w:ind w:left="0" w:firstLine="0" w:leftChars="0"/>
              <w:jc w:val="left"/>
              <w:rPr>
                <w:rFonts w:ascii="Calibri" w:eastAsia="宋体" w:hAnsi="Calibri" w:hint="eastAsia"/>
                <w:kern w:val="2"/>
                <w:sz w:val="21"/>
                <w:szCs w:val="22"/>
                <w:lang w:eastAsia="zh-CN"/>
              </w:rPr>
            </w:pPr>
            <w:r>
              <w:rPr>
                <w:rFonts w:ascii="宋体" w:eastAsia="宋体" w:hAnsi="宋体" w:cs="宋体" w:hint="eastAsia"/>
                <w:kern w:val="2"/>
                <w:sz w:val="21"/>
                <w:szCs w:val="21"/>
                <w:lang w:eastAsia="zh-CN"/>
              </w:rPr>
              <w:t>注：如投标人为新成立企业且成立时间不足三个月，或投标人处于该证书申请阶段尚未过试运行的，提供加盖投标人公章的情况说明视为满足要求，给予对应分值。</w:t>
            </w:r>
          </w:p>
          <w:p>
            <w:pPr>
              <w:widowControl w:val="0"/>
              <w:numPr>
                <w:ilvl w:val="0"/>
                <w:numId w:val="0"/>
              </w:numPr>
              <w:shd w:val="clear" w:color="auto" w:fill="auto"/>
              <w:tabs>
                <w:tab w:val="left" w:pos="312"/>
              </w:tabs>
              <w:spacing w:line="360" w:lineRule="auto"/>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2.具有电子政务（办文或办公）类的计算机软件著作权证书或专利，每提供1个得10分，最高得50分，自有或租赁均可得分。</w:t>
            </w:r>
          </w:p>
          <w:p>
            <w:pPr>
              <w:widowControl w:val="0"/>
              <w:numPr>
                <w:ilvl w:val="0"/>
                <w:numId w:val="0"/>
              </w:numPr>
              <w:shd w:val="clear" w:color="auto" w:fill="auto"/>
              <w:tabs>
                <w:tab w:val="left" w:pos="312"/>
              </w:tabs>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本项最高得100分。</w:t>
            </w:r>
          </w:p>
          <w:p>
            <w:pPr>
              <w:widowControl w:val="0"/>
              <w:shd w:val="clear" w:color="auto" w:fill="auto"/>
              <w:kinsoku/>
              <w:overflowPunct/>
              <w:topLinePunct w:val="0"/>
              <w:bidi w:val="0"/>
              <w:spacing w:line="360" w:lineRule="auto"/>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numPr>
                <w:ilvl w:val="0"/>
                <w:numId w:val="0"/>
              </w:numPr>
              <w:shd w:val="clear" w:color="auto" w:fill="auto"/>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1.第1项提供有效期内的体系认证证书扫描件及在全国认证认可信息公共服务平台（认e云）（http://cx.cnca.cn/CertECloud/index/index/page）查询有效的截图；</w:t>
            </w:r>
          </w:p>
          <w:p>
            <w:pPr>
              <w:widowControl w:val="0"/>
              <w:numPr>
                <w:ilvl w:val="0"/>
                <w:numId w:val="0"/>
              </w:numPr>
              <w:shd w:val="clear" w:color="auto" w:fill="auto"/>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第2项</w:t>
            </w:r>
            <w:r>
              <w:rPr>
                <w:rFonts w:ascii="宋体" w:eastAsia="宋体" w:hAnsi="宋体" w:cs="宋体" w:hint="eastAsia"/>
                <w:kern w:val="2"/>
                <w:sz w:val="21"/>
                <w:szCs w:val="21"/>
                <w:lang w:eastAsia="zh-CN"/>
              </w:rPr>
              <w:t>若为自有产权，则提供国家版权部门或知识产权部门颁发的软件著作权证书或专利证书扫描件（著作权人或专利权人需为投标人）；若为使用权租赁或购买，则同时提供国家版权部门或知识产权部门颁发的软件著作权证书或专利证书扫描件（著作权人或专利权人需为出售/出租方）以及购买合同（或租赁合同）扫描件；</w:t>
            </w:r>
          </w:p>
          <w:p>
            <w:pPr>
              <w:widowControl w:val="0"/>
              <w:numPr>
                <w:ilvl w:val="0"/>
                <w:numId w:val="0"/>
              </w:numPr>
              <w:shd w:val="clear" w:color="auto" w:fill="auto"/>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同类项目业绩情况</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kinsoku/>
              <w:wordWrap w:val="0"/>
              <w:overflowPunct/>
              <w:topLinePunct w:val="0"/>
              <w:bidi w:val="0"/>
              <w:spacing w:line="360" w:lineRule="auto"/>
              <w:ind w:firstLine="0" w:firstLineChars="0"/>
              <w:jc w:val="center"/>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0</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val="0"/>
              <w:kinsoku/>
              <w:overflowPunct/>
              <w:topLinePunct w:val="0"/>
              <w:bidi w:val="0"/>
              <w:spacing w:line="360" w:lineRule="auto"/>
              <w:ind w:firstLine="0" w:firstLineChars="0"/>
              <w:jc w:val="both"/>
              <w:rPr>
                <w:rFonts w:ascii="仿宋_GB2312" w:eastAsia="仿宋_GB2312" w:hAnsi="仿宋_GB2312" w:cs="仿宋_GB2312"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2022年1月1日至本项目投标截止之日（以合同签订时间为准），投标人具有区县级（或以上）行政机关或事业单位委托的</w:t>
            </w:r>
            <w:r>
              <w:rPr>
                <w:rFonts w:ascii="宋体" w:eastAsia="宋体" w:hAnsi="宋体" w:cs="宋体" w:hint="eastAsia"/>
                <w:kern w:val="2"/>
                <w:sz w:val="21"/>
                <w:szCs w:val="21"/>
                <w:lang w:eastAsia="zh-CN"/>
              </w:rPr>
              <w:t>信息化</w:t>
            </w:r>
            <w:r>
              <w:rPr>
                <w:rFonts w:ascii="宋体" w:eastAsia="宋体" w:hAnsi="宋体" w:cs="宋体" w:hint="eastAsia"/>
                <w:kern w:val="2"/>
                <w:sz w:val="21"/>
                <w:szCs w:val="21"/>
                <w:lang w:eastAsia="zh-CN"/>
              </w:rPr>
              <w:t>系统开发项目业绩，每提供1个得25分，本项最高得100分。同一项目续签的仅算一项业绩，不重复得分。</w:t>
            </w:r>
          </w:p>
          <w:p>
            <w:pPr>
              <w:widowControl w:val="0"/>
              <w:kinsoku/>
              <w:overflowPunct/>
              <w:topLinePunct w:val="0"/>
              <w:bidi w:val="0"/>
              <w:spacing w:before="0" w:line="360" w:lineRule="auto"/>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1.要求提供合同关键页扫描件作为得分依据，合同中需至少包含合同首页、合同建设或服务内容、合同金额、合同履约时间、双方印章、签订时间。</w:t>
            </w:r>
          </w:p>
          <w:p>
            <w:pPr>
              <w:widowControl w:val="0"/>
              <w:tabs>
                <w:tab w:val="left" w:pos="312"/>
              </w:tabs>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2.通过合同关键信息无法判断是否得分的，还需同时提供能证明得分的其它证明资料，如项目报告或合同甲方出具的证明文件等。</w:t>
            </w:r>
          </w:p>
          <w:p>
            <w:pPr>
              <w:widowControl w:val="0"/>
              <w:numPr>
                <w:ilvl w:val="0"/>
                <w:numId w:val="0"/>
              </w:numPr>
              <w:tabs>
                <w:tab w:val="left" w:pos="312"/>
              </w:tabs>
              <w:kinsoku/>
              <w:overflowPunct/>
              <w:topLinePunct w:val="0"/>
              <w:bidi w:val="0"/>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3.未提供或未按要求提供或提供的不清晰导致专家无法判断的，不得分。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val="restart"/>
            <w:tcBorders>
              <w:top w:val="single" w:sz="4" w:space="0" w:color="auto"/>
              <w:left w:val="single" w:sz="4" w:space="0" w:color="auto"/>
              <w:bottom w:val="single" w:sz="4" w:space="0" w:color="auto"/>
              <w:right w:val="single" w:sz="4" w:space="0" w:color="auto"/>
            </w:tcBorders>
            <w:vAlign w:val="top"/>
          </w:tcPr>
          <w:p>
            <w:pPr>
              <w:keepNext w:val="0"/>
              <w:keepLines w:val="0"/>
              <w:pageBreakBefore w:val="0"/>
              <w:widowControl w:val="0"/>
              <w:kinsoku/>
              <w:overflowPunct/>
              <w:topLinePunct w:val="0"/>
              <w:autoSpaceDE/>
              <w:autoSpaceDN/>
              <w:bidi w:val="0"/>
              <w:adjustRightInd/>
              <w:snapToGrid/>
              <w:spacing w:line="360" w:lineRule="auto"/>
              <w:ind w:firstLine="0" w:firstLineChars="0"/>
              <w:jc w:val="center"/>
              <w:textAlignment w:val="auto"/>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4192"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其他部分</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2501"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768" w:type="dxa"/>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4471" w:type="dxa"/>
            <w:gridSpan w:val="3"/>
            <w:tcBorders>
              <w:top w:val="single" w:sz="4" w:space="0" w:color="auto"/>
              <w:left w:val="single" w:sz="4" w:space="0" w:color="auto"/>
              <w:bottom w:val="single" w:sz="4" w:space="0" w:color="auto"/>
              <w:right w:val="single" w:sz="4" w:space="0" w:color="auto"/>
            </w:tcBorders>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471"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numPr>
                <w:ilvl w:val="0"/>
                <w:numId w:val="0"/>
              </w:numPr>
              <w:tabs>
                <w:tab w:val="left" w:pos="312"/>
              </w:tabs>
              <w:kinsoku/>
              <w:overflowPunct/>
              <w:topLinePunct w:val="0"/>
              <w:bidi w:val="0"/>
              <w:spacing w:line="360" w:lineRule="auto"/>
              <w:ind w:left="0" w:firstLine="0" w:firstLineChars="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Before w:val="1"/>
          <w:wBefore w:w="10" w:type="dxa"/>
          <w:tblCellSpacing w:w="0" w:type="dxa"/>
        </w:trPr>
        <w:tc>
          <w:tcPr>
            <w:tcW w:w="478" w:type="dxa"/>
            <w:vMerge/>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overflowPunct/>
              <w:topLinePunct w:val="0"/>
              <w:autoSpaceDE/>
              <w:autoSpaceDN/>
              <w:bidi w:val="0"/>
              <w:adjustRightInd/>
              <w:snapToGrid/>
              <w:spacing w:line="360" w:lineRule="auto"/>
              <w:ind w:firstLine="0" w:firstLineChars="0"/>
              <w:jc w:val="both"/>
              <w:textAlignment w:val="auto"/>
              <w:rPr>
                <w:rFonts w:ascii="宋体" w:eastAsia="宋体" w:hAnsi="宋体" w:cs="宋体" w:hint="eastAsia"/>
                <w:b/>
                <w:bCs/>
                <w:color w:val="0000FF"/>
                <w:kern w:val="2"/>
                <w:sz w:val="21"/>
                <w:szCs w:val="21"/>
                <w:lang w:eastAsia="zh-CN"/>
              </w:rPr>
            </w:pPr>
          </w:p>
        </w:tc>
        <w:tc>
          <w:tcPr>
            <w:tcW w:w="8663" w:type="dxa"/>
            <w:gridSpan w:val="6"/>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line="360" w:lineRule="auto"/>
              <w:ind w:firstLine="0" w:firstLineChars="0"/>
              <w:jc w:val="both"/>
              <w:rPr>
                <w:rFonts w:ascii="宋体" w:eastAsia="宋体" w:hAnsi="宋体" w:cs="宋体" w:hint="eastAsia"/>
                <w:kern w:val="2"/>
                <w:sz w:val="21"/>
                <w:szCs w:val="21"/>
                <w:lang w:eastAsia="zh-CN"/>
              </w:rPr>
            </w:pPr>
          </w:p>
        </w:tc>
      </w:tr>
    </w:tbl>
    <w:p>
      <w:pPr>
        <w:widowControl w:val="0"/>
        <w:kinsoku/>
        <w:overflowPunct/>
        <w:topLinePunct w:val="0"/>
        <w:bidi w:val="0"/>
        <w:spacing w:line="360" w:lineRule="auto"/>
        <w:ind w:firstLine="0" w:firstLineChars="0"/>
        <w:jc w:val="both"/>
        <w:rPr>
          <w:rFonts w:ascii="宋体" w:eastAsia="宋体" w:hAnsi="宋体" w:cs="宋体" w:hint="eastAsia"/>
          <w:b/>
          <w:kern w:val="2"/>
          <w:sz w:val="120"/>
          <w:szCs w:val="120"/>
          <w:lang w:eastAsia="zh-CN"/>
        </w:rPr>
      </w:pPr>
      <w:r>
        <w:rPr>
          <w:rFonts w:ascii="宋体" w:eastAsia="宋体" w:hAnsi="宋体" w:cs="宋体" w:hint="eastAsia"/>
          <w:b/>
          <w:kern w:val="2"/>
          <w:sz w:val="120"/>
          <w:szCs w:val="1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120"/>
          <w:szCs w:val="120"/>
          <w:lang w:eastAsia="zh-CN"/>
        </w:rPr>
      </w:pPr>
      <w:r>
        <w:rPr>
          <w:rFonts w:ascii="宋体" w:eastAsia="宋体" w:hAnsi="宋体" w:cs="宋体" w:hint="eastAsia"/>
          <w:b/>
          <w:kern w:val="2"/>
          <w:sz w:val="120"/>
          <w:szCs w:val="120"/>
          <w:lang w:eastAsia="zh-CN"/>
        </w:rPr>
        <w:t>自行采购</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120"/>
          <w:szCs w:val="120"/>
          <w:lang w:eastAsia="zh-CN"/>
        </w:rPr>
      </w:pPr>
      <w:r>
        <w:rPr>
          <w:rFonts w:ascii="宋体" w:eastAsia="宋体" w:hAnsi="宋体" w:cs="宋体"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w:t>
      </w:r>
      <w:r>
        <w:rPr>
          <w:rFonts w:ascii="宋体" w:eastAsia="宋体" w:hAnsi="宋体" w:cs="宋体" w:hint="eastAsia"/>
          <w:b/>
          <w:kern w:val="2"/>
          <w:sz w:val="52"/>
          <w:szCs w:val="52"/>
          <w:lang w:eastAsia="zh-CN"/>
        </w:rPr>
        <w:t>服务</w:t>
      </w:r>
      <w:r>
        <w:rPr>
          <w:rFonts w:ascii="宋体" w:eastAsia="宋体" w:hAnsi="宋体" w:cs="宋体" w:hint="eastAsia"/>
          <w:b/>
          <w:kern w:val="2"/>
          <w:sz w:val="52"/>
          <w:szCs w:val="52"/>
          <w:lang w:eastAsia="zh-CN"/>
        </w:rPr>
        <w:t>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line="360" w:lineRule="auto"/>
        <w:ind w:firstLine="0" w:firstLineChars="0"/>
        <w:jc w:val="both"/>
        <w:rPr>
          <w:rFonts w:ascii="宋体" w:eastAsia="宋体" w:hAnsi="宋体" w:cs="宋体" w:hint="eastAsia"/>
          <w:b/>
          <w:bCs/>
          <w:kern w:val="2"/>
          <w:szCs w:val="22"/>
          <w:lang w:eastAsia="zh-CN"/>
        </w:rPr>
      </w:pPr>
    </w:p>
    <w:p>
      <w:pPr>
        <w:widowControl w:val="0"/>
        <w:kinsoku/>
        <w:overflowPunct/>
        <w:topLinePunct w:val="0"/>
        <w:bidi w:val="0"/>
        <w:spacing w:line="360" w:lineRule="auto"/>
        <w:ind w:firstLine="0" w:firstLineChars="0"/>
        <w:jc w:val="both"/>
        <w:rPr>
          <w:rFonts w:ascii="宋体" w:eastAsia="宋体" w:hAnsi="宋体" w:cs="宋体" w:hint="eastAsia"/>
          <w:b/>
          <w:bCs/>
          <w:kern w:val="2"/>
          <w:szCs w:val="22"/>
          <w:lang w:eastAsia="zh-CN"/>
        </w:rPr>
      </w:pPr>
    </w:p>
    <w:p>
      <w:pPr>
        <w:widowControl w:val="0"/>
        <w:kinsoku/>
        <w:overflowPunct/>
        <w:topLinePunct w:val="0"/>
        <w:bidi w:val="0"/>
        <w:spacing w:line="360" w:lineRule="auto"/>
        <w:ind w:firstLine="0" w:firstLineChars="0"/>
        <w:jc w:val="both"/>
        <w:rPr>
          <w:rFonts w:ascii="宋体" w:eastAsia="宋体" w:hAnsi="宋体" w:cs="宋体" w:hint="eastAsia"/>
          <w:b/>
          <w:bCs/>
          <w:kern w:val="2"/>
          <w:szCs w:val="22"/>
          <w:lang w:eastAsia="zh-CN"/>
        </w:rPr>
      </w:pPr>
    </w:p>
    <w:p>
      <w:pPr>
        <w:widowControl w:val="0"/>
        <w:kinsoku/>
        <w:overflowPunct/>
        <w:topLinePunct w:val="0"/>
        <w:bidi w:val="0"/>
        <w:spacing w:line="360" w:lineRule="auto"/>
        <w:ind w:firstLine="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44"/>
          <w:szCs w:val="44"/>
          <w:lang w:eastAsia="zh-CN"/>
        </w:rPr>
      </w:pPr>
      <w:r>
        <w:rPr>
          <w:rFonts w:ascii="宋体" w:eastAsia="宋体" w:hAnsi="宋体" w:cs="宋体" w:hint="eastAsia"/>
          <w:b/>
          <w:kern w:val="2"/>
          <w:sz w:val="44"/>
          <w:szCs w:val="44"/>
          <w:lang w:eastAsia="zh-CN"/>
        </w:rPr>
        <w:t>深圳公共资源交易中心</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44"/>
          <w:szCs w:val="44"/>
          <w:lang w:eastAsia="zh-CN"/>
        </w:rPr>
      </w:pPr>
      <w:r>
        <w:rPr>
          <w:rFonts w:ascii="宋体" w:eastAsia="宋体" w:hAnsi="宋体" w:cs="宋体" w:hint="eastAsia"/>
          <w:b/>
          <w:kern w:val="2"/>
          <w:sz w:val="44"/>
          <w:szCs w:val="44"/>
          <w:lang w:eastAsia="zh-CN"/>
        </w:rPr>
        <w:t>（202</w:t>
      </w:r>
      <w:r>
        <w:rPr>
          <w:rFonts w:ascii="宋体" w:eastAsia="宋体" w:hAnsi="宋体" w:cs="宋体" w:hint="eastAsia"/>
          <w:b/>
          <w:kern w:val="2"/>
          <w:sz w:val="44"/>
          <w:szCs w:val="44"/>
          <w:lang w:eastAsia="zh-CN"/>
        </w:rPr>
        <w:t>5</w:t>
      </w:r>
      <w:r>
        <w:rPr>
          <w:rFonts w:ascii="宋体" w:eastAsia="宋体" w:hAnsi="宋体" w:cs="宋体" w:hint="eastAsia"/>
          <w:b/>
          <w:kern w:val="2"/>
          <w:sz w:val="44"/>
          <w:szCs w:val="44"/>
          <w:lang w:eastAsia="zh-CN"/>
        </w:rPr>
        <w:t>）</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Cs/>
          <w:color w:val="FF0000"/>
          <w:kern w:val="2"/>
          <w:sz w:val="21"/>
          <w:szCs w:val="22"/>
          <w:lang w:eastAsia="zh-CN"/>
        </w:rPr>
      </w:pPr>
      <w:r>
        <w:rPr>
          <w:rFonts w:ascii="宋体" w:eastAsia="宋体" w:hAnsi="宋体" w:cs="宋体" w:hint="eastAsia"/>
          <w:b/>
          <w:color w:val="FF0000"/>
          <w:kern w:val="2"/>
          <w:sz w:val="52"/>
          <w:szCs w:val="52"/>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kern w:val="2"/>
          <w:sz w:val="21"/>
          <w:szCs w:val="21"/>
          <w:lang w:eastAsia="zh-CN"/>
        </w:rPr>
      </w:pPr>
      <w:bookmarkStart w:id="1" w:name="_Hlk73564573"/>
      <w:r>
        <w:rPr>
          <w:rFonts w:ascii="宋体" w:eastAsia="宋体" w:hAnsi="宋体" w:cs="宋体" w:hint="eastAsia"/>
          <w:b/>
          <w:bCs/>
          <w:color w:val="FF0000"/>
          <w:kern w:val="44"/>
          <w:sz w:val="28"/>
          <w:szCs w:val="44"/>
          <w:lang w:eastAsia="zh-CN"/>
        </w:rPr>
        <w:t>警示条款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一、</w:t>
      </w:r>
      <w:r>
        <w:rPr>
          <w:rFonts w:ascii="宋体" w:eastAsia="宋体" w:hAnsi="宋体" w:cs="宋体" w:hint="eastAsia"/>
          <w:b/>
          <w:bCs/>
          <w:color w:val="FF0000"/>
          <w:kern w:val="2"/>
          <w:sz w:val="20"/>
          <w:szCs w:val="20"/>
          <w:lang w:eastAsia="zh-CN"/>
        </w:rPr>
        <w:t>《深圳经济特区政府采购条例》第五十七条</w:t>
      </w:r>
      <w:r>
        <w:rPr>
          <w:rFonts w:ascii="宋体" w:eastAsia="宋体" w:hAnsi="宋体" w:cs="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（一）在采购活动中应当回避而未回避的；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（二）未按本条例规定签订、履行采购合同，造成严重后果的；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（三）隐瞒真实情况，提供虚假资料的；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（四）以非法手段排斥其他供应商参与竞争的；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（五）与其他采购参加人串通投标的；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（六）恶意投诉的；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（七）向采购项目相关人行贿或者提供其他不当利益的；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（八）阻碍、抗拒主管部门监督检查的；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（九）其他违反本条例规定的行为。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b/>
          <w:bCs/>
          <w:color w:val="FF0000"/>
          <w:kern w:val="2"/>
          <w:sz w:val="20"/>
          <w:szCs w:val="20"/>
          <w:lang w:eastAsia="zh-CN"/>
        </w:rPr>
        <w:t xml:space="preserve">二、《深圳经济特区政府采购条例实施细则》第七十五条 </w:t>
      </w:r>
      <w:r>
        <w:rPr>
          <w:rFonts w:ascii="宋体" w:eastAsia="宋体" w:hAnsi="宋体" w:cs="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b/>
          <w:bCs/>
          <w:color w:val="FF0000"/>
          <w:kern w:val="2"/>
          <w:sz w:val="20"/>
          <w:szCs w:val="20"/>
          <w:lang w:eastAsia="zh-CN"/>
        </w:rPr>
        <w:t xml:space="preserve">三、《深圳经济特区政府采购条例实施细则》第七十七条 </w:t>
      </w:r>
      <w:r>
        <w:rPr>
          <w:rFonts w:ascii="宋体" w:eastAsia="宋体" w:hAnsi="宋体" w:cs="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kern w:val="44"/>
          <w:sz w:val="32"/>
          <w:szCs w:val="32"/>
          <w:lang w:eastAsia="zh-CN"/>
        </w:rPr>
      </w:pPr>
      <w:r>
        <w:rPr>
          <w:rFonts w:ascii="宋体" w:eastAsia="宋体" w:hAnsi="宋体" w:cs="宋体" w:hint="eastAsia"/>
          <w:b/>
          <w:bCs/>
          <w:color w:val="FF0000"/>
          <w:kern w:val="2"/>
          <w:sz w:val="20"/>
          <w:szCs w:val="20"/>
          <w:lang w:eastAsia="zh-CN"/>
        </w:rPr>
        <w:t>四、请投标供应商阅读《政府采购违法行为风险知悉确认书》（内容详见“投标文件附件”），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br w:type="page"/>
      </w:r>
    </w:p>
    <w:p>
      <w:pPr>
        <w:keepNext/>
        <w:keepLines/>
        <w:widowControl w:val="0"/>
        <w:kinsoku/>
        <w:overflowPunct/>
        <w:topLinePunct w:val="0"/>
        <w:bidi w:val="0"/>
        <w:spacing w:before="0" w:beforeAutospacing="0" w:afterLines="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第一册  专用条款</w:t>
      </w: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kern w:val="2"/>
          <w:sz w:val="21"/>
          <w:szCs w:val="21"/>
          <w:lang w:eastAsia="zh-CN"/>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highlight w:val="yellow"/>
          <w:lang w:eastAsia="zh-CN"/>
        </w:rPr>
      </w:pPr>
      <w:r>
        <w:rPr>
          <w:rFonts w:ascii="宋体" w:eastAsia="宋体" w:hAnsi="宋体" w:cs="宋体" w:hint="eastAsia"/>
          <w:color w:val="FF0000"/>
          <w:sz w:val="21"/>
          <w:szCs w:val="21"/>
          <w:highlight w:val="yellow"/>
          <w:lang w:eastAsia="zh-CN"/>
        </w:rPr>
        <w:t>2.本项目不接受联合体投标，不接受投标人选用进口产品参与投标；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6.不存在《深圳市财政局政府采购供应商信用信息管理办法》（深财规〔2023〕3号）列明的严重违法失信行为（由供应商在《政府采购投标及履约承诺函》中作出声明）；</w:t>
      </w:r>
    </w:p>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w:t>
      </w:r>
      <w:r>
        <w:rPr>
          <w:rFonts w:ascii="宋体" w:eastAsia="宋体" w:hAnsi="宋体" w:cs="宋体" w:hint="eastAsia"/>
          <w:color w:val="FF0000"/>
          <w:sz w:val="21"/>
          <w:szCs w:val="21"/>
          <w:lang w:eastAsia="zh-CN"/>
        </w:rPr>
        <w:t>本项目</w:t>
      </w:r>
      <w:r>
        <w:rPr>
          <w:rFonts w:ascii="宋体" w:eastAsia="宋体" w:hAnsi="宋体" w:cs="宋体" w:hint="eastAsia"/>
          <w:color w:val="FF0000"/>
          <w:sz w:val="21"/>
          <w:szCs w:val="21"/>
          <w:lang w:eastAsia="zh-CN"/>
        </w:rPr>
        <w:t>是否</w:t>
      </w:r>
      <w:r>
        <w:rPr>
          <w:rFonts w:ascii="宋体" w:eastAsia="宋体" w:hAnsi="宋体" w:cs="宋体" w:hint="eastAsia"/>
          <w:color w:val="FF0000"/>
          <w:sz w:val="21"/>
          <w:szCs w:val="21"/>
          <w:lang w:eastAsia="zh-CN"/>
        </w:rPr>
        <w:t>专门面向中小企业采购：</w:t>
      </w:r>
      <w:r>
        <w:rPr>
          <w:rFonts w:ascii="宋体" w:eastAsia="宋体" w:hAnsi="宋体" w:cs="宋体" w:hint="eastAsia"/>
          <w:color w:val="FF0000"/>
          <w:sz w:val="21"/>
          <w:szCs w:val="21"/>
          <w:lang w:eastAsia="zh-CN"/>
        </w:rPr>
        <w:t>否。</w:t>
      </w:r>
    </w:p>
    <w:p>
      <w:pPr>
        <w:widowControl w:val="0"/>
        <w:kinsoku/>
        <w:wordWrap w:val="0"/>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（2）供应商投标（上传投标文件）必须先行办理注册手续，具体请按照本公告“六、其他补充事宜”相关内容指引办理。</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kern w:val="2"/>
          <w:sz w:val="30"/>
          <w:szCs w:val="30"/>
          <w:lang w:eastAsia="zh-CN"/>
        </w:rPr>
      </w:pPr>
      <w:r>
        <w:rPr>
          <w:rFonts w:ascii="宋体" w:eastAsia="宋体" w:hAnsi="宋体" w:cs="宋体" w:hint="eastAsia"/>
          <w:b/>
          <w:color w:val="FF0000"/>
          <w:kern w:val="2"/>
          <w:sz w:val="30"/>
          <w:szCs w:val="30"/>
          <w:lang w:eastAsia="zh-CN"/>
        </w:rPr>
        <w:t>完整公告内容以网站公布信息为准，详见：深圳政府采购自行采购系统网（https://zxcg.szggzy.com/home/index.html）</w:t>
      </w:r>
    </w:p>
    <w:p>
      <w:pPr>
        <w:widowControl w:val="0"/>
        <w:kinsoku/>
        <w:overflowPunct/>
        <w:topLinePunct w:val="0"/>
        <w:bidi w:val="0"/>
        <w:spacing w:line="360" w:lineRule="auto"/>
        <w:ind w:firstLine="0" w:firstLineChars="0"/>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br w:type="page"/>
      </w:r>
    </w:p>
    <w:p>
      <w:pPr>
        <w:keepNext/>
        <w:keepLines/>
        <w:widowControl w:val="0"/>
        <w:kinsoku/>
        <w:overflowPunct/>
        <w:topLinePunct w:val="0"/>
        <w:bidi w:val="0"/>
        <w:spacing w:beforeAutospacing="0" w:afterAutospacing="0" w:line="360" w:lineRule="auto"/>
        <w:ind w:left="0" w:right="0" w:firstLine="0" w:leftChars="0" w:firstLineChars="0"/>
        <w:jc w:val="center"/>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 xml:space="preserve">第二章 </w:t>
      </w:r>
      <w:bookmarkStart w:id="2" w:name="_Hlk71926094"/>
      <w:r>
        <w:rPr>
          <w:rFonts w:ascii="宋体" w:eastAsia="宋体" w:hAnsi="宋体" w:cs="宋体" w:hint="eastAsia"/>
          <w:b/>
          <w:bCs/>
          <w:sz w:val="28"/>
          <w:szCs w:val="28"/>
          <w:lang w:eastAsia="zh-CN"/>
        </w:rPr>
        <w:t>对通用条款的补充内容及其他关键信息</w:t>
      </w:r>
      <w:bookmarkEnd w:id="2"/>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2"/>
        <w:rPr>
          <w:rFonts w:ascii="宋体" w:eastAsia="宋体" w:hAnsi="宋体" w:cs="宋体" w:hint="eastAsia"/>
          <w:b/>
          <w:bCs/>
          <w:lang w:eastAsia="zh-CN"/>
        </w:rPr>
      </w:pPr>
      <w:bookmarkStart w:id="3" w:name="_Toc73517639"/>
      <w:bookmarkStart w:id="4" w:name="_Toc101074876"/>
      <w:bookmarkStart w:id="5" w:name="_Toc73518117"/>
      <w:bookmarkStart w:id="6" w:name="_Toc73521635"/>
      <w:bookmarkStart w:id="7" w:name="_Toc60631620"/>
      <w:bookmarkStart w:id="8" w:name="_Toc100052364"/>
      <w:bookmarkStart w:id="9" w:name="_Toc73521547"/>
      <w:bookmarkStart w:id="10" w:name="_Toc60560625"/>
      <w:r>
        <w:rPr>
          <w:rFonts w:ascii="宋体" w:eastAsia="宋体" w:hAnsi="宋体" w:cs="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通用条款序号</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涉及事项</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3.1</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采购人</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深圳市龙华区政务服务和数据管理局</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政府集中采购机构</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本文件所述的“政府集中采购机构”指</w:t>
            </w:r>
            <w:r>
              <w:rPr>
                <w:rFonts w:ascii="宋体" w:eastAsia="宋体" w:hAnsi="宋体" w:cs="宋体" w:hint="eastAsia"/>
                <w:b/>
                <w:bCs/>
                <w:kern w:val="2"/>
                <w:sz w:val="21"/>
                <w:szCs w:val="21"/>
                <w:lang w:eastAsia="zh-CN"/>
              </w:rPr>
              <w:t>深圳公共资源交易中心</w:t>
            </w:r>
            <w:r>
              <w:rPr>
                <w:rFonts w:ascii="宋体" w:eastAsia="宋体" w:hAnsi="宋体" w:cs="宋体" w:hint="eastAsia"/>
                <w:kern w:val="2"/>
                <w:sz w:val="21"/>
                <w:lang w:eastAsia="zh-CN"/>
              </w:rPr>
              <w:t>。本项目具体由深圳公共资源交易中心（深圳交易集团有限公司龙华分公司）执行</w:t>
            </w:r>
            <w:r>
              <w:rPr>
                <w:rFonts w:ascii="宋体" w:eastAsia="宋体" w:hAnsi="宋体" w:cs="宋体" w:hint="eastAsia"/>
                <w:bCs/>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5.3</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联合体投标</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lang w:eastAsia="zh-CN"/>
              </w:rPr>
            </w:pPr>
            <w:r>
              <w:rPr>
                <w:rFonts w:ascii="宋体" w:eastAsia="宋体" w:hAnsi="宋体" w:cs="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踏勘现场</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lang w:eastAsia="zh-CN"/>
              </w:rPr>
            </w:pPr>
            <w:r>
              <w:rPr>
                <w:rFonts w:ascii="宋体" w:eastAsia="宋体" w:hAnsi="宋体" w:cs="宋体" w:hint="eastAsia"/>
                <w:kern w:val="2"/>
                <w:sz w:val="21"/>
                <w:lang w:eastAsia="zh-CN"/>
              </w:rPr>
              <w:t>不</w:t>
            </w:r>
            <w:r>
              <w:rPr>
                <w:rFonts w:ascii="宋体" w:eastAsia="宋体" w:hAnsi="宋体" w:cs="宋体" w:hint="eastAsia"/>
                <w:kern w:val="2"/>
                <w:sz w:val="21"/>
                <w:lang w:eastAsia="zh-CN"/>
              </w:rPr>
              <w:t>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标前会议</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lang w:eastAsia="zh-CN"/>
              </w:rPr>
            </w:pPr>
            <w:r>
              <w:rPr>
                <w:rFonts w:ascii="宋体" w:eastAsia="宋体" w:hAnsi="宋体" w:cs="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12/13</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招标文件的澄清和修改</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20</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投标有效期</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22</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投标人的替代方案</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投标文件的大小</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26</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bookmarkStart w:id="11" w:name="_Hlk71664860"/>
            <w:r>
              <w:rPr>
                <w:rFonts w:ascii="宋体" w:eastAsia="宋体" w:hAnsi="宋体" w:cs="宋体" w:hint="eastAsia"/>
                <w:kern w:val="2"/>
                <w:sz w:val="21"/>
                <w:szCs w:val="22"/>
                <w:lang w:eastAsia="zh-CN"/>
              </w:rPr>
              <w:t>样品、现场演示、方案讲解</w:t>
            </w:r>
            <w:bookmarkEnd w:id="11"/>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37</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评审方法</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38</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定标方法</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kern w:val="2"/>
                <w:sz w:val="21"/>
                <w:szCs w:val="22"/>
                <w:lang w:eastAsia="zh-CN"/>
              </w:rPr>
            </w:pPr>
            <w:r>
              <w:rPr>
                <w:rFonts w:ascii="宋体" w:eastAsia="宋体" w:hAnsi="宋体" w:cs="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46</w:t>
            </w:r>
          </w:p>
        </w:tc>
        <w:tc>
          <w:tcPr>
            <w:tcW w:w="1755"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履约担保</w:t>
            </w:r>
          </w:p>
        </w:tc>
        <w:tc>
          <w:tcPr>
            <w:tcW w:w="6795" w:type="dxa"/>
            <w:vAlign w:val="center"/>
          </w:tcPr>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不需要</w:t>
            </w:r>
          </w:p>
        </w:tc>
      </w:tr>
      <w:bookmarkEnd w:id="3"/>
      <w:bookmarkEnd w:id="4"/>
      <w:bookmarkEnd w:id="5"/>
      <w:bookmarkEnd w:id="6"/>
      <w:bookmarkEnd w:id="7"/>
      <w:bookmarkEnd w:id="8"/>
      <w:bookmarkEnd w:id="9"/>
      <w:bookmarkEnd w:id="10"/>
    </w:tbl>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备注：本表是通用条款相关条款的补充和明确，如与通用条款内容相冲突的，以本表为准。</w:t>
      </w: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2"/>
        <w:rPr>
          <w:rFonts w:ascii="宋体" w:eastAsia="宋体" w:hAnsi="宋体" w:cs="宋体" w:hint="eastAsia"/>
          <w:b/>
          <w:bCs/>
          <w:lang w:eastAsia="zh-CN"/>
        </w:rPr>
      </w:pPr>
      <w:r>
        <w:rPr>
          <w:rFonts w:ascii="宋体" w:eastAsia="宋体" w:hAnsi="宋体" w:cs="宋体" w:hint="eastAsia"/>
          <w:b/>
          <w:bCs/>
          <w:lang w:eastAsia="zh-CN"/>
        </w:rPr>
        <w:t>二、其他关键信息</w:t>
      </w:r>
    </w:p>
    <w:p>
      <w:pPr>
        <w:widowControl w:val="0"/>
        <w:tabs>
          <w:tab w:val="left" w:pos="720"/>
        </w:tabs>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（一）</w:t>
      </w:r>
      <w:r>
        <w:rPr>
          <w:rFonts w:ascii="宋体" w:eastAsia="宋体" w:hAnsi="宋体" w:cs="宋体" w:hint="eastAsia"/>
          <w:bCs/>
          <w:kern w:val="2"/>
          <w:szCs w:val="22"/>
          <w:lang w:eastAsia="zh-CN"/>
        </w:rPr>
        <w:t>与“对通用条款的补充内容”章节相关的事项</w:t>
      </w:r>
    </w:p>
    <w:p>
      <w:pPr>
        <w:widowControl w:val="0"/>
        <w:tabs>
          <w:tab w:val="left" w:pos="720"/>
        </w:tabs>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Cs w:val="22"/>
          <w:lang w:eastAsia="zh-CN"/>
        </w:rPr>
      </w:pPr>
      <w:r>
        <w:rPr>
          <w:rFonts w:ascii="宋体" w:eastAsia="宋体" w:hAnsi="宋体" w:cs="宋体" w:hint="eastAsia"/>
          <w:bCs/>
          <w:kern w:val="2"/>
          <w:szCs w:val="22"/>
          <w:lang w:eastAsia="zh-CN"/>
        </w:rPr>
        <w:t>1、评标定标信息</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 w:val="21"/>
          <w:szCs w:val="22"/>
          <w:lang w:eastAsia="zh-CN"/>
        </w:rPr>
        <w:t>非评定分离项目</w:t>
      </w:r>
    </w:p>
    <w:tbl>
      <w:tblPr>
        <w:tblStyle w:val="TableGrid"/>
        <w:tblW w:w="5000" w:type="pct"/>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74"/>
        <w:gridCol w:w="4882"/>
      </w:tblGrid>
      <w:tr>
        <w:tblPrEx>
          <w:tblW w:w="5000" w:type="pct"/>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9"/>
        </w:trPr>
        <w:tc>
          <w:tcPr>
            <w:tcW w:w="4255"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评标方法</w:t>
            </w:r>
          </w:p>
        </w:tc>
        <w:tc>
          <w:tcPr>
            <w:tcW w:w="5232"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综合评分法</w:t>
            </w:r>
          </w:p>
        </w:tc>
      </w:tr>
      <w:tr>
        <w:tblPrEx>
          <w:tblW w:w="5000" w:type="pct"/>
          <w:tblInd w:w="-326" w:type="dxa"/>
          <w:tblLayout w:type="fixed"/>
          <w:tblCellMar>
            <w:top w:w="0" w:type="dxa"/>
            <w:left w:w="108" w:type="dxa"/>
            <w:bottom w:w="0" w:type="dxa"/>
            <w:right w:w="108" w:type="dxa"/>
          </w:tblCellMar>
        </w:tblPrEx>
        <w:trPr>
          <w:trHeight w:val="389"/>
        </w:trPr>
        <w:tc>
          <w:tcPr>
            <w:tcW w:w="4255"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候选中标供应商家数</w:t>
            </w:r>
          </w:p>
        </w:tc>
        <w:tc>
          <w:tcPr>
            <w:tcW w:w="5232"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3</w:t>
            </w:r>
          </w:p>
        </w:tc>
      </w:tr>
      <w:tr>
        <w:tblPrEx>
          <w:tblW w:w="5000" w:type="pct"/>
          <w:tblInd w:w="-326" w:type="dxa"/>
          <w:tblLayout w:type="fixed"/>
          <w:tblCellMar>
            <w:top w:w="0" w:type="dxa"/>
            <w:left w:w="108" w:type="dxa"/>
            <w:bottom w:w="0" w:type="dxa"/>
            <w:right w:w="108" w:type="dxa"/>
          </w:tblCellMar>
        </w:tblPrEx>
        <w:trPr>
          <w:trHeight w:val="398"/>
        </w:trPr>
        <w:tc>
          <w:tcPr>
            <w:tcW w:w="4255"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中标供应商家数</w:t>
            </w:r>
          </w:p>
        </w:tc>
        <w:tc>
          <w:tcPr>
            <w:tcW w:w="5232"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1</w:t>
            </w:r>
          </w:p>
        </w:tc>
      </w:tr>
    </w:tbl>
    <w:p>
      <w:pPr>
        <w:widowControl w:val="0"/>
        <w:tabs>
          <w:tab w:val="left" w:pos="720"/>
        </w:tabs>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（二）其他事项</w:t>
      </w:r>
    </w:p>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1、关于享受优惠政策的主体及价格扣除比例</w:t>
      </w:r>
    </w:p>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bookmarkStart w:id="12" w:name="OLE_LINK5"/>
      <w:bookmarkStart w:id="13" w:name="OLE_LINK6"/>
      <w:r>
        <w:rPr>
          <w:rFonts w:ascii="宋体" w:eastAsia="宋体" w:hAnsi="宋体" w:cs="宋体" w:hint="eastAsia"/>
          <w:kern w:val="2"/>
          <w:sz w:val="21"/>
          <w:szCs w:val="22"/>
          <w:lang w:eastAsia="zh-CN"/>
        </w:rPr>
        <w:t>（1）</w:t>
      </w:r>
      <w:r>
        <w:rPr>
          <w:rFonts w:ascii="宋体" w:eastAsia="宋体" w:hAnsi="宋体" w:cs="宋体" w:hint="eastAsia"/>
          <w:kern w:val="2"/>
          <w:sz w:val="21"/>
          <w:szCs w:val="22"/>
          <w:lang w:eastAsia="zh-CN"/>
        </w:rPr>
        <w:t>非专门面向中小企业采购的项目，应执行价格扣除比例：供应商</w:t>
      </w:r>
      <w:r>
        <w:rPr>
          <w:rFonts w:ascii="宋体" w:eastAsia="宋体" w:hAnsi="宋体" w:cs="宋体" w:hint="eastAsia"/>
          <w:kern w:val="2"/>
          <w:sz w:val="21"/>
          <w:szCs w:val="22"/>
          <w:lang w:eastAsia="zh-CN"/>
        </w:rPr>
        <w:t>提供的服务全部由优惠主体承接，则对其投标总价给予</w:t>
      </w:r>
      <w:r>
        <w:rPr>
          <w:rFonts w:ascii="宋体" w:eastAsia="宋体" w:hAnsi="宋体" w:cs="宋体" w:hint="eastAsia"/>
          <w:color w:val="FF0000"/>
          <w:kern w:val="2"/>
          <w:sz w:val="21"/>
          <w:szCs w:val="22"/>
          <w:u w:val="single"/>
          <w:lang w:eastAsia="zh-CN"/>
        </w:rPr>
        <w:t>【</w:t>
      </w:r>
      <w:r>
        <w:rPr>
          <w:rFonts w:ascii="宋体" w:eastAsia="宋体" w:hAnsi="宋体" w:cs="宋体" w:hint="eastAsia"/>
          <w:color w:val="FF0000"/>
          <w:kern w:val="2"/>
          <w:sz w:val="21"/>
          <w:szCs w:val="22"/>
          <w:u w:val="single"/>
          <w:lang w:eastAsia="zh-CN"/>
        </w:rPr>
        <w:t>10%</w:t>
      </w:r>
      <w:r>
        <w:rPr>
          <w:rFonts w:ascii="宋体" w:eastAsia="宋体" w:hAnsi="宋体" w:cs="宋体" w:hint="eastAsia"/>
          <w:color w:val="FF0000"/>
          <w:kern w:val="2"/>
          <w:sz w:val="21"/>
          <w:szCs w:val="22"/>
          <w:u w:val="single"/>
          <w:lang w:eastAsia="zh-CN"/>
        </w:rPr>
        <w:t>】</w:t>
      </w:r>
      <w:r>
        <w:rPr>
          <w:rFonts w:ascii="宋体" w:eastAsia="宋体" w:hAnsi="宋体" w:cs="宋体" w:hint="eastAsia"/>
          <w:kern w:val="2"/>
          <w:sz w:val="21"/>
          <w:szCs w:val="22"/>
          <w:lang w:eastAsia="zh-CN"/>
        </w:rPr>
        <w:t>的扣除，用扣除后的价格参与评审。满足多项优惠政策的企业，不重复享受多项价格扣除政策。</w:t>
      </w:r>
    </w:p>
    <w:bookmarkEnd w:id="12"/>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备注：（a）</w:t>
      </w:r>
      <w:r>
        <w:rPr>
          <w:rFonts w:ascii="宋体" w:eastAsia="宋体" w:hAnsi="宋体" w:cs="宋体" w:hint="eastAsia"/>
          <w:kern w:val="2"/>
          <w:sz w:val="21"/>
          <w:szCs w:val="22"/>
          <w:lang w:eastAsia="zh-CN"/>
        </w:rPr>
        <w:t>享受价格扣除</w:t>
      </w:r>
      <w:r>
        <w:rPr>
          <w:rFonts w:ascii="宋体" w:eastAsia="宋体" w:hAnsi="宋体" w:cs="宋体"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bookmarkEnd w:id="13"/>
    <w:p>
      <w:pPr>
        <w:pageBreakBefore w:val="0"/>
        <w:widowControl w:val="0"/>
        <w:numPr>
          <w:ilvl w:val="0"/>
          <w:numId w:val="0"/>
        </w:numPr>
        <w:kinsoku/>
        <w:overflowPunct/>
        <w:topLinePunct w:val="0"/>
        <w:bidi w:val="0"/>
        <w:spacing w:beforeAutospacing="0" w:afterAutospacing="0" w:line="360" w:lineRule="auto"/>
        <w:ind w:left="0" w:right="0" w:firstLine="0" w:leftChars="0" w:righ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2</w:t>
      </w:r>
      <w:r>
        <w:rPr>
          <w:rFonts w:ascii="宋体" w:eastAsia="宋体" w:hAnsi="宋体" w:cs="宋体" w:hint="eastAsia"/>
          <w:kern w:val="2"/>
          <w:sz w:val="21"/>
          <w:szCs w:val="22"/>
          <w:lang w:eastAsia="zh-CN"/>
        </w:rPr>
        <w:t>）</w:t>
      </w:r>
      <w:r>
        <w:rPr>
          <w:rFonts w:ascii="宋体" w:eastAsia="宋体" w:hAnsi="宋体" w:cs="宋体" w:hint="eastAsia"/>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2"/>
          <w:lang w:eastAsia="zh-CN"/>
        </w:rPr>
        <w:t>，</w:t>
      </w:r>
      <w:r>
        <w:rPr>
          <w:rFonts w:ascii="宋体" w:eastAsia="宋体" w:hAnsi="宋体" w:cs="宋体" w:hint="eastAsia"/>
          <w:b/>
          <w:bCs/>
          <w:color w:val="FF0000"/>
          <w:kern w:val="2"/>
          <w:sz w:val="21"/>
          <w:szCs w:val="22"/>
          <w:lang w:eastAsia="zh-CN"/>
        </w:rPr>
        <w:t>标的所属行业</w:t>
      </w:r>
      <w:r>
        <w:rPr>
          <w:rFonts w:ascii="宋体" w:eastAsia="宋体" w:hAnsi="宋体" w:cs="宋体" w:hint="eastAsia"/>
          <w:b/>
          <w:bCs/>
          <w:color w:val="FF0000"/>
          <w:kern w:val="2"/>
          <w:sz w:val="21"/>
          <w:szCs w:val="22"/>
          <w:lang w:eastAsia="zh-CN"/>
        </w:rPr>
        <w:t>以招标文件第一册第三章用户需求书“服务需求明细”的“标的所属行业”一栏为准</w:t>
      </w:r>
      <w:r>
        <w:rPr>
          <w:rFonts w:ascii="宋体" w:eastAsia="宋体" w:hAnsi="宋体" w:cs="宋体" w:hint="eastAsia"/>
          <w:b/>
          <w:bCs/>
          <w:color w:val="FF0000"/>
          <w:kern w:val="2"/>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right="0" w:firstLine="0" w:leftChars="0" w:firstLineChars="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小型企业、微</w:t>
      </w:r>
      <w:r>
        <w:rPr>
          <w:rFonts w:ascii="宋体" w:eastAsia="宋体" w:hAnsi="宋体" w:cs="宋体"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pageBreakBefore w:val="0"/>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4</w:t>
      </w:r>
      <w:r>
        <w:rPr>
          <w:rFonts w:ascii="宋体" w:eastAsia="宋体" w:hAnsi="宋体" w:cs="宋体" w:hint="eastAsia"/>
          <w:kern w:val="2"/>
          <w:sz w:val="21"/>
          <w:szCs w:val="22"/>
          <w:lang w:eastAsia="zh-CN"/>
        </w:rPr>
        <w:t>）享受价格扣除获得政府采购合同的，小微企业不得将合同分包给大中型企业。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lang w:eastAsia="zh-CN"/>
        </w:rPr>
      </w:pPr>
      <w:r>
        <w:rPr>
          <w:rFonts w:ascii="宋体" w:eastAsia="宋体" w:hAnsi="宋体" w:cs="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3、本项目为代理服务项目，将向中标（成交）供应商收取代理服务费。</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u w:val="single"/>
          <w:lang w:eastAsia="zh-CN"/>
        </w:rPr>
        <w:t>服务</w:t>
      </w:r>
      <w:r>
        <w:rPr>
          <w:rFonts w:ascii="宋体" w:eastAsia="宋体" w:hAnsi="宋体" w:cs="宋体" w:hint="eastAsia"/>
          <w:b/>
          <w:bCs/>
          <w:color w:val="FF0000"/>
          <w:kern w:val="2"/>
          <w:sz w:val="21"/>
          <w:szCs w:val="21"/>
          <w:u w:val="single"/>
          <w:lang w:eastAsia="zh-CN"/>
        </w:rPr>
        <w:t>采购</w:t>
      </w:r>
      <w:r>
        <w:rPr>
          <w:rFonts w:ascii="宋体" w:eastAsia="宋体" w:hAnsi="宋体" w:cs="宋体" w:hint="eastAsia"/>
          <w:color w:val="FF0000"/>
          <w:kern w:val="2"/>
          <w:sz w:val="21"/>
          <w:szCs w:val="21"/>
          <w:lang w:eastAsia="zh-CN"/>
        </w:rPr>
        <w:t>：</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（1）代理服务费以《中标（成交）通知书》确定的中标（成交）金额作为计算基数，按差额定率累进法计算。</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46"/>
        <w:gridCol w:w="1870"/>
        <w:gridCol w:w="1870"/>
        <w:gridCol w:w="187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中标（成交）金额</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货物采购</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服务采购</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100万元以下</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100万元（含）-500万元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1.1%</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0.8%</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500万元（含）-1000万元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0.8%</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0.45%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1000万元（含）-5000万元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5000万元（含）-1亿元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0.1%</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1亿元（含）-5亿元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5亿元（含）-10亿元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10亿元（含）-50亿元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50亿元（含）-100亿元</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100亿元（含）以上</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c>
          <w:tcPr>
            <w:tcW w:w="1799" w:type="dxa"/>
            <w:vAlign w:val="center"/>
          </w:tcPr>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r>
    </w:tbl>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备注：1.每宗交易代理服务费不低于 5000 元；</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如某货物采购项目，中标（成交）金额为600万元，总共交纳的代理服务费的具体计算过程如下：</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Cs/>
          <w:kern w:val="44"/>
          <w:sz w:val="21"/>
          <w:szCs w:val="21"/>
          <w:lang w:eastAsia="zh-CN"/>
        </w:rPr>
      </w:pPr>
      <w:r>
        <w:rPr>
          <w:rFonts w:ascii="宋体" w:eastAsia="宋体" w:hAnsi="宋体" w:cs="宋体" w:hint="eastAsia"/>
          <w:color w:val="FF0000"/>
          <w:kern w:val="2"/>
          <w:sz w:val="21"/>
          <w:szCs w:val="21"/>
          <w:lang w:eastAsia="zh-CN"/>
        </w:rPr>
        <w:t>（3）中标（成交）供应商成交后，必须按规定采用银行对公转账方式向深圳交易集团有限公司直接交纳代理服务费，交纳信息及要求按照缴款（付款）通知书执行。</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Cs/>
          <w:kern w:val="44"/>
          <w:sz w:val="28"/>
          <w:szCs w:val="44"/>
          <w:lang w:eastAsia="zh-CN"/>
        </w:rPr>
      </w:pPr>
      <w:r>
        <w:rPr>
          <w:rFonts w:ascii="宋体" w:eastAsia="宋体" w:hAnsi="宋体" w:cs="宋体" w:hint="eastAsia"/>
          <w:bCs/>
          <w:kern w:val="44"/>
          <w:sz w:val="28"/>
          <w:szCs w:val="44"/>
          <w:lang w:eastAsia="zh-CN"/>
        </w:rPr>
        <w:br w:type="page"/>
      </w: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bCs/>
          <w:color w:val="FF0000"/>
          <w:sz w:val="28"/>
          <w:szCs w:val="28"/>
          <w:lang w:eastAsia="zh-CN"/>
        </w:rPr>
        <w:t xml:space="preserve">第三章 </w:t>
      </w:r>
      <w:r>
        <w:rPr>
          <w:rFonts w:ascii="宋体" w:eastAsia="宋体" w:hAnsi="宋体" w:cs="宋体" w:hint="eastAsia"/>
          <w:b/>
          <w:bCs/>
          <w:color w:val="FF0000"/>
          <w:sz w:val="28"/>
          <w:szCs w:val="28"/>
          <w:lang w:eastAsia="zh-CN"/>
        </w:rPr>
        <w:t>★</w:t>
      </w:r>
      <w:r>
        <w:rPr>
          <w:rFonts w:ascii="宋体" w:eastAsia="宋体" w:hAnsi="宋体" w:cs="宋体" w:hint="eastAsia"/>
          <w:b/>
          <w:bCs/>
          <w:color w:val="FF0000"/>
          <w:sz w:val="28"/>
          <w:szCs w:val="28"/>
          <w:lang w:eastAsia="zh-CN"/>
        </w:rPr>
        <w:t>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735"/>
        <w:gridCol w:w="1603"/>
        <w:gridCol w:w="3942"/>
        <w:gridCol w:w="2390"/>
      </w:tblGrid>
      <w:tr>
        <w:tblPrEx>
          <w:tblW w:w="5000" w:type="pct"/>
          <w:jc w:val="center"/>
          <w:tblLayout w:type="fixed"/>
          <w:tblCellMar>
            <w:top w:w="15" w:type="dxa"/>
            <w:left w:w="15" w:type="dxa"/>
            <w:bottom w:w="15" w:type="dxa"/>
            <w:right w:w="15" w:type="dxa"/>
          </w:tblCellMar>
        </w:tblPrEx>
        <w:trPr>
          <w:trHeight w:val="552"/>
          <w:jc w:val="center"/>
        </w:trPr>
        <w:tc>
          <w:tcPr>
            <w:tcW w:w="739"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1614"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项目编号</w:t>
            </w:r>
          </w:p>
        </w:tc>
        <w:tc>
          <w:tcPr>
            <w:tcW w:w="3969"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采购项目名称</w:t>
            </w:r>
          </w:p>
        </w:tc>
        <w:tc>
          <w:tcPr>
            <w:tcW w:w="2406"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财政预算限额（元）</w:t>
            </w:r>
          </w:p>
        </w:tc>
      </w:tr>
      <w:tr>
        <w:tblPrEx>
          <w:tblW w:w="5000" w:type="pct"/>
          <w:jc w:val="center"/>
          <w:tblLayout w:type="fixed"/>
          <w:tblCellMar>
            <w:top w:w="15" w:type="dxa"/>
            <w:left w:w="15" w:type="dxa"/>
            <w:bottom w:w="15" w:type="dxa"/>
            <w:right w:w="15" w:type="dxa"/>
          </w:tblCellMar>
        </w:tblPrEx>
        <w:trPr>
          <w:trHeight w:val="286"/>
          <w:jc w:val="center"/>
        </w:trPr>
        <w:tc>
          <w:tcPr>
            <w:tcW w:w="739"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1614"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LHAZXCG-2025-00111</w:t>
            </w:r>
            <w:bookmarkStart w:id="14" w:name="_GoBack"/>
            <w:bookmarkEnd w:id="14"/>
          </w:p>
        </w:tc>
        <w:tc>
          <w:tcPr>
            <w:tcW w:w="3969" w:type="dxa"/>
            <w:tcBorders>
              <w:top w:val="single" w:sz="4" w:space="0" w:color="auto"/>
              <w:left w:val="single" w:sz="4" w:space="0" w:color="auto"/>
              <w:bottom w:val="single" w:sz="4" w:space="0" w:color="auto"/>
              <w:right w:val="single" w:sz="4" w:space="0" w:color="auto"/>
            </w:tcBorders>
            <w:vAlign w:val="center"/>
          </w:tcPr>
          <w:p>
            <w:pPr>
              <w:widowControl/>
              <w:kinsoku/>
              <w:overflowPunct/>
              <w:topLinePunct w:val="0"/>
              <w:bidi w:val="0"/>
              <w:spacing w:line="360" w:lineRule="auto"/>
              <w:ind w:firstLine="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“AI+”绩效管理系统项目</w:t>
            </w:r>
          </w:p>
        </w:tc>
        <w:tc>
          <w:tcPr>
            <w:tcW w:w="2406" w:type="dxa"/>
            <w:tcBorders>
              <w:top w:val="single" w:sz="4" w:space="0" w:color="auto"/>
              <w:left w:val="single" w:sz="4" w:space="0" w:color="auto"/>
              <w:bottom w:val="single" w:sz="4" w:space="0" w:color="auto"/>
              <w:right w:val="single" w:sz="4" w:space="0" w:color="auto"/>
            </w:tcBorders>
            <w:vAlign w:val="center"/>
          </w:tcPr>
          <w:p>
            <w:pPr>
              <w:widowControl/>
              <w:kinsoku/>
              <w:overflowPunct/>
              <w:topLinePunct w:val="0"/>
              <w:bidi w:val="0"/>
              <w:spacing w:line="360" w:lineRule="auto"/>
              <w:ind w:firstLine="0" w:firstLineChars="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287,500.00</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color w:val="FF0000"/>
          <w:kern w:val="2"/>
          <w:lang w:eastAsia="zh-CN"/>
        </w:rPr>
        <w:t>本项目控制金额为人民币</w:t>
      </w:r>
      <w:r>
        <w:rPr>
          <w:rFonts w:ascii="宋体" w:eastAsia="宋体" w:hAnsi="宋体" w:cs="宋体" w:hint="eastAsia"/>
          <w:b/>
          <w:color w:val="FF0000"/>
          <w:kern w:val="2"/>
          <w:lang w:eastAsia="zh-CN"/>
        </w:rPr>
        <w:t>287</w:t>
      </w:r>
      <w:r>
        <w:rPr>
          <w:rFonts w:ascii="宋体" w:eastAsia="宋体" w:hAnsi="宋体" w:cs="宋体" w:hint="eastAsia"/>
          <w:b/>
          <w:color w:val="FF0000"/>
          <w:kern w:val="2"/>
          <w:lang w:eastAsia="zh-CN"/>
        </w:rPr>
        <w:t>,</w:t>
      </w:r>
      <w:r>
        <w:rPr>
          <w:rFonts w:ascii="宋体" w:eastAsia="宋体" w:hAnsi="宋体" w:cs="宋体" w:hint="eastAsia"/>
          <w:b/>
          <w:color w:val="FF0000"/>
          <w:kern w:val="2"/>
          <w:lang w:eastAsia="zh-CN"/>
        </w:rPr>
        <w:t>5</w:t>
      </w:r>
      <w:r>
        <w:rPr>
          <w:rFonts w:ascii="宋体" w:eastAsia="宋体" w:hAnsi="宋体" w:cs="宋体" w:hint="eastAsia"/>
          <w:b/>
          <w:color w:val="FF0000"/>
          <w:kern w:val="2"/>
          <w:lang w:eastAsia="zh-CN"/>
        </w:rPr>
        <w:t>00.00元，投标报价超出控制金额将作投标无效处理。</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二、项目内容</w:t>
      </w:r>
    </w:p>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按照市、区有关工作安排，为进一步规范公务员管理，改进干部考核方式，激发干事创业精神，建设高素质、专业化的公务员队伍，我局拟依托区政务办公系统打造“AI+”绩效管理系统项目。</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三、</w:t>
      </w:r>
      <w:r>
        <w:rPr>
          <w:rFonts w:ascii="宋体" w:eastAsia="宋体" w:hAnsi="宋体" w:cs="宋体" w:hint="eastAsia"/>
          <w:b/>
          <w:kern w:val="2"/>
          <w:sz w:val="32"/>
          <w:szCs w:val="32"/>
          <w:lang w:eastAsia="zh-CN"/>
        </w:rPr>
        <w:t>服务需求明细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
        <w:gridCol w:w="2650"/>
        <w:gridCol w:w="970"/>
        <w:gridCol w:w="905"/>
        <w:gridCol w:w="1468"/>
        <w:gridCol w:w="19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888" w:type="dxa"/>
            <w:vAlign w:val="center"/>
          </w:tcPr>
          <w:p>
            <w:pPr>
              <w:pageBreakBefore w:val="0"/>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bookmarkStart w:id="15" w:name="_Toc128884461"/>
            <w:r>
              <w:rPr>
                <w:rFonts w:ascii="宋体" w:eastAsia="宋体" w:hAnsi="宋体" w:cs="宋体" w:hint="eastAsia"/>
                <w:bCs/>
                <w:kern w:val="2"/>
                <w:sz w:val="21"/>
                <w:szCs w:val="21"/>
                <w:lang w:eastAsia="zh-CN"/>
              </w:rPr>
              <w:t>序号</w:t>
            </w:r>
          </w:p>
        </w:tc>
        <w:tc>
          <w:tcPr>
            <w:tcW w:w="25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服务需求名称（标的名称）</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数量</w:t>
            </w:r>
          </w:p>
        </w:tc>
        <w:tc>
          <w:tcPr>
            <w:tcW w:w="8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单位</w:t>
            </w:r>
          </w:p>
        </w:tc>
        <w:tc>
          <w:tcPr>
            <w:tcW w:w="143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b/>
                <w:color w:val="FF0000"/>
                <w:kern w:val="2"/>
                <w:sz w:val="21"/>
                <w:szCs w:val="21"/>
                <w:lang w:eastAsia="zh-CN"/>
              </w:rPr>
              <w:t>是否专门面向中小企业</w:t>
            </w:r>
          </w:p>
        </w:tc>
        <w:tc>
          <w:tcPr>
            <w:tcW w:w="19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b/>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90"/>
          <w:jc w:val="center"/>
        </w:trPr>
        <w:tc>
          <w:tcPr>
            <w:tcW w:w="888" w:type="dxa"/>
            <w:vAlign w:val="center"/>
          </w:tcPr>
          <w:p>
            <w:pPr>
              <w:pageBreakBefore w:val="0"/>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25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2"/>
                <w:lang w:eastAsia="zh-CN"/>
              </w:rPr>
              <w:t>“AI+”绩效管理系统项目</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firstLine="0" w:leftChars="0" w:firstLineChars="0"/>
              <w:jc w:val="center"/>
              <w:textAlignment w:val="auto"/>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887" w:type="dxa"/>
            <w:vAlign w:val="center"/>
          </w:tcPr>
          <w:p>
            <w:pPr>
              <w:pageBreakBefore w:val="0"/>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项</w:t>
            </w:r>
          </w:p>
        </w:tc>
        <w:tc>
          <w:tcPr>
            <w:tcW w:w="1438" w:type="dxa"/>
            <w:vAlign w:val="center"/>
          </w:tcPr>
          <w:p>
            <w:pPr>
              <w:pageBreakBefore w:val="0"/>
              <w:widowControl w:val="0"/>
              <w:kinsoku/>
              <w:overflowPunct/>
              <w:topLinePunct w:val="0"/>
              <w:bidi w:val="0"/>
              <w:spacing w:beforeAutospacing="0" w:afterAutospacing="0" w:line="360" w:lineRule="auto"/>
              <w:ind w:left="0" w:right="0" w:firstLine="0" w:leftChars="0" w:rightChars="0" w:firstLineChars="0"/>
              <w:jc w:val="center"/>
              <w:rPr>
                <w:rFonts w:ascii="宋体" w:eastAsia="宋体" w:hAnsi="宋体" w:cs="宋体" w:hint="eastAsia"/>
                <w:bCs/>
                <w:kern w:val="2"/>
                <w:sz w:val="21"/>
                <w:szCs w:val="21"/>
                <w:lang w:eastAsia="zh-CN"/>
              </w:rPr>
            </w:pPr>
            <w:r>
              <w:rPr>
                <w:rFonts w:ascii="宋体" w:eastAsia="宋体" w:hAnsi="宋体" w:cs="宋体" w:hint="eastAsia"/>
                <w:b/>
                <w:color w:val="FF0000"/>
                <w:kern w:val="2"/>
                <w:sz w:val="21"/>
                <w:szCs w:val="21"/>
                <w:lang w:eastAsia="zh-CN"/>
              </w:rPr>
              <w:t>否</w:t>
            </w:r>
          </w:p>
        </w:tc>
        <w:tc>
          <w:tcPr>
            <w:tcW w:w="1917" w:type="dxa"/>
            <w:vAlign w:val="center"/>
          </w:tcPr>
          <w:p>
            <w:pPr>
              <w:pageBreakBefore w:val="0"/>
              <w:widowControl w:val="0"/>
              <w:kinsoku/>
              <w:overflowPunct/>
              <w:topLinePunct w:val="0"/>
              <w:bidi w:val="0"/>
              <w:spacing w:beforeAutospacing="0" w:afterAutospacing="0" w:line="360" w:lineRule="auto"/>
              <w:ind w:left="0" w:right="0" w:firstLine="0" w:leftChars="0" w:rightChars="0" w:firstLineChars="0"/>
              <w:jc w:val="center"/>
              <w:rPr>
                <w:rFonts w:ascii="宋体" w:eastAsia="宋体" w:hAnsi="宋体" w:cs="宋体" w:hint="eastAsia"/>
                <w:bCs/>
                <w:kern w:val="2"/>
                <w:sz w:val="21"/>
                <w:szCs w:val="21"/>
                <w:lang w:eastAsia="zh-CN"/>
              </w:rPr>
            </w:pPr>
            <w:r>
              <w:rPr>
                <w:rFonts w:ascii="宋体" w:eastAsia="宋体" w:hAnsi="宋体" w:cs="宋体" w:hint="eastAsia"/>
                <w:b/>
                <w:color w:val="FF0000"/>
                <w:kern w:val="2"/>
                <w:sz w:val="21"/>
                <w:szCs w:val="21"/>
                <w:lang w:eastAsia="zh-CN"/>
              </w:rPr>
              <w:t>软件和信息技术服务业</w:t>
            </w:r>
          </w:p>
        </w:tc>
      </w:tr>
    </w:tbl>
    <w:p>
      <w:pPr>
        <w:widowControl w:val="0"/>
        <w:kinsoku/>
        <w:overflowPunct/>
        <w:topLinePunct w:val="0"/>
        <w:bidi w:val="0"/>
        <w:spacing w:before="0" w:beforeAutospacing="0" w:after="0" w:afterAutospacing="0" w:line="360" w:lineRule="auto"/>
        <w:ind w:left="0" w:right="0" w:firstLine="0" w:leftChars="0" w:firstLineChars="0"/>
        <w:jc w:val="center"/>
        <w:outlineLvl w:val="1"/>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四、实质性条款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5"/>
        <w:gridCol w:w="75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1259"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7483"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1259"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7483"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kern w:val="2"/>
                <w:sz w:val="21"/>
                <w:szCs w:val="22"/>
                <w:lang w:eastAsia="zh-CN"/>
              </w:rPr>
              <w:t>第三章用户需求书全部内容</w:t>
            </w:r>
          </w:p>
        </w:tc>
      </w:tr>
      <w:bookmarkEnd w:id="15"/>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32"/>
          <w:szCs w:val="32"/>
          <w:lang w:eastAsia="zh-CN"/>
        </w:rPr>
      </w:pPr>
      <w:r>
        <w:rPr>
          <w:rFonts w:ascii="宋体" w:eastAsia="宋体" w:hAnsi="宋体" w:cs="宋体" w:hint="eastAsia"/>
          <w:b/>
          <w:kern w:val="2"/>
          <w:sz w:val="32"/>
          <w:szCs w:val="32"/>
          <w:lang w:eastAsia="zh-CN"/>
        </w:rPr>
        <w:t>五</w:t>
      </w:r>
      <w:r>
        <w:rPr>
          <w:rFonts w:ascii="宋体" w:eastAsia="宋体" w:hAnsi="宋体" w:cs="宋体" w:hint="eastAsia"/>
          <w:b/>
          <w:bCs/>
          <w:kern w:val="2"/>
          <w:sz w:val="32"/>
          <w:szCs w:val="32"/>
          <w:lang w:eastAsia="zh-CN"/>
        </w:rPr>
        <w:t>、</w:t>
      </w:r>
      <w:r>
        <w:rPr>
          <w:rFonts w:ascii="宋体" w:eastAsia="宋体" w:hAnsi="宋体" w:cs="宋体" w:hint="eastAsia"/>
          <w:b/>
          <w:kern w:val="2"/>
          <w:sz w:val="32"/>
          <w:szCs w:val="32"/>
          <w:lang w:eastAsia="zh-CN"/>
        </w:rPr>
        <w:t>项目建设内容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项目主要建设内容包括智绘定绩、智驱督绩、智鉴评绩、智联用绩、干部画像五大模块，实现绩效管理全周期、全闭环线上运行。同时，引入人工智能大模型，以AI赋能绩效计划制定、绩效监督执行、绩效评价考核和绩效沟通反馈，推动绩效管理智能化、便捷化、高效化。</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六</w:t>
      </w:r>
      <w:r>
        <w:rPr>
          <w:rFonts w:ascii="宋体" w:eastAsia="宋体" w:hAnsi="宋体" w:cs="宋体" w:hint="eastAsia"/>
          <w:b/>
          <w:bCs/>
          <w:kern w:val="2"/>
          <w:sz w:val="32"/>
          <w:szCs w:val="32"/>
          <w:lang w:eastAsia="zh-CN"/>
        </w:rPr>
        <w:t>、</w:t>
      </w:r>
      <w:r>
        <w:rPr>
          <w:rFonts w:ascii="宋体" w:eastAsia="宋体" w:hAnsi="宋体" w:cs="宋体" w:hint="eastAsia"/>
          <w:b/>
          <w:bCs/>
          <w:kern w:val="2"/>
          <w:sz w:val="32"/>
          <w:szCs w:val="32"/>
          <w:lang w:eastAsia="zh-CN"/>
        </w:rPr>
        <w:t>功能模块</w:t>
      </w:r>
      <w:r>
        <w:rPr>
          <w:rFonts w:ascii="宋体" w:eastAsia="宋体" w:hAnsi="宋体" w:cs="宋体" w:hint="eastAsia"/>
          <w:b/>
          <w:bCs/>
          <w:kern w:val="2"/>
          <w:sz w:val="32"/>
          <w:szCs w:val="32"/>
          <w:lang w:eastAsia="zh-CN"/>
        </w:rPr>
        <w:t>明细</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67"/>
        <w:gridCol w:w="1678"/>
        <w:gridCol w:w="56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73"/>
        </w:trPr>
        <w:tc>
          <w:tcPr>
            <w:tcW w:w="9120" w:type="dxa"/>
            <w:gridSpan w:val="3"/>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功能模块</w:t>
            </w:r>
          </w:p>
        </w:tc>
      </w:tr>
      <w:tr>
        <w:tblPrEx>
          <w:tblW w:w="5000" w:type="pct"/>
          <w:tblInd w:w="0" w:type="dxa"/>
          <w:tblLayout w:type="fixed"/>
          <w:tblCellMar>
            <w:top w:w="0" w:type="dxa"/>
            <w:left w:w="108" w:type="dxa"/>
            <w:bottom w:w="0" w:type="dxa"/>
            <w:right w:w="108" w:type="dxa"/>
          </w:tblCellMar>
        </w:tblPrEx>
        <w:trPr>
          <w:trHeight w:val="1960"/>
        </w:trPr>
        <w:tc>
          <w:tcPr>
            <w:tcW w:w="3335"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leftChars="0" w:righ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“AI”+绩效管理系统</w:t>
            </w:r>
          </w:p>
        </w:tc>
        <w:tc>
          <w:tcPr>
            <w:tcW w:w="5785"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leftChars="0" w:righ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点击菜单显示系统封面轮播图</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智绘定绩</w:t>
            </w: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制定绩效计划</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考核批次列表查询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考核记录列表查询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复制</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设置定绩、督绩截止日期</w:t>
            </w:r>
          </w:p>
        </w:tc>
      </w:tr>
      <w:tr>
        <w:tblPrEx>
          <w:tblW w:w="5000" w:type="pct"/>
          <w:tblInd w:w="0" w:type="dxa"/>
          <w:tblLayout w:type="fixed"/>
          <w:tblCellMar>
            <w:top w:w="0" w:type="dxa"/>
            <w:left w:w="108" w:type="dxa"/>
            <w:bottom w:w="0" w:type="dxa"/>
            <w:right w:w="108" w:type="dxa"/>
          </w:tblCellMar>
        </w:tblPrEx>
        <w:trPr>
          <w:trHeight w:val="90"/>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为多个被考核人分配评分权重</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设置二级指标所属标签</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查看绩效计划</w:t>
            </w:r>
          </w:p>
        </w:tc>
      </w:tr>
      <w:tr>
        <w:tblPrEx>
          <w:tblW w:w="5000" w:type="pct"/>
          <w:tblInd w:w="0" w:type="dxa"/>
          <w:tblLayout w:type="fixed"/>
          <w:tblCellMar>
            <w:top w:w="0" w:type="dxa"/>
            <w:left w:w="108" w:type="dxa"/>
            <w:bottom w:w="0" w:type="dxa"/>
            <w:right w:w="108" w:type="dxa"/>
          </w:tblCellMar>
        </w:tblPrEx>
        <w:trPr>
          <w:trHeight w:val="90"/>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接入AI助手智能生成绩效计划</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超期未填写时消息提醒</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一级指标库</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二级指标库</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考评指标模板</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复制</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编辑考评指标内容</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智驱督绩</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编辑（完成情况和自评）</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提交</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退回</w:t>
            </w:r>
          </w:p>
        </w:tc>
      </w:tr>
      <w:tr>
        <w:tblPrEx>
          <w:tblW w:w="5000" w:type="pct"/>
          <w:tblInd w:w="0" w:type="dxa"/>
          <w:tblLayout w:type="fixed"/>
          <w:tblCellMar>
            <w:top w:w="0" w:type="dxa"/>
            <w:left w:w="108" w:type="dxa"/>
            <w:bottom w:w="0" w:type="dxa"/>
            <w:right w:w="108" w:type="dxa"/>
          </w:tblCellMar>
        </w:tblPrEx>
        <w:trPr>
          <w:trHeight w:val="90"/>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接入AI助手智能生成完成情况</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智鉴评绩</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退回</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自动生成AI评分</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记录DeepSeek提问日志</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智联用绩</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自动生成改进意见</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编辑/查看改进意见</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查看绩效目标任务表</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导出绩效单</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导出绩效排名表</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干部画像</w:t>
            </w: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维护画像信息</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查看画像信息</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绩效画像</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五维画像</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干部绩效对比</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干部多维对比</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绩效AI助手</w:t>
            </w: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显示AI对话页面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配置及获取提问类型</w:t>
            </w:r>
          </w:p>
        </w:tc>
      </w:tr>
      <w:tr>
        <w:tblPrEx>
          <w:tblW w:w="5000" w:type="pct"/>
          <w:tblInd w:w="0" w:type="dxa"/>
          <w:tblLayout w:type="fixed"/>
          <w:tblCellMar>
            <w:top w:w="0" w:type="dxa"/>
            <w:left w:w="108" w:type="dxa"/>
            <w:bottom w:w="0" w:type="dxa"/>
            <w:right w:w="108" w:type="dxa"/>
          </w:tblCellMar>
        </w:tblPrEx>
        <w:trPr>
          <w:trHeight w:val="43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自动填充默认问题</w:t>
            </w:r>
          </w:p>
        </w:tc>
      </w:tr>
    </w:tbl>
    <w:p>
      <w:pPr>
        <w:widowControl w:val="0"/>
        <w:kinsoku/>
        <w:overflowPunct/>
        <w:topLinePunct w:val="0"/>
        <w:bidi w:val="0"/>
        <w:adjustRightInd w:val="0"/>
        <w:snapToGrid w:val="0"/>
        <w:spacing w:before="0" w:beforeAutospacing="0" w:afterAutospacing="0" w:line="360" w:lineRule="auto"/>
        <w:ind w:right="0" w:firstLine="0" w:firstLineChars="0"/>
        <w:jc w:val="center"/>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七、商务要求</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eastAsia="宋体" w:hint="eastAsia"/>
          <w:kern w:val="2"/>
          <w:sz w:val="21"/>
          <w:szCs w:val="22"/>
          <w:lang w:eastAsia="zh-CN"/>
        </w:rPr>
      </w:pPr>
      <w:r>
        <w:rPr>
          <w:rFonts w:eastAsia="宋体" w:hint="eastAsia"/>
          <w:b/>
          <w:bCs/>
          <w:kern w:val="2"/>
          <w:sz w:val="21"/>
          <w:szCs w:val="22"/>
          <w:lang w:eastAsia="zh-CN"/>
        </w:rPr>
        <w:t>履约地点：</w:t>
      </w:r>
      <w:r>
        <w:rPr>
          <w:rFonts w:eastAsia="宋体" w:hint="eastAsia"/>
          <w:kern w:val="2"/>
          <w:sz w:val="21"/>
          <w:szCs w:val="22"/>
          <w:lang w:eastAsia="zh-CN"/>
        </w:rPr>
        <w:t>深圳市龙华区；</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b/>
          <w:bCs/>
          <w:kern w:val="2"/>
          <w:sz w:val="21"/>
          <w:szCs w:val="22"/>
          <w:lang w:eastAsia="zh-CN"/>
        </w:rPr>
        <w:t>履约时间：</w:t>
      </w:r>
      <w:r>
        <w:rPr>
          <w:rFonts w:ascii="Calibri" w:eastAsia="宋体" w:hAnsi="Calibri" w:cstheme="minorBidi" w:hint="eastAsia"/>
          <w:kern w:val="2"/>
          <w:sz w:val="21"/>
          <w:szCs w:val="22"/>
          <w:lang w:eastAsia="zh-CN"/>
        </w:rPr>
        <w:t>自合同签订起</w:t>
      </w:r>
      <w:r>
        <w:rPr>
          <w:rFonts w:ascii="Calibri" w:eastAsia="宋体" w:hAnsi="Calibri" w:cstheme="minorBidi" w:hint="eastAsia"/>
          <w:kern w:val="2"/>
          <w:sz w:val="21"/>
          <w:szCs w:val="22"/>
          <w:lang w:eastAsia="zh-CN"/>
        </w:rPr>
        <w:t>4个月内完成项目验收；</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付款期限和方式：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合同签订后，中标人向采购人提交合法等额发票。</w:t>
      </w:r>
      <w:r>
        <w:rPr>
          <w:rFonts w:ascii="宋体" w:eastAsia="宋体" w:hAnsi="宋体" w:cs="宋体" w:hint="eastAsia"/>
          <w:kern w:val="2"/>
          <w:sz w:val="21"/>
          <w:szCs w:val="21"/>
          <w:lang w:eastAsia="zh-CN"/>
        </w:rPr>
        <w:t>在财政拨款到位</w:t>
      </w:r>
      <w:r>
        <w:rPr>
          <w:rFonts w:ascii="宋体" w:eastAsia="宋体" w:hAnsi="宋体" w:cs="宋体" w:hint="eastAsia"/>
          <w:kern w:val="2"/>
          <w:sz w:val="21"/>
          <w:szCs w:val="21"/>
          <w:lang w:eastAsia="zh-CN"/>
        </w:rPr>
        <w:t>后，</w:t>
      </w:r>
      <w:r>
        <w:rPr>
          <w:rFonts w:ascii="Calibri" w:eastAsia="宋体" w:hAnsi="Calibri" w:cstheme="minorBidi" w:hint="eastAsia"/>
          <w:kern w:val="2"/>
          <w:sz w:val="21"/>
          <w:szCs w:val="22"/>
          <w:lang w:eastAsia="zh-CN"/>
        </w:rPr>
        <w:t>采购人收到发票后10个工作日内按财政国库集中支付程序办理费用的支付手续向中标人支付合同总价【70%】的款项。</w:t>
      </w:r>
    </w:p>
    <w:p>
      <w:pPr>
        <w:keepNext w:val="0"/>
        <w:keepLines w:val="0"/>
        <w:pageBreakBefore w:val="0"/>
        <w:widowControl w:val="0"/>
        <w:numPr>
          <w:ilvl w:val="12"/>
          <w:numId w:val="0"/>
        </w:numPr>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2、完成项目建设内容后，项目达到验收条件后，中标人向采购人提交合法等额发票及对应验收报告。</w:t>
      </w:r>
      <w:r>
        <w:rPr>
          <w:rFonts w:ascii="宋体" w:eastAsia="宋体" w:hAnsi="宋体" w:cs="宋体" w:hint="eastAsia"/>
          <w:kern w:val="2"/>
          <w:sz w:val="21"/>
          <w:szCs w:val="21"/>
          <w:lang w:eastAsia="zh-CN"/>
        </w:rPr>
        <w:t>待采购人</w:t>
      </w:r>
      <w:r>
        <w:rPr>
          <w:rFonts w:ascii="宋体" w:eastAsia="宋体" w:hAnsi="宋体" w:cs="宋体" w:hint="eastAsia"/>
          <w:kern w:val="2"/>
          <w:sz w:val="21"/>
          <w:szCs w:val="21"/>
          <w:lang w:eastAsia="zh-CN"/>
        </w:rPr>
        <w:t>验收合格后</w:t>
      </w:r>
      <w:r>
        <w:rPr>
          <w:rFonts w:ascii="宋体" w:eastAsia="宋体" w:hAnsi="宋体" w:cs="宋体" w:hint="eastAsia"/>
          <w:kern w:val="2"/>
          <w:sz w:val="21"/>
          <w:szCs w:val="21"/>
          <w:lang w:eastAsia="zh-CN"/>
        </w:rPr>
        <w:t>及中标人提供</w:t>
      </w:r>
      <w:r>
        <w:rPr>
          <w:rFonts w:ascii="宋体" w:eastAsia="宋体" w:hAnsi="宋体" w:cs="宋体" w:hint="eastAsia"/>
          <w:kern w:val="2"/>
          <w:sz w:val="21"/>
          <w:szCs w:val="21"/>
          <w:lang w:eastAsia="zh-CN"/>
        </w:rPr>
        <w:t>合法等额发票，在财政拨款到位后</w:t>
      </w:r>
      <w:r>
        <w:rPr>
          <w:rFonts w:ascii="宋体" w:eastAsia="宋体" w:hAnsi="宋体" w:cs="宋体" w:hint="eastAsia"/>
          <w:kern w:val="2"/>
          <w:sz w:val="21"/>
          <w:szCs w:val="21"/>
          <w:lang w:eastAsia="zh-CN"/>
        </w:rPr>
        <w:t>，</w:t>
      </w:r>
      <w:r>
        <w:rPr>
          <w:rFonts w:ascii="Calibri" w:eastAsia="宋体" w:hAnsi="Calibri" w:cstheme="minorBidi" w:hint="eastAsia"/>
          <w:kern w:val="2"/>
          <w:sz w:val="21"/>
          <w:szCs w:val="22"/>
          <w:lang w:eastAsia="zh-CN"/>
        </w:rPr>
        <w:t>采购人收到发票后10个工作日内按财政国库集中支付程序办理费用的支付手续向中标人支付合同剩余款项。</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验收条件：完成系统建设内容，项目达到验收标准；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jc w:val="both"/>
        <w:textAlignment w:val="auto"/>
        <w:rPr>
          <w:rFonts w:eastAsia="宋体" w:hint="eastAsia"/>
          <w:kern w:val="2"/>
          <w:sz w:val="21"/>
          <w:szCs w:val="22"/>
          <w:lang w:eastAsia="zh-CN"/>
        </w:rPr>
      </w:pPr>
      <w:r>
        <w:rPr>
          <w:rFonts w:eastAsia="宋体" w:hint="eastAsia"/>
          <w:kern w:val="2"/>
          <w:sz w:val="21"/>
          <w:szCs w:val="22"/>
          <w:lang w:eastAsia="zh-CN"/>
        </w:rPr>
        <w:t>维护要求期限：</w:t>
      </w:r>
    </w:p>
    <w:p>
      <w:pPr>
        <w:keepNext w:val="0"/>
        <w:keepLines w:val="0"/>
        <w:pageBreakBefore w:val="0"/>
        <w:widowControl w:val="0"/>
        <w:numPr>
          <w:ilvl w:val="12"/>
          <w:numId w:val="0"/>
        </w:numPr>
        <w:kinsoku/>
        <w:wordWrap/>
        <w:overflowPunct/>
        <w:topLinePunct w:val="0"/>
        <w:autoSpaceDE/>
        <w:autoSpaceDN/>
        <w:bidi w:val="0"/>
        <w:adjustRightInd/>
        <w:snapToGrid/>
        <w:spacing w:line="360" w:lineRule="auto"/>
        <w:ind w:left="0" w:firstLine="0" w:leftChars="0"/>
        <w:jc w:val="both"/>
        <w:textAlignment w:val="auto"/>
        <w:rPr>
          <w:rFonts w:eastAsia="宋体" w:hint="eastAsia"/>
          <w:kern w:val="2"/>
          <w:sz w:val="21"/>
          <w:szCs w:val="22"/>
          <w:lang w:eastAsia="zh-CN"/>
        </w:rPr>
      </w:pPr>
      <w:r>
        <w:rPr>
          <w:rFonts w:eastAsia="宋体" w:hint="eastAsia"/>
          <w:kern w:val="2"/>
          <w:sz w:val="21"/>
          <w:szCs w:val="22"/>
          <w:lang w:eastAsia="zh-CN"/>
        </w:rPr>
        <w:t>本项目软件售后服务期自自项目通过竣工验收之日起算,提供 12 个月免费服务期。</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b/>
          <w:bCs/>
          <w:kern w:val="2"/>
          <w:sz w:val="21"/>
          <w:szCs w:val="22"/>
          <w:lang w:eastAsia="zh-CN"/>
        </w:rPr>
      </w:pPr>
      <w:r>
        <w:rPr>
          <w:rFonts w:ascii="Calibri" w:eastAsia="宋体" w:hAnsi="Calibri" w:cstheme="minorBidi" w:hint="eastAsia"/>
          <w:kern w:val="2"/>
          <w:sz w:val="21"/>
          <w:szCs w:val="22"/>
          <w:lang w:eastAsia="zh-CN"/>
        </w:rPr>
        <w:t>4、</w:t>
      </w:r>
      <w:r>
        <w:rPr>
          <w:rFonts w:ascii="Calibri" w:eastAsia="宋体" w:hAnsi="Calibri" w:cstheme="minorBidi" w:hint="eastAsia"/>
          <w:b/>
          <w:bCs/>
          <w:kern w:val="2"/>
          <w:sz w:val="21"/>
          <w:szCs w:val="22"/>
          <w:lang w:eastAsia="zh-CN"/>
        </w:rPr>
        <w:t>违约责任：</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（1）因中标人原因，未能按规定时间完成有关工作的，每延误一天，采购人可在支付合同余款中扣除合同总价款千分之一的违约金。</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（2）由于中标人原因造成服务成果达不到招标文件要求时，中标人应进行整改完善，提升服务质量，其费用由中标人承担。</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（3）中标人交付的成果经验收不合格，应于15日内无条件修改，费用由中标人自行承担，中标人拒绝修改的，采购人有权解除合同、要求中标人返还采购人已支付的合同款项。</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（4）中标人或其工作人员违反本合同约定的保密义务，采购人有权扣除相应违约金；造成不良影响或对采购人造成损失的，采购人有权要求中标人消除影响，承担赔偿责任，并有权解除合同。</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（5）采购人应协助中标人就为达成本合同目的开展沟通和联络，为中标人开展工作提供必要的条件。因采购人原因导致中标人未按约定时间完成服务，不视为中标人违约。</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争议解决方法：</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Calibri" w:eastAsia="宋体" w:hAnsi="Calibri" w:cstheme="minorBidi"/>
          <w:kern w:val="2"/>
          <w:sz w:val="21"/>
          <w:szCs w:val="22"/>
          <w:lang w:eastAsia="zh-CN"/>
        </w:rPr>
        <w:t>执行本</w:t>
      </w:r>
      <w:r>
        <w:rPr>
          <w:rFonts w:ascii="Calibri" w:eastAsia="宋体" w:hAnsi="Calibri" w:cstheme="minorBidi" w:hint="eastAsia"/>
          <w:kern w:val="2"/>
          <w:sz w:val="21"/>
          <w:szCs w:val="22"/>
          <w:lang w:eastAsia="zh-CN"/>
        </w:rPr>
        <w:t>项目</w:t>
      </w:r>
      <w:r>
        <w:rPr>
          <w:rFonts w:ascii="Calibri" w:eastAsia="宋体" w:hAnsi="Calibri" w:cstheme="minorBidi"/>
          <w:kern w:val="2"/>
          <w:sz w:val="21"/>
          <w:szCs w:val="22"/>
          <w:lang w:eastAsia="zh-CN"/>
        </w:rPr>
        <w:t>发生的争议，由甲乙双方协商解决，如协商不成的，应提交甲方所在地人民法院诉讼解决。</w:t>
      </w:r>
    </w:p>
    <w:p>
      <w:pPr>
        <w:widowControl w:val="0"/>
        <w:kinsoku/>
        <w:overflowPunct/>
        <w:topLinePunct w:val="0"/>
        <w:bidi w:val="0"/>
        <w:adjustRightInd w:val="0"/>
        <w:snapToGrid w:val="0"/>
        <w:spacing w:before="0" w:beforeAutospacing="0" w:afterAutospacing="0" w:line="360" w:lineRule="auto"/>
        <w:ind w:right="0" w:firstLine="0" w:firstLineChars="0"/>
        <w:jc w:val="center"/>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八、其他重要条款</w:t>
      </w:r>
    </w:p>
    <w:p>
      <w:pPr>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（一）</w:t>
      </w:r>
      <w:r>
        <w:rPr>
          <w:rFonts w:ascii="宋体" w:eastAsia="宋体" w:hAnsi="宋体" w:cs="宋体" w:hint="eastAsia"/>
          <w:color w:val="000000"/>
          <w:kern w:val="2"/>
          <w:sz w:val="21"/>
          <w:szCs w:val="21"/>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（二）</w:t>
      </w:r>
      <w:r>
        <w:rPr>
          <w:rFonts w:ascii="宋体" w:eastAsia="宋体" w:hAnsi="宋体" w:cs="宋体" w:hint="eastAsia"/>
          <w:color w:val="000000"/>
          <w:kern w:val="2"/>
          <w:sz w:val="21"/>
          <w:szCs w:val="21"/>
          <w:lang w:eastAsia="zh-CN"/>
        </w:rPr>
        <w:t>投标人应充分了解项目的位置、情况、道路及任何其它足以影响投标报价的情况，任何因忽视或误解项目情况而导致的索赔或服务期限延长申请将不获批准。</w:t>
      </w:r>
    </w:p>
    <w:p>
      <w:pPr>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（三）</w:t>
      </w:r>
      <w:r>
        <w:rPr>
          <w:rFonts w:ascii="宋体" w:eastAsia="宋体" w:hAnsi="宋体" w:cs="宋体" w:hint="eastAsia"/>
          <w:color w:val="000000"/>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（四）</w:t>
      </w:r>
      <w:r>
        <w:rPr>
          <w:rFonts w:ascii="宋体" w:eastAsia="宋体" w:hAnsi="宋体" w:cs="宋体" w:hint="eastAsia"/>
          <w:color w:val="000000"/>
          <w:kern w:val="2"/>
          <w:sz w:val="21"/>
          <w:szCs w:val="21"/>
          <w:lang w:eastAsia="zh-CN"/>
        </w:rPr>
        <w:t>除政府采购合同继续履行将损害国家利益和社会公共利益外，双方当事人不得擅自变更、中止或者终止合同。</w:t>
      </w:r>
    </w:p>
    <w:p>
      <w:pPr>
        <w:pageBreakBefore w:val="0"/>
        <w:widowControl w:val="0"/>
        <w:kinsoku/>
        <w:wordWrap/>
        <w:overflowPunct/>
        <w:topLinePunct w:val="0"/>
        <w:autoSpaceDE/>
        <w:autoSpaceDN/>
        <w:bidi w:val="0"/>
        <w:adjustRightInd/>
        <w:snapToGrid/>
        <w:spacing w:beforeAutospacing="0" w:afterAutospacing="0" w:line="360" w:lineRule="auto"/>
        <w:ind w:left="0" w:right="0" w:firstLine="0" w:leftChars="0" w:firstLineChars="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（五）</w:t>
      </w:r>
      <w:r>
        <w:rPr>
          <w:rFonts w:ascii="宋体" w:eastAsia="宋体" w:hAnsi="宋体" w:cs="宋体" w:hint="eastAsia"/>
          <w:color w:val="000000"/>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Cs/>
          <w:kern w:val="44"/>
          <w:sz w:val="28"/>
          <w:szCs w:val="44"/>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br w:type="page"/>
      </w: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第四章  投标文件组成要求及格式</w:t>
      </w:r>
    </w:p>
    <w:p>
      <w:pPr>
        <w:widowControl/>
        <w:kinsoku/>
        <w:overflowPunct/>
        <w:topLinePunct w:val="0"/>
        <w:bidi w:val="0"/>
        <w:spacing w:beforeAutospacing="0" w:afterAutospacing="0" w:line="360" w:lineRule="auto"/>
        <w:ind w:left="0" w:right="0" w:firstLine="0" w:leftChars="0" w:firstLineChars="0"/>
        <w:jc w:val="left"/>
        <w:outlineLvl w:val="2"/>
        <w:rPr>
          <w:rFonts w:ascii="宋体" w:eastAsia="宋体" w:hAnsi="宋体" w:cs="宋体" w:hint="eastAsia"/>
          <w:bCs/>
          <w:kern w:val="44"/>
          <w:lang w:eastAsia="zh-CN"/>
        </w:rPr>
      </w:pPr>
      <w:bookmarkStart w:id="16" w:name="_Hlk72257771"/>
      <w:r>
        <w:rPr>
          <w:rFonts w:ascii="宋体" w:eastAsia="宋体" w:hAnsi="宋体" w:cs="宋体" w:hint="eastAsia"/>
          <w:bCs/>
          <w:kern w:val="44"/>
          <w:lang w:eastAsia="zh-CN"/>
        </w:rPr>
        <w:t>投标文件组成：</w:t>
      </w:r>
    </w:p>
    <w:p>
      <w:pPr>
        <w:widowControl w:val="0"/>
        <w:kinsoku/>
        <w:overflowPunct/>
        <w:topLinePunct w:val="0"/>
        <w:bidi w:val="0"/>
        <w:spacing w:beforeAutospacing="0" w:afterAutospacing="0" w:line="360" w:lineRule="auto"/>
        <w:ind w:left="0" w:right="0" w:firstLine="0" w:leftChars="0" w:firstLineChars="0"/>
        <w:jc w:val="both"/>
        <w:outlineLvl w:val="0"/>
        <w:rPr>
          <w:rFonts w:ascii="宋体" w:eastAsia="宋体" w:hAnsi="宋体" w:cs="宋体" w:hint="eastAsia"/>
          <w:kern w:val="2"/>
          <w:szCs w:val="22"/>
          <w:lang w:eastAsia="zh-CN"/>
        </w:rPr>
      </w:pPr>
      <w:r>
        <w:rPr>
          <w:rFonts w:ascii="宋体" w:eastAsia="宋体" w:hAnsi="宋体" w:cs="宋体" w:hint="eastAsia"/>
          <w:kern w:val="2"/>
          <w:szCs w:val="22"/>
          <w:lang w:eastAsia="zh-CN"/>
        </w:rPr>
        <w:t>1.投标文件正文，主要包括以下内容：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bookmarkStart w:id="17" w:name="_Hlk72070784"/>
      <w:r>
        <w:rPr>
          <w:rFonts w:ascii="宋体" w:eastAsia="宋体" w:hAnsi="宋体" w:cs="宋体" w:hint="eastAsia"/>
          <w:kern w:val="2"/>
          <w:sz w:val="21"/>
          <w:szCs w:val="21"/>
          <w:lang w:eastAsia="zh-CN"/>
        </w:rPr>
        <w:t>投标函</w:t>
      </w:r>
      <w:bookmarkEnd w:id="17"/>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18" w:name="_Hlk72062521"/>
      <w:r>
        <w:rPr>
          <w:rFonts w:ascii="宋体" w:eastAsia="宋体" w:hAnsi="宋体" w:cs="宋体" w:hint="eastAsia"/>
          <w:kern w:val="2"/>
          <w:sz w:val="21"/>
          <w:szCs w:val="21"/>
          <w:lang w:eastAsia="zh-CN"/>
        </w:rPr>
        <w:t>政府采购投标及履约承诺函</w:t>
      </w:r>
      <w:bookmarkEnd w:id="18"/>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19" w:name="_Hlk72257201"/>
      <w:r>
        <w:rPr>
          <w:rFonts w:ascii="宋体" w:eastAsia="宋体" w:hAnsi="宋体" w:cs="宋体" w:hint="eastAsia"/>
          <w:kern w:val="2"/>
          <w:sz w:val="21"/>
          <w:szCs w:val="21"/>
          <w:lang w:eastAsia="zh-CN"/>
        </w:rPr>
        <w:t>（4）项目详细报价</w:t>
      </w:r>
    </w:p>
    <w:bookmarkEnd w:id="19"/>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供应商基本情况</w:t>
      </w:r>
      <w:r>
        <w:rPr>
          <w:rFonts w:ascii="宋体" w:eastAsia="宋体" w:hAnsi="宋体" w:cs="宋体" w:hint="eastAsia"/>
          <w:kern w:val="2"/>
          <w:sz w:val="21"/>
          <w:szCs w:val="21"/>
          <w:lang w:eastAsia="zh-CN"/>
        </w:rPr>
        <w:t>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）法定代表人（负责人）证明书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）投标文件签署授权委托书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）实质性条款响应情况表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实施方案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10）质量保障措施及方案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项目重难点分析、应对措施及相关的合理化建议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项目完成（服务期满）后的服务承诺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违约承诺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（14）拟安排项目负责人情况（仅限1人）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拟安排项目核心团队成员（项目负责人除外）情况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w:t>
      </w:r>
      <w:r>
        <w:rPr>
          <w:rFonts w:ascii="宋体" w:eastAsia="宋体" w:hAnsi="宋体" w:cs="宋体" w:hint="eastAsia"/>
          <w:kern w:val="2"/>
          <w:sz w:val="21"/>
          <w:szCs w:val="21"/>
          <w:lang w:eastAsia="zh-CN"/>
        </w:rPr>
        <w:t>投标人资质情况及通过相关认证情况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同类项目业绩情况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投标人认为需要加以说明的其他内容</w:t>
      </w:r>
    </w:p>
    <w:p>
      <w:pPr>
        <w:widowControl w:val="0"/>
        <w:ind w:left="480" w:leftChars="200"/>
        <w:jc w:val="both"/>
        <w:rPr>
          <w:rFonts w:eastAsia="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备注：</w:t>
      </w: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Cs/>
          <w:kern w:val="44"/>
          <w:sz w:val="32"/>
          <w:szCs w:val="32"/>
          <w:lang w:eastAsia="zh-CN"/>
        </w:rPr>
      </w:pPr>
      <w:bookmarkStart w:id="20" w:name="_Hlk72263559"/>
      <w:r>
        <w:rPr>
          <w:rFonts w:ascii="宋体" w:eastAsia="宋体" w:hAnsi="宋体" w:cs="宋体" w:hint="eastAsia"/>
          <w:b/>
          <w:kern w:val="2"/>
          <w:lang w:eastAsia="zh-CN"/>
        </w:rPr>
        <w:t>2.关于填写“开标一览表”的说明：“开标一览表”中除“投标总价”外，其他信息不作评审依据。</w:t>
      </w:r>
      <w:bookmarkEnd w:id="16"/>
      <w:bookmarkEnd w:id="20"/>
      <w:r>
        <w:rPr>
          <w:rFonts w:ascii="宋体" w:eastAsia="宋体" w:hAnsi="宋体" w:cs="宋体" w:hint="eastAsia"/>
          <w:bCs/>
          <w:kern w:val="44"/>
          <w:sz w:val="32"/>
          <w:szCs w:val="32"/>
          <w:lang w:eastAsia="zh-CN"/>
        </w:rPr>
        <w:br w:type="page"/>
      </w:r>
    </w:p>
    <w:p>
      <w:pPr>
        <w:widowControl/>
        <w:kinsoku/>
        <w:overflowPunct/>
        <w:topLinePunct w:val="0"/>
        <w:bidi w:val="0"/>
        <w:spacing w:beforeAutospacing="0" w:afterAutospacing="0" w:line="360" w:lineRule="auto"/>
        <w:ind w:left="0" w:right="0" w:firstLine="0" w:leftChars="0" w:firstLineChars="0"/>
        <w:jc w:val="left"/>
        <w:outlineLvl w:val="2"/>
        <w:rPr>
          <w:rFonts w:ascii="宋体" w:eastAsia="宋体" w:hAnsi="宋体" w:cs="宋体" w:hint="eastAsia"/>
          <w:b/>
          <w:color w:val="FF0000"/>
          <w:sz w:val="32"/>
          <w:szCs w:val="32"/>
          <w:lang w:eastAsia="zh-CN"/>
        </w:rPr>
      </w:pPr>
      <w:r>
        <w:rPr>
          <w:rFonts w:ascii="宋体" w:eastAsia="宋体" w:hAnsi="宋体" w:cs="宋体" w:hint="eastAsia"/>
          <w:b/>
          <w:color w:val="FF0000"/>
          <w:sz w:val="32"/>
          <w:szCs w:val="32"/>
          <w:lang w:eastAsia="zh-CN"/>
        </w:rPr>
        <w:t>（一）投标文件正文</w:t>
      </w:r>
    </w:p>
    <w:p>
      <w:pPr>
        <w:keepNext/>
        <w:keepLines/>
        <w:widowControl w:val="0"/>
        <w:kinsoku/>
        <w:overflowPunct/>
        <w:topLinePunct w:val="0"/>
        <w:bidi w:val="0"/>
        <w:spacing w:before="0" w:beforeAutospacing="0" w:after="60" w:afterLines="25" w:afterAutospacing="0" w:line="360" w:lineRule="auto"/>
        <w:ind w:left="0" w:right="0" w:firstLine="0" w:leftChars="0" w:firstLineChars="0"/>
        <w:jc w:val="center"/>
        <w:outlineLvl w:val="2"/>
        <w:rPr>
          <w:rFonts w:ascii="宋体" w:eastAsia="宋体" w:hAnsi="宋体" w:cs="宋体" w:hint="eastAsia"/>
          <w:bCs/>
          <w:kern w:val="44"/>
          <w:szCs w:val="32"/>
          <w:lang w:eastAsia="zh-CN"/>
        </w:rPr>
      </w:pPr>
      <w:r>
        <w:rPr>
          <w:rFonts w:ascii="宋体" w:eastAsia="宋体" w:hAnsi="宋体" w:cs="宋体" w:hint="eastAsia"/>
          <w:bCs/>
          <w:kern w:val="44"/>
          <w:szCs w:val="32"/>
          <w:lang w:eastAsia="zh-CN"/>
        </w:rPr>
        <w:t>一、投标函</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21" w:name="_Hlk72257506"/>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FF0000"/>
          <w:kern w:val="2"/>
          <w:sz w:val="21"/>
          <w:szCs w:val="21"/>
          <w:u w:val="single"/>
          <w:lang w:eastAsia="zh-CN"/>
        </w:rPr>
        <w:t>深圳公共资源交易中心</w:t>
      </w:r>
      <w:r>
        <w:rPr>
          <w:rFonts w:ascii="宋体" w:eastAsia="宋体" w:hAnsi="宋体" w:cs="宋体" w:hint="eastAsia"/>
          <w:kern w:val="2"/>
          <w:sz w:val="21"/>
          <w:szCs w:val="21"/>
          <w:u w:val="single"/>
          <w:lang w:eastAsia="zh-CN"/>
        </w:rPr>
        <w:t xml:space="preserve">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22"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3" w:name="_Hlk72263588"/>
      <w:r>
        <w:rPr>
          <w:rFonts w:ascii="宋体" w:eastAsia="宋体" w:hAnsi="宋体" w:cs="宋体" w:hint="eastAsia"/>
          <w:kern w:val="2"/>
          <w:sz w:val="21"/>
          <w:szCs w:val="21"/>
          <w:lang w:eastAsia="zh-CN"/>
        </w:rPr>
        <w:t>愿意按照招标文件要求承包上述项目并修补其任何缺陷。</w:t>
      </w:r>
      <w:bookmarkEnd w:id="23"/>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24" w:name="_Hlk73819847"/>
      <w:r>
        <w:rPr>
          <w:rFonts w:ascii="宋体" w:eastAsia="宋体" w:hAnsi="宋体" w:cs="宋体" w:hint="eastAsia"/>
          <w:kern w:val="2"/>
          <w:sz w:val="21"/>
          <w:szCs w:val="21"/>
          <w:lang w:eastAsia="zh-CN"/>
        </w:rPr>
        <w:t>投标价格见投标书编制软件中《开标一览表》中填写的投标总价。</w:t>
      </w:r>
      <w:bookmarkEnd w:id="24"/>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22"/>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7、如我单位提交样品，且未在规定时间内取回样品的，视同放弃取回，同意深圳公共资源交易中心对我单位提交的样品进行清理。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szCs w:val="22"/>
          <w:lang w:eastAsia="zh-CN"/>
        </w:rPr>
        <w:t xml:space="preserve">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21"/>
    <w:p>
      <w:pPr>
        <w:keepNext/>
        <w:keepLines/>
        <w:widowControl w:val="0"/>
        <w:kinsoku/>
        <w:overflowPunct/>
        <w:topLinePunct w:val="0"/>
        <w:bidi w:val="0"/>
        <w:spacing w:before="0" w:beforeAutospacing="0" w:after="60" w:afterLines="25" w:afterAutospacing="0" w:line="360" w:lineRule="auto"/>
        <w:ind w:left="0" w:right="0" w:firstLine="0" w:leftChars="0" w:firstLineChars="0"/>
        <w:jc w:val="center"/>
        <w:outlineLvl w:val="2"/>
        <w:rPr>
          <w:rFonts w:ascii="宋体" w:eastAsia="宋体" w:hAnsi="宋体" w:cs="宋体" w:hint="eastAsia"/>
          <w:bCs/>
          <w:kern w:val="44"/>
          <w:szCs w:val="32"/>
          <w:lang w:eastAsia="zh-CN"/>
        </w:rPr>
      </w:pPr>
      <w:r>
        <w:rPr>
          <w:rFonts w:ascii="宋体" w:eastAsia="宋体" w:hAnsi="宋体" w:cs="宋体" w:hint="eastAsia"/>
          <w:bCs/>
          <w:kern w:val="44"/>
          <w:szCs w:val="32"/>
          <w:lang w:eastAsia="zh-CN"/>
        </w:rPr>
        <w:t>二、政府采购投标及履约承诺函</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1"/>
          <w:szCs w:val="21"/>
          <w:lang w:eastAsia="zh-CN"/>
        </w:rPr>
      </w:pPr>
      <w:bookmarkStart w:id="25" w:name="_Hlk72257530"/>
      <w:r>
        <w:rPr>
          <w:rFonts w:ascii="宋体" w:eastAsia="宋体" w:hAnsi="宋体" w:cs="宋体" w:hint="eastAsia"/>
          <w:color w:val="FF0000"/>
          <w:kern w:val="2"/>
          <w:sz w:val="21"/>
          <w:szCs w:val="21"/>
          <w:lang w:eastAsia="zh-CN"/>
        </w:rPr>
        <w:t>致：</w:t>
      </w:r>
      <w:r>
        <w:rPr>
          <w:rFonts w:ascii="宋体" w:eastAsia="宋体" w:hAnsi="宋体" w:cs="宋体" w:hint="eastAsia"/>
          <w:color w:val="FF0000"/>
          <w:kern w:val="2"/>
          <w:sz w:val="21"/>
          <w:szCs w:val="21"/>
          <w:u w:val="single"/>
          <w:lang w:eastAsia="zh-CN"/>
        </w:rPr>
        <w:t>深圳公共资源交易中心</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1.我单位参与本项目所投标（响应）的货物、工程或服务，不存在侵犯知识产权的情况。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w:t>
      </w:r>
      <w:r>
        <w:rPr>
          <w:rFonts w:ascii="宋体" w:eastAsia="宋体" w:hAnsi="宋体" w:cs="宋体" w:hint="eastAsia"/>
          <w:kern w:val="2"/>
          <w:sz w:val="21"/>
          <w:szCs w:val="22"/>
          <w:lang w:eastAsia="zh-CN"/>
        </w:rPr>
        <w:t>政府采购活动时不存在被有关部门禁止参与政府采购活动且在有效期内的情况。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3.我单位具备《中华人民共和国政府采购法》第二十二条第一款规定的六项条件。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4.我单位</w:t>
      </w:r>
      <w:r>
        <w:rPr>
          <w:rFonts w:ascii="宋体" w:eastAsia="宋体" w:hAnsi="宋体" w:cs="宋体" w:hint="eastAsia"/>
          <w:kern w:val="2"/>
          <w:sz w:val="21"/>
          <w:szCs w:val="22"/>
          <w:lang w:eastAsia="zh-CN"/>
        </w:rPr>
        <w:t xml:space="preserve">未被列入失信被执行人、重大税收违法案件当事人名单、政府采购严重违法失信行为记录名单。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1"/>
          <w:szCs w:val="22"/>
          <w:lang w:eastAsia="zh-CN"/>
        </w:rPr>
      </w:pPr>
      <w:r>
        <w:rPr>
          <w:rFonts w:ascii="宋体" w:eastAsia="宋体" w:hAnsi="宋体" w:cs="宋体" w:hint="eastAsia"/>
          <w:color w:val="FF0000"/>
          <w:kern w:val="2"/>
          <w:sz w:val="21"/>
          <w:szCs w:val="22"/>
          <w:lang w:eastAsia="zh-CN"/>
        </w:rPr>
        <w:t>5.我单位不存在《深圳市财政局政府采购供应商信用信息管理办法》（深财规〔2023〕3号）列明的严重违法失信行为。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bookmarkStart w:id="26" w:name="_Hlk72587269"/>
      <w:bookmarkStart w:id="27" w:name="_Hlk72587299"/>
      <w:r>
        <w:rPr>
          <w:rFonts w:ascii="宋体" w:eastAsia="宋体" w:hAnsi="宋体" w:cs="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6"/>
      <w:r>
        <w:rPr>
          <w:rFonts w:ascii="宋体" w:eastAsia="宋体" w:hAnsi="宋体" w:cs="宋体" w:hint="eastAsia"/>
          <w:kern w:val="2"/>
          <w:sz w:val="21"/>
          <w:szCs w:val="21"/>
          <w:lang w:eastAsia="zh-CN"/>
        </w:rPr>
        <w:t>。</w:t>
      </w:r>
    </w:p>
    <w:bookmarkEnd w:id="27"/>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9.我单位承诺中标后项目不转包，未经采购人同意不进行分包。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宋体" w:hint="eastAsia"/>
          <w:bCs/>
          <w:kern w:val="2"/>
          <w:sz w:val="21"/>
          <w:szCs w:val="22"/>
          <w:lang w:eastAsia="zh-CN"/>
        </w:rPr>
        <w:t>我单位已知悉并同意中标（成交）结果信息公示（公开）的内容。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sz w:val="21"/>
          <w:szCs w:val="21"/>
          <w:lang w:eastAsia="zh-CN"/>
        </w:rPr>
      </w:pPr>
      <w:r>
        <w:rPr>
          <w:rFonts w:ascii="宋体" w:eastAsia="宋体" w:hAnsi="宋体" w:cs="宋体" w:hint="eastAsia"/>
          <w:bCs/>
          <w:kern w:val="2"/>
          <w:sz w:val="21"/>
          <w:szCs w:val="22"/>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color w:val="FF0000"/>
          <w:kern w:val="2"/>
          <w:sz w:val="21"/>
          <w:szCs w:val="22"/>
          <w:lang w:eastAsia="zh-CN"/>
        </w:rPr>
        <w:t>若存在“不同供应商的董事、股东或其他高级管理人员为同一人的”情形的，我单位保证不存在串通投标、恶意串通或者视为串通投标的情形。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以上承诺，如有违反，愿依照国家相关法律法规处理，并承担由此给采购人带来的损失。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bookmarkEnd w:id="25"/>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color w:val="FF0000"/>
          <w:kern w:val="2"/>
          <w:sz w:val="21"/>
          <w:szCs w:val="22"/>
          <w:lang w:eastAsia="zh-CN"/>
        </w:rPr>
      </w:pPr>
      <w:r>
        <w:rPr>
          <w:rFonts w:ascii="宋体" w:eastAsia="宋体" w:hAnsi="宋体" w:cs="宋体" w:hint="eastAsia"/>
          <w:color w:val="FF0000"/>
          <w:kern w:val="2"/>
          <w:sz w:val="21"/>
          <w:szCs w:val="21"/>
          <w:lang w:eastAsia="zh-CN"/>
        </w:rPr>
        <w:t>投标人：</w:t>
      </w:r>
      <w:r>
        <w:rPr>
          <w:rFonts w:ascii="宋体" w:eastAsia="宋体" w:hAnsi="宋体" w:cs="宋体" w:hint="eastAsia"/>
          <w:color w:val="FF0000"/>
          <w:kern w:val="2"/>
          <w:sz w:val="21"/>
          <w:szCs w:val="21"/>
          <w:u w:val="thick"/>
          <w:lang w:eastAsia="zh-CN"/>
        </w:rPr>
        <w:t xml:space="preserve">                           </w:t>
      </w:r>
      <w:r>
        <w:rPr>
          <w:rFonts w:ascii="宋体" w:eastAsia="宋体" w:hAnsi="宋体" w:cs="宋体" w:hint="eastAsia"/>
          <w:color w:val="FF0000"/>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日期：</w:t>
      </w:r>
      <w:r>
        <w:rPr>
          <w:rFonts w:ascii="宋体" w:eastAsia="宋体" w:hAnsi="宋体" w:cs="宋体" w:hint="eastAsia"/>
          <w:color w:val="FF0000"/>
          <w:kern w:val="2"/>
          <w:sz w:val="21"/>
          <w:szCs w:val="21"/>
          <w:u w:val="thick"/>
          <w:lang w:eastAsia="zh-CN"/>
        </w:rPr>
        <w:t xml:space="preserve">        </w:t>
      </w:r>
      <w:r>
        <w:rPr>
          <w:rFonts w:ascii="宋体" w:eastAsia="宋体" w:hAnsi="宋体" w:cs="宋体" w:hint="eastAsia"/>
          <w:color w:val="FF0000"/>
          <w:kern w:val="2"/>
          <w:sz w:val="21"/>
          <w:szCs w:val="21"/>
          <w:lang w:eastAsia="zh-CN"/>
        </w:rPr>
        <w:t>年</w:t>
      </w:r>
      <w:r>
        <w:rPr>
          <w:rFonts w:ascii="宋体" w:eastAsia="宋体" w:hAnsi="宋体" w:cs="宋体" w:hint="eastAsia"/>
          <w:color w:val="FF0000"/>
          <w:kern w:val="2"/>
          <w:sz w:val="21"/>
          <w:szCs w:val="21"/>
          <w:u w:val="thick"/>
          <w:lang w:eastAsia="zh-CN"/>
        </w:rPr>
        <w:t xml:space="preserve">       </w:t>
      </w:r>
      <w:r>
        <w:rPr>
          <w:rFonts w:ascii="宋体" w:eastAsia="宋体" w:hAnsi="宋体" w:cs="宋体" w:hint="eastAsia"/>
          <w:color w:val="FF0000"/>
          <w:kern w:val="2"/>
          <w:sz w:val="21"/>
          <w:szCs w:val="21"/>
          <w:lang w:eastAsia="zh-CN"/>
        </w:rPr>
        <w:t>月</w:t>
      </w:r>
      <w:r>
        <w:rPr>
          <w:rFonts w:ascii="宋体" w:eastAsia="宋体" w:hAnsi="宋体" w:cs="宋体" w:hint="eastAsia"/>
          <w:color w:val="FF0000"/>
          <w:kern w:val="2"/>
          <w:sz w:val="21"/>
          <w:szCs w:val="21"/>
          <w:u w:val="thick"/>
          <w:lang w:eastAsia="zh-CN"/>
        </w:rPr>
        <w:t xml:space="preserve">       </w:t>
      </w:r>
      <w:r>
        <w:rPr>
          <w:rFonts w:ascii="宋体" w:eastAsia="宋体" w:hAnsi="宋体" w:cs="宋体" w:hint="eastAsia"/>
          <w:color w:val="FF0000"/>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kern w:val="2"/>
          <w:szCs w:val="22"/>
          <w:lang w:eastAsia="zh-CN"/>
        </w:rPr>
      </w:pPr>
    </w:p>
    <w:p>
      <w:pPr>
        <w:keepNext/>
        <w:keepLines/>
        <w:widowControl w:val="0"/>
        <w:kinsoku/>
        <w:overflowPunct/>
        <w:topLinePunct w:val="0"/>
        <w:bidi w:val="0"/>
        <w:spacing w:before="0" w:beforeAutospacing="0" w:after="60" w:afterLines="25" w:afterAutospacing="0" w:line="360" w:lineRule="auto"/>
        <w:ind w:left="0" w:right="0" w:firstLine="0" w:leftChars="0" w:firstLineChars="0"/>
        <w:jc w:val="center"/>
        <w:outlineLvl w:val="2"/>
        <w:rPr>
          <w:rFonts w:ascii="宋体" w:eastAsia="宋体" w:hAnsi="宋体" w:cs="宋体" w:hint="eastAsia"/>
          <w:bCs/>
          <w:kern w:val="44"/>
          <w:lang w:eastAsia="zh-CN"/>
        </w:rPr>
      </w:pPr>
      <w:r>
        <w:rPr>
          <w:rFonts w:ascii="宋体" w:eastAsia="宋体" w:hAnsi="宋体" w:cs="宋体" w:hint="eastAsia"/>
          <w:bCs/>
          <w:kern w:val="44"/>
          <w:lang w:eastAsia="zh-CN"/>
        </w:rPr>
        <w:t>三、投标人情况及资格证明文件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8" w:name="_Hlk72257590"/>
      <w:r>
        <w:rPr>
          <w:rFonts w:ascii="宋体" w:eastAsia="宋体" w:hAnsi="宋体" w:cs="宋体" w:hint="eastAsia"/>
          <w:bCs/>
          <w:szCs w:val="32"/>
          <w:lang w:eastAsia="zh-CN"/>
        </w:rPr>
        <w:t>（一）投标人资格证明文件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bookmarkEnd w:id="28"/>
    <w:p>
      <w:pPr>
        <w:widowControl w:val="0"/>
        <w:spacing w:line="360" w:lineRule="auto"/>
        <w:jc w:val="both"/>
        <w:outlineLvl w:val="3"/>
        <w:rPr>
          <w:rFonts w:ascii="宋体" w:eastAsia="宋体" w:hAnsi="宋体" w:cs="宋体" w:hint="eastAsia"/>
          <w:bCs/>
          <w:kern w:val="2"/>
          <w:sz w:val="21"/>
          <w:szCs w:val="32"/>
          <w:lang w:eastAsia="zh-CN"/>
        </w:rPr>
      </w:pPr>
      <w:r>
        <w:rPr>
          <w:rFonts w:ascii="宋体" w:eastAsia="宋体" w:hAnsi="宋体" w:cs="宋体" w:hint="eastAsia"/>
          <w:bCs/>
          <w:kern w:val="2"/>
          <w:sz w:val="21"/>
          <w:szCs w:val="32"/>
          <w:lang w:eastAsia="zh-CN"/>
        </w:rPr>
        <w:t>（二）中小企业声明函、残疾人福利性单位声明函及监狱企业声明函</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填写指引：</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1、该部分内容由投标人根据自身实际情况填写，不符合要求的投标人可以不填写或直接删除相应的声明函。</w:t>
      </w:r>
      <w:r>
        <w:rPr>
          <w:rFonts w:ascii="宋体" w:eastAsia="宋体" w:hAnsi="宋体" w:cs="宋体" w:hint="eastAsia"/>
          <w:kern w:val="2"/>
          <w:sz w:val="21"/>
          <w:szCs w:val="21"/>
          <w:lang w:eastAsia="zh-CN"/>
        </w:rPr>
        <w:t>投标人提供的声明函不属实的，属于提供虚假资料谋取中标，依照《中华人民共和国政府采购法》等国家有关规定追究相应责任。</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2、该部分内容填写需要参考的相关文件：</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(1)财政部《政府采购促进中小企业发展管理办法》（财库〔2020〕46号）</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29" w:name="_Hlk71925120"/>
      <w:r>
        <w:rPr>
          <w:rFonts w:ascii="宋体" w:eastAsia="宋体" w:hAnsi="宋体" w:cs="宋体" w:hint="eastAsia"/>
          <w:kern w:val="2"/>
          <w:sz w:val="21"/>
          <w:szCs w:val="21"/>
          <w:lang w:eastAsia="zh-CN"/>
        </w:rPr>
        <w:t>《工业和信息化部、国家统计局、国家发展和改革委员会、财政部关于印发中小企业划型标准规定的通知》（工信部联企业〔2011〕300 号</w:t>
      </w:r>
      <w:bookmarkEnd w:id="29"/>
      <w:r>
        <w:rPr>
          <w:rFonts w:ascii="宋体" w:eastAsia="宋体" w:hAnsi="宋体" w:cs="宋体" w:hint="eastAsia"/>
          <w:kern w:val="2"/>
          <w:sz w:val="21"/>
          <w:szCs w:val="21"/>
          <w:lang w:eastAsia="zh-CN"/>
        </w:rPr>
        <w:t>，以下简称300号文）</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(3)《统计上大中小微型企业划分办法(2017)》（国统字〔2017〕213 号）</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(4)《关于促进残疾人就业政府采购政策的通知》（财库〔2017〕141号）</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(5)《关于政府采购支持监狱企业发展有关问题的通知》（财库〔2014〕68号）</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3、请依照提供的格式和内容填写声明函，不要随意变更格式；声明函不需要盖章或签字；</w:t>
      </w:r>
      <w:r>
        <w:rPr>
          <w:rFonts w:ascii="宋体" w:eastAsia="宋体" w:hAnsi="宋体" w:cs="宋体" w:hint="eastAsia"/>
          <w:kern w:val="2"/>
          <w:sz w:val="21"/>
          <w:szCs w:val="21"/>
          <w:lang w:eastAsia="zh-CN"/>
        </w:rPr>
        <w:t>满足多项优惠政策的投标人，不重复享受多项价格扣除政策。</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4、声明函具体填写要求：</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（1）声明是中小企业须填写《中小企业声明函》的以下内容：</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第一处，在“单位名称”下划线处如实填写采购人名称（深圳公共资源交易中心不是本项目的采购人，而是组织实施机构）；</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二处，在“项目名称”下划线处如实填写采购项目名称；“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bookmarkStart w:id="30" w:name="OLE_LINK15"/>
      <w:r>
        <w:rPr>
          <w:rFonts w:ascii="宋体" w:eastAsia="宋体" w:hAnsi="宋体" w:cs="宋体" w:hint="eastAsia"/>
          <w:bCs/>
          <w:kern w:val="2"/>
          <w:sz w:val="21"/>
          <w:szCs w:val="21"/>
          <w:lang w:eastAsia="zh-CN"/>
        </w:rPr>
        <w:t>并应确保与采购标的涉及的服务承接商本身的所属行业保持一致；</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对于分包方式面向中小企业采购的项目，“采购文件中明确的所属行业”应按照采购文件中注明的分包给中小企业的采购标的所属行业填写，并应确保与该分包部分采购标的涉及的服务承接商本身的所属行业保持一致</w:t>
      </w:r>
      <w:bookmarkEnd w:id="30"/>
      <w:r>
        <w:rPr>
          <w:rFonts w:ascii="宋体" w:eastAsia="宋体" w:hAnsi="宋体" w:cs="宋体" w:hint="eastAsia"/>
          <w:bCs/>
          <w:kern w:val="2"/>
          <w:sz w:val="21"/>
          <w:szCs w:val="21"/>
          <w:lang w:eastAsia="zh-CN"/>
        </w:rPr>
        <w:t>；</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五处，在“企业名称”下划线处如实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六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第七处，在“中型企业、小型企业、微型企业”下划线处如实填写；“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事业单位、社会组织等非企业主体不享受中小企业扶持政策，但事业单位、社会组织等非企业主体提供全部由中小企业制造的货物参加货物采购项目的除外。</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（2）声明是残疾人福利性单位须填写《残疾人福利性单位声明函》的相关内容，具体参照以上《中小企业声明函》填写要求执行。</w:t>
      </w:r>
    </w:p>
    <w:p>
      <w:pPr>
        <w:widowControl w:val="0"/>
        <w:spacing w:line="360" w:lineRule="auto"/>
        <w:jc w:val="both"/>
        <w:outlineLvl w:val="3"/>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（3）声明是监狱企业须填写《监狱企业声明函》的三项内容（填写位置的字体已加粗），具体参照以上《中小企业声明函》填写要求执行。</w:t>
      </w:r>
    </w:p>
    <w:p>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6、本项目属于服务类项目，相关服务的承接商应当为中小企业或残疾人福利性单位或监狱企业，如包含硬件设备、产品等货物采购的，不再对其中涉及的货物的制造商作出要求。</w:t>
      </w:r>
    </w:p>
    <w:p>
      <w:pPr>
        <w:widowControl w:val="0"/>
        <w:numPr>
          <w:ilvl w:val="0"/>
          <w:numId w:val="2"/>
        </w:numPr>
        <w:spacing w:line="360" w:lineRule="auto"/>
        <w:jc w:val="center"/>
        <w:outlineLvl w:val="3"/>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中小企业声明函（服务）</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spacing w:line="360" w:lineRule="auto"/>
        <w:jc w:val="both"/>
        <w:outlineLvl w:val="3"/>
        <w:rPr>
          <w:rFonts w:ascii="宋体" w:eastAsia="宋体" w:hAnsi="宋体" w:cs="宋体" w:hint="eastAsia"/>
          <w:kern w:val="2"/>
          <w:sz w:val="21"/>
          <w:szCs w:val="21"/>
          <w:lang w:eastAsia="zh-CN"/>
        </w:rPr>
      </w:pPr>
      <w:bookmarkStart w:id="31"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pPr>
        <w:widowControl w:val="0"/>
        <w:spacing w:line="360" w:lineRule="auto"/>
        <w:jc w:val="both"/>
        <w:rPr>
          <w:rFonts w:ascii="宋体" w:eastAsia="宋体" w:hAnsi="宋体" w:cs="宋体" w:hint="eastAsia"/>
          <w:kern w:val="2"/>
          <w:sz w:val="21"/>
          <w:szCs w:val="22"/>
          <w:lang w:eastAsia="zh-CN"/>
        </w:rPr>
      </w:pPr>
    </w:p>
    <w:p>
      <w:pPr>
        <w:widowControl w:val="0"/>
        <w:spacing w:line="360" w:lineRule="auto"/>
        <w:jc w:val="center"/>
        <w:outlineLvl w:val="3"/>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2、残疾人福利性单位声明函（服务类）</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line="360" w:lineRule="auto"/>
        <w:jc w:val="center"/>
        <w:outlineLvl w:val="3"/>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3、监狱企业声明函【服务类，监狱企业如需享受优惠政策，还须另行提供省级以上监狱管理局、戒毒管理局（含新疆生产建设兵团）出具的监狱企业证明文件】</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本投标人郑重声明，根据《财政部司法部关于政府采购支持监狱企业发展有关问题的通知》（财库〔2014〕68号）的规定，本投标人参加</w:t>
      </w:r>
      <w:r>
        <w:rPr>
          <w:rFonts w:ascii="宋体" w:eastAsia="宋体" w:hAnsi="宋体" w:cs="宋体" w:hint="eastAsia"/>
          <w:b/>
          <w:bCs/>
          <w:kern w:val="2"/>
          <w:sz w:val="21"/>
          <w:szCs w:val="21"/>
          <w:u w:val="single"/>
          <w:lang w:eastAsia="zh-CN"/>
        </w:rPr>
        <w:t>（采购人名称）</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采购活动，服务全部由符合政策要求的监狱企业承接。相关监狱企业的具体情况如下：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kern w:val="2"/>
          <w:sz w:val="21"/>
          <w:szCs w:val="21"/>
          <w:u w:val="single"/>
          <w:lang w:eastAsia="zh-CN"/>
        </w:rPr>
        <w:t>）</w:t>
      </w:r>
      <w:r>
        <w:rPr>
          <w:rFonts w:ascii="宋体" w:eastAsia="宋体" w:hAnsi="宋体" w:cs="宋体" w:hint="eastAsia"/>
          <w:kern w:val="2"/>
          <w:sz w:val="21"/>
          <w:szCs w:val="21"/>
          <w:lang w:eastAsia="zh-CN"/>
        </w:rPr>
        <w:t xml:space="preserve"> ，承接单位为</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监狱企业</w:t>
      </w:r>
      <w:r>
        <w:rPr>
          <w:rFonts w:ascii="宋体" w:eastAsia="宋体" w:hAnsi="宋体" w:cs="宋体" w:hint="eastAsia"/>
          <w:kern w:val="2"/>
          <w:sz w:val="21"/>
          <w:szCs w:val="21"/>
          <w:lang w:eastAsia="zh-CN"/>
        </w:rPr>
        <w:t>；</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i/>
          <w:iCs/>
          <w:kern w:val="2"/>
          <w:sz w:val="21"/>
          <w:szCs w:val="21"/>
          <w:lang w:eastAsia="zh-CN"/>
        </w:rPr>
        <w:t xml:space="preserve"> </w:t>
      </w:r>
      <w:r>
        <w:rPr>
          <w:rFonts w:ascii="宋体" w:eastAsia="宋体" w:hAnsi="宋体" w:cs="宋体" w:hint="eastAsia"/>
          <w:kern w:val="2"/>
          <w:sz w:val="21"/>
          <w:szCs w:val="21"/>
          <w:lang w:eastAsia="zh-CN"/>
        </w:rPr>
        <w:t>，承接单位为</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监狱企业</w:t>
      </w:r>
      <w:r>
        <w:rPr>
          <w:rFonts w:ascii="宋体" w:eastAsia="宋体" w:hAnsi="宋体" w:cs="宋体" w:hint="eastAsia"/>
          <w:kern w:val="2"/>
          <w:sz w:val="21"/>
          <w:szCs w:val="21"/>
          <w:lang w:eastAsia="zh-CN"/>
        </w:rPr>
        <w:t>。</w:t>
      </w:r>
    </w:p>
    <w:p>
      <w:pPr>
        <w:widowControl w:val="0"/>
        <w:spacing w:line="360" w:lineRule="auto"/>
        <w:jc w:val="both"/>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附：省级以上监狱管理局、戒毒管理局（含新疆生产建设兵团）出具的监狱企业证明文件。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1"/>
          <w:lang w:eastAsia="zh-CN"/>
        </w:rPr>
      </w:pPr>
    </w:p>
    <w:p>
      <w:pPr>
        <w:keepNext/>
        <w:keepLines/>
        <w:pageBreakBefore/>
        <w:widowControl w:val="0"/>
        <w:kinsoku/>
        <w:overflowPunct/>
        <w:topLinePunct w:val="0"/>
        <w:bidi w:val="0"/>
        <w:adjustRightInd w:val="0"/>
        <w:snapToGrid w:val="0"/>
        <w:spacing w:beforeAutospacing="0" w:afterAutospacing="0" w:line="360" w:lineRule="auto"/>
        <w:ind w:left="0" w:right="0" w:firstLine="0" w:leftChars="0" w:firstLineChars="0"/>
        <w:jc w:val="center"/>
        <w:textAlignment w:val="baseline"/>
        <w:outlineLvl w:val="3"/>
        <w:rPr>
          <w:rFonts w:ascii="宋体" w:eastAsia="宋体" w:hAnsi="宋体" w:cs="宋体" w:hint="eastAsia"/>
          <w:kern w:val="2"/>
          <w:lang w:eastAsia="zh-CN"/>
        </w:rPr>
      </w:pPr>
      <w:r>
        <w:rPr>
          <w:rFonts w:ascii="宋体" w:eastAsia="宋体" w:hAnsi="宋体" w:cs="宋体" w:hint="eastAsia"/>
          <w:kern w:val="2"/>
          <w:lang w:eastAsia="zh-CN"/>
        </w:rPr>
        <w:t>四、分项报价清单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投标单位（投标人）名称：</w:t>
      </w:r>
      <w:r>
        <w:rPr>
          <w:rFonts w:ascii="宋体" w:eastAsia="宋体" w:hAnsi="宋体" w:cs="宋体" w:hint="eastAsia"/>
          <w:kern w:val="2"/>
          <w:sz w:val="21"/>
          <w:szCs w:val="22"/>
          <w:u w:val="single"/>
          <w:lang w:eastAsia="zh-CN"/>
        </w:rPr>
        <w:t xml:space="preserve">                          </w:t>
      </w:r>
    </w:p>
    <w:p>
      <w:pPr>
        <w:widowControl w:val="0"/>
        <w:tabs>
          <w:tab w:val="left" w:pos="720"/>
        </w:tabs>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（一）项目报价表</w:t>
      </w:r>
    </w:p>
    <w:tbl>
      <w:tblPr>
        <w:tblStyle w:val="TableNormal"/>
        <w:tblW w:w="5000" w:type="pct"/>
        <w:tblInd w:w="0" w:type="dxa"/>
        <w:tblLayout w:type="fixed"/>
        <w:tblCellMar>
          <w:top w:w="0" w:type="dxa"/>
          <w:left w:w="108" w:type="dxa"/>
          <w:bottom w:w="0" w:type="dxa"/>
          <w:right w:w="108" w:type="dxa"/>
        </w:tblCellMar>
      </w:tblPr>
      <w:tblGrid>
        <w:gridCol w:w="774"/>
        <w:gridCol w:w="4128"/>
        <w:gridCol w:w="2153"/>
        <w:gridCol w:w="1801"/>
      </w:tblGrid>
      <w:tr>
        <w:tblPrEx>
          <w:tblW w:w="5000" w:type="pct"/>
          <w:tblInd w:w="0" w:type="dxa"/>
          <w:tblLayout w:type="fixed"/>
          <w:tblCellMar>
            <w:top w:w="0" w:type="dxa"/>
            <w:left w:w="108" w:type="dxa"/>
            <w:bottom w:w="0" w:type="dxa"/>
            <w:right w:w="108" w:type="dxa"/>
          </w:tblCellMar>
        </w:tblPrEx>
        <w:trPr>
          <w:trHeight w:val="936"/>
        </w:trPr>
        <w:tc>
          <w:tcPr>
            <w:tcW w:w="794" w:type="dxa"/>
            <w:tcBorders>
              <w:top w:val="single" w:sz="8" w:space="0" w:color="auto"/>
              <w:left w:val="single" w:sz="8" w:space="0" w:color="auto"/>
              <w:bottom w:val="single" w:sz="4" w:space="0" w:color="auto"/>
              <w:right w:val="single" w:sz="4" w:space="0" w:color="auto"/>
            </w:tcBorders>
            <w:shd w:val="clear" w:color="000000" w:fill="E7E6E6"/>
            <w:vAlign w:val="center"/>
          </w:tcPr>
          <w:p>
            <w:pPr>
              <w:widowControl/>
              <w:kinsoku/>
              <w:overflowPunct/>
              <w:topLinePunct w:val="0"/>
              <w:bidi w:val="0"/>
              <w:spacing w:line="360" w:lineRule="auto"/>
              <w:ind w:firstLine="0" w:firstLineChars="0"/>
              <w:jc w:val="center"/>
              <w:rPr>
                <w:rFonts w:ascii="宋体" w:eastAsia="宋体" w:hAnsi="宋体" w:cs="宋体"/>
                <w:b/>
                <w:bCs/>
                <w:kern w:val="2"/>
                <w:sz w:val="20"/>
                <w:szCs w:val="20"/>
                <w:lang w:eastAsia="zh-CN"/>
              </w:rPr>
            </w:pPr>
            <w:r>
              <w:rPr>
                <w:rFonts w:ascii="宋体" w:eastAsia="宋体" w:hAnsi="宋体" w:cs="宋体" w:hint="eastAsia"/>
                <w:b/>
                <w:bCs/>
                <w:kern w:val="2"/>
                <w:sz w:val="20"/>
                <w:szCs w:val="20"/>
                <w:lang w:eastAsia="zh-CN"/>
              </w:rPr>
              <w:t>序号</w:t>
            </w:r>
          </w:p>
        </w:tc>
        <w:tc>
          <w:tcPr>
            <w:tcW w:w="4277" w:type="dxa"/>
            <w:tcBorders>
              <w:top w:val="single" w:sz="8" w:space="0" w:color="auto"/>
              <w:left w:val="nil"/>
              <w:bottom w:val="single" w:sz="4" w:space="0" w:color="auto"/>
              <w:right w:val="single" w:sz="4" w:space="0" w:color="auto"/>
            </w:tcBorders>
            <w:shd w:val="clear" w:color="000000" w:fill="E7E6E6"/>
            <w:vAlign w:val="center"/>
          </w:tcPr>
          <w:p>
            <w:pPr>
              <w:widowControl/>
              <w:kinsoku/>
              <w:overflowPunct/>
              <w:topLinePunct w:val="0"/>
              <w:bidi w:val="0"/>
              <w:spacing w:line="360" w:lineRule="auto"/>
              <w:ind w:firstLine="0" w:firstLineChars="0"/>
              <w:jc w:val="center"/>
              <w:rPr>
                <w:rFonts w:ascii="宋体" w:eastAsia="宋体" w:hAnsi="宋体" w:cs="宋体"/>
                <w:b/>
                <w:bCs/>
                <w:kern w:val="2"/>
                <w:sz w:val="20"/>
                <w:szCs w:val="20"/>
                <w:lang w:eastAsia="zh-CN"/>
              </w:rPr>
            </w:pPr>
            <w:r>
              <w:rPr>
                <w:rFonts w:ascii="宋体" w:eastAsia="宋体" w:hAnsi="宋体" w:cs="宋体" w:hint="eastAsia"/>
                <w:b/>
                <w:bCs/>
                <w:kern w:val="2"/>
                <w:sz w:val="20"/>
                <w:szCs w:val="20"/>
                <w:lang w:eastAsia="zh-CN"/>
              </w:rPr>
              <w:t>项目名称</w:t>
            </w:r>
          </w:p>
        </w:tc>
        <w:tc>
          <w:tcPr>
            <w:tcW w:w="2226" w:type="dxa"/>
            <w:tcBorders>
              <w:top w:val="single" w:sz="8" w:space="0" w:color="auto"/>
              <w:left w:val="nil"/>
              <w:bottom w:val="single" w:sz="4" w:space="0" w:color="auto"/>
              <w:right w:val="single" w:sz="4" w:space="0" w:color="auto"/>
            </w:tcBorders>
            <w:shd w:val="clear" w:color="000000" w:fill="E7E6E6"/>
            <w:vAlign w:val="center"/>
          </w:tcPr>
          <w:p>
            <w:pPr>
              <w:widowControl/>
              <w:kinsoku/>
              <w:overflowPunct/>
              <w:topLinePunct w:val="0"/>
              <w:bidi w:val="0"/>
              <w:spacing w:line="360" w:lineRule="auto"/>
              <w:ind w:firstLine="0" w:firstLineChars="0"/>
              <w:jc w:val="center"/>
              <w:rPr>
                <w:rFonts w:ascii="宋体" w:eastAsia="宋体" w:hAnsi="宋体" w:cs="宋体"/>
                <w:b/>
                <w:bCs/>
                <w:kern w:val="2"/>
                <w:sz w:val="20"/>
                <w:szCs w:val="20"/>
                <w:lang w:eastAsia="zh-CN"/>
              </w:rPr>
            </w:pPr>
            <w:r>
              <w:rPr>
                <w:rFonts w:ascii="宋体" w:eastAsia="宋体" w:hAnsi="宋体" w:cs="宋体" w:hint="eastAsia"/>
                <w:b/>
                <w:bCs/>
                <w:kern w:val="2"/>
                <w:sz w:val="20"/>
                <w:szCs w:val="20"/>
                <w:lang w:eastAsia="zh-CN"/>
              </w:rPr>
              <w:t>投标报价（元）</w:t>
            </w:r>
          </w:p>
        </w:tc>
        <w:tc>
          <w:tcPr>
            <w:tcW w:w="1861" w:type="dxa"/>
            <w:tcBorders>
              <w:top w:val="single" w:sz="8" w:space="0" w:color="auto"/>
              <w:left w:val="nil"/>
              <w:bottom w:val="single" w:sz="4" w:space="0" w:color="auto"/>
              <w:right w:val="single" w:sz="8" w:space="0" w:color="auto"/>
            </w:tcBorders>
            <w:shd w:val="clear" w:color="000000" w:fill="E7E6E6"/>
            <w:vAlign w:val="center"/>
          </w:tcPr>
          <w:p>
            <w:pPr>
              <w:widowControl/>
              <w:kinsoku/>
              <w:overflowPunct/>
              <w:topLinePunct w:val="0"/>
              <w:bidi w:val="0"/>
              <w:spacing w:line="360" w:lineRule="auto"/>
              <w:ind w:firstLine="0" w:firstLineChars="0"/>
              <w:jc w:val="center"/>
              <w:rPr>
                <w:rFonts w:ascii="宋体" w:eastAsia="宋体" w:hAnsi="宋体" w:cs="宋体"/>
                <w:b/>
                <w:bCs/>
                <w:kern w:val="2"/>
                <w:sz w:val="20"/>
                <w:szCs w:val="20"/>
                <w:lang w:eastAsia="zh-CN"/>
              </w:rPr>
            </w:pPr>
            <w:r>
              <w:rPr>
                <w:rFonts w:ascii="宋体" w:eastAsia="宋体" w:hAnsi="宋体" w:cs="宋体" w:hint="eastAsia"/>
                <w:b/>
                <w:bCs/>
                <w:kern w:val="2"/>
                <w:sz w:val="20"/>
                <w:szCs w:val="20"/>
                <w:lang w:eastAsia="zh-CN"/>
              </w:rPr>
              <w:t>说明</w:t>
            </w:r>
          </w:p>
        </w:tc>
      </w:tr>
      <w:tr>
        <w:tblPrEx>
          <w:tblW w:w="5000" w:type="pct"/>
          <w:tblInd w:w="0" w:type="dxa"/>
          <w:tblLayout w:type="fixed"/>
          <w:tblCellMar>
            <w:top w:w="0" w:type="dxa"/>
            <w:left w:w="108" w:type="dxa"/>
            <w:bottom w:w="0" w:type="dxa"/>
            <w:right w:w="108" w:type="dxa"/>
          </w:tblCellMar>
        </w:tblPrEx>
        <w:trPr>
          <w:trHeight w:val="90"/>
        </w:trPr>
        <w:tc>
          <w:tcPr>
            <w:tcW w:w="794" w:type="dxa"/>
            <w:tcBorders>
              <w:top w:val="single" w:sz="4" w:space="0" w:color="auto"/>
              <w:left w:val="single" w:sz="8" w:space="0" w:color="auto"/>
              <w:bottom w:val="single" w:sz="4" w:space="0" w:color="auto"/>
              <w:right w:val="single" w:sz="4" w:space="0" w:color="auto"/>
            </w:tcBorders>
            <w:shd w:val="clear" w:color="auto" w:fill="auto"/>
            <w:vAlign w:val="center"/>
          </w:tcPr>
          <w:p>
            <w:pPr>
              <w:widowControl/>
              <w:kinsoku/>
              <w:overflowPunct/>
              <w:topLinePunct w:val="0"/>
              <w:bidi w:val="0"/>
              <w:spacing w:line="360" w:lineRule="auto"/>
              <w:ind w:firstLine="0" w:firstLineChars="0"/>
              <w:jc w:val="center"/>
              <w:rPr>
                <w:rFonts w:ascii="宋体" w:eastAsia="宋体" w:hAnsi="宋体" w:cs="宋体"/>
                <w:kern w:val="2"/>
                <w:sz w:val="20"/>
                <w:szCs w:val="20"/>
                <w:lang w:eastAsia="zh-CN"/>
              </w:rPr>
            </w:pPr>
            <w:r>
              <w:rPr>
                <w:rFonts w:ascii="宋体" w:eastAsia="宋体" w:hAnsi="宋体" w:cs="宋体" w:hint="eastAsia"/>
                <w:kern w:val="2"/>
                <w:sz w:val="20"/>
                <w:szCs w:val="20"/>
                <w:lang w:eastAsia="zh-CN"/>
              </w:rPr>
              <w:t>一</w:t>
            </w:r>
          </w:p>
        </w:tc>
        <w:tc>
          <w:tcPr>
            <w:tcW w:w="4277" w:type="dxa"/>
            <w:tcBorders>
              <w:top w:val="single" w:sz="4" w:space="0" w:color="auto"/>
              <w:left w:val="nil"/>
              <w:bottom w:val="single" w:sz="4" w:space="0" w:color="auto"/>
              <w:right w:val="single" w:sz="4" w:space="0" w:color="auto"/>
            </w:tcBorders>
            <w:shd w:val="clear" w:color="auto" w:fill="auto"/>
            <w:vAlign w:val="center"/>
          </w:tcPr>
          <w:p>
            <w:pPr>
              <w:widowControl/>
              <w:kinsoku/>
              <w:overflowPunct/>
              <w:topLinePunct w:val="0"/>
              <w:bidi w:val="0"/>
              <w:spacing w:line="360" w:lineRule="auto"/>
              <w:ind w:firstLine="0" w:firstLineChars="0"/>
              <w:jc w:val="center"/>
              <w:rPr>
                <w:rFonts w:ascii="宋体" w:eastAsia="宋体" w:hAnsi="宋体" w:cs="宋体"/>
                <w:kern w:val="2"/>
                <w:sz w:val="20"/>
                <w:szCs w:val="20"/>
                <w:lang w:eastAsia="zh-CN"/>
              </w:rPr>
            </w:pPr>
            <w:r>
              <w:rPr>
                <w:rFonts w:ascii="宋体" w:eastAsia="宋体" w:hAnsi="宋体" w:cs="宋体" w:hint="eastAsia"/>
                <w:kern w:val="2"/>
                <w:sz w:val="20"/>
                <w:szCs w:val="20"/>
                <w:lang w:eastAsia="zh-CN"/>
              </w:rPr>
              <w:t>“AI+”绩效管理系统项目</w:t>
            </w:r>
          </w:p>
        </w:tc>
        <w:tc>
          <w:tcPr>
            <w:tcW w:w="2226" w:type="dxa"/>
            <w:tcBorders>
              <w:top w:val="single" w:sz="4" w:space="0" w:color="auto"/>
              <w:left w:val="nil"/>
              <w:bottom w:val="single" w:sz="4" w:space="0" w:color="auto"/>
              <w:right w:val="single" w:sz="4" w:space="0" w:color="auto"/>
            </w:tcBorders>
            <w:shd w:val="clear" w:color="000000" w:fill="FFFFFF"/>
            <w:vAlign w:val="center"/>
          </w:tcPr>
          <w:p>
            <w:pPr>
              <w:widowControl/>
              <w:kinsoku/>
              <w:overflowPunct/>
              <w:topLinePunct w:val="0"/>
              <w:bidi w:val="0"/>
              <w:spacing w:line="360" w:lineRule="auto"/>
              <w:ind w:firstLine="0" w:firstLineChars="0"/>
              <w:jc w:val="right"/>
              <w:rPr>
                <w:rFonts w:ascii="宋体" w:eastAsia="宋体" w:hAnsi="宋体" w:cs="宋体"/>
                <w:kern w:val="2"/>
                <w:sz w:val="20"/>
                <w:szCs w:val="20"/>
                <w:lang w:eastAsia="zh-CN"/>
              </w:rPr>
            </w:pPr>
          </w:p>
        </w:tc>
        <w:tc>
          <w:tcPr>
            <w:tcW w:w="1861" w:type="dxa"/>
            <w:tcBorders>
              <w:top w:val="single" w:sz="4" w:space="0" w:color="auto"/>
              <w:left w:val="nil"/>
              <w:bottom w:val="single" w:sz="4" w:space="0" w:color="auto"/>
              <w:right w:val="single" w:sz="8" w:space="0" w:color="auto"/>
            </w:tcBorders>
            <w:vAlign w:val="center"/>
          </w:tcPr>
          <w:p>
            <w:pPr>
              <w:widowControl/>
              <w:kinsoku/>
              <w:overflowPunct/>
              <w:topLinePunct w:val="0"/>
              <w:bidi w:val="0"/>
              <w:spacing w:line="360" w:lineRule="auto"/>
              <w:ind w:firstLine="0" w:firstLineChars="0"/>
              <w:jc w:val="left"/>
              <w:rPr>
                <w:rFonts w:ascii="宋体" w:eastAsia="宋体" w:hAnsi="宋体" w:cs="宋体"/>
                <w:kern w:val="2"/>
                <w:sz w:val="20"/>
                <w:szCs w:val="20"/>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color w:val="FF0000"/>
          <w:kern w:val="2"/>
          <w:sz w:val="21"/>
          <w:lang w:eastAsia="zh-CN"/>
        </w:rPr>
      </w:pPr>
      <w:r>
        <w:rPr>
          <w:rFonts w:ascii="宋体" w:eastAsia="宋体" w:hAnsi="宋体" w:cs="宋体" w:hint="eastAsia"/>
          <w:b/>
          <w:kern w:val="2"/>
          <w:sz w:val="21"/>
          <w:szCs w:val="22"/>
          <w:lang w:eastAsia="zh-CN"/>
        </w:rPr>
        <w:t>（二）供应商认为需要涉及的其他内容报价清单</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color w:val="FF0000"/>
          <w:kern w:val="2"/>
          <w:szCs w:val="22"/>
          <w:lang w:eastAsia="zh-CN"/>
        </w:rPr>
      </w:pPr>
    </w:p>
    <w:p>
      <w:pPr>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kern w:val="2"/>
          <w:sz w:val="21"/>
          <w:szCs w:val="32"/>
          <w:lang w:eastAsia="zh-CN"/>
        </w:rPr>
      </w:pPr>
      <w:r>
        <w:rPr>
          <w:rFonts w:ascii="宋体" w:eastAsia="宋体" w:hAnsi="宋体" w:cs="宋体" w:hint="eastAsia"/>
          <w:kern w:val="2"/>
          <w:lang w:eastAsia="zh-CN"/>
        </w:rPr>
        <w:t>五、</w:t>
      </w:r>
      <w:r>
        <w:rPr>
          <w:rFonts w:ascii="宋体" w:eastAsia="宋体" w:hAnsi="宋体" w:cs="宋体" w:hint="eastAsia"/>
          <w:kern w:val="2"/>
          <w:sz w:val="21"/>
          <w:szCs w:val="32"/>
          <w:lang w:eastAsia="zh-CN"/>
        </w:rPr>
        <w:t>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670"/>
        <w:gridCol w:w="1589"/>
        <w:gridCol w:w="939"/>
        <w:gridCol w:w="781"/>
        <w:gridCol w:w="1190"/>
        <w:gridCol w:w="1484"/>
        <w:gridCol w:w="147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8" w:type="pct"/>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0" w:type="pct"/>
            <w:tcBorders>
              <w:top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8"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0"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vAlign w:val="center"/>
          </w:tcPr>
          <w:p>
            <w:pPr>
              <w:pageBreakBefore w:val="0"/>
              <w:kinsoku/>
              <w:overflowPunct/>
              <w:topLinePunct w:val="0"/>
              <w:bidi w:val="0"/>
              <w:snapToGrid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1113" w:type="pct"/>
            <w:gridSpan w:val="2"/>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8"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830" w:type="pct"/>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pageBreakBefore w:val="0"/>
              <w:kinsoku/>
              <w:overflowPunct/>
              <w:topLinePunct w:val="0"/>
              <w:bidi w:val="0"/>
              <w:spacing w:beforeAutospacing="0" w:afterAutospacing="0" w:line="360" w:lineRule="auto"/>
              <w:ind w:left="0" w:right="0" w:firstLine="0" w:leftChars="0" w:firstLineChars="0"/>
              <w:jc w:val="left"/>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left"/>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left"/>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pageBreakBefore w:val="0"/>
              <w:kinsoku/>
              <w:overflowPunct/>
              <w:topLinePunct w:val="0"/>
              <w:bidi w:val="0"/>
              <w:snapToGrid w:val="0"/>
              <w:spacing w:beforeAutospacing="0" w:afterAutospacing="0" w:line="360" w:lineRule="auto"/>
              <w:ind w:left="0" w:right="0" w:firstLine="0" w:leftChars="0" w:firstLineChars="0"/>
              <w:jc w:val="left"/>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spacing w:line="360" w:lineRule="auto"/>
        <w:jc w:val="both"/>
        <w:rPr>
          <w:rFonts w:ascii="Calibri" w:eastAsia="宋体" w:hAnsi="Calibri"/>
          <w:b/>
          <w:bCs/>
          <w:kern w:val="2"/>
          <w:sz w:val="21"/>
          <w:szCs w:val="22"/>
          <w:lang w:eastAsia="zh-CN"/>
        </w:rPr>
        <w:sectPr>
          <w:headerReference w:type="default" r:id="rId4"/>
          <w:footerReference w:type="default" r:id="rId5"/>
          <w:pgMar w:top="1440" w:right="1800" w:bottom="1440" w:left="1800" w:header="708" w:footer="708" w:gutter="0"/>
          <w:cols w:num="1" w:space="708"/>
        </w:sectPr>
      </w:pPr>
      <w:r>
        <w:rPr>
          <w:rFonts w:ascii="Calibri" w:eastAsia="宋体" w:hAnsi="Calibri" w:cstheme="minorBidi" w:hint="eastAsia"/>
          <w:b/>
          <w:bCs/>
          <w:kern w:val="2"/>
          <w:sz w:val="21"/>
          <w:szCs w:val="22"/>
          <w:lang w:eastAsia="zh-CN"/>
        </w:rPr>
        <w:t>注意：《供应商基本情况表》为必填内容，若存在异常且不符合要求的供应商资格性审查将不予通过，作投标无效处理。</w:t>
      </w:r>
    </w:p>
    <w:p>
      <w:pPr>
        <w:keepNext/>
        <w:keepLines/>
        <w:widowControl w:val="0"/>
        <w:kinsoku/>
        <w:overflowPunct/>
        <w:topLinePunct w:val="0"/>
        <w:bidi w:val="0"/>
        <w:spacing w:before="0" w:beforeAutospacing="0" w:after="78" w:afterLines="25" w:afterAutospacing="0" w:line="360" w:lineRule="auto"/>
        <w:ind w:left="0" w:right="0" w:firstLine="0" w:leftChars="0" w:firstLineChars="0"/>
        <w:jc w:val="center"/>
        <w:outlineLvl w:val="2"/>
        <w:rPr>
          <w:rFonts w:ascii="宋体" w:eastAsia="宋体" w:hAnsi="宋体" w:cs="宋体" w:hint="eastAsia"/>
          <w:bCs/>
          <w:kern w:val="44"/>
          <w:szCs w:val="32"/>
          <w:lang w:eastAsia="zh-CN"/>
        </w:rPr>
      </w:pPr>
      <w:r>
        <w:rPr>
          <w:rFonts w:ascii="宋体" w:eastAsia="宋体" w:hAnsi="宋体" w:cs="宋体" w:hint="eastAsia"/>
          <w:bCs/>
          <w:kern w:val="44"/>
          <w:szCs w:val="32"/>
          <w:lang w:eastAsia="zh-CN"/>
        </w:rPr>
        <w:t>六</w:t>
      </w:r>
      <w:r>
        <w:rPr>
          <w:rFonts w:ascii="宋体" w:eastAsia="宋体" w:hAnsi="宋体" w:cs="宋体" w:hint="eastAsia"/>
          <w:bCs/>
          <w:kern w:val="44"/>
          <w:szCs w:val="32"/>
          <w:lang w:eastAsia="zh-CN"/>
        </w:rPr>
        <w:t>、</w:t>
      </w:r>
      <w:bookmarkStart w:id="32" w:name="_Hlk72092499"/>
      <w:r>
        <w:rPr>
          <w:rFonts w:ascii="宋体" w:eastAsia="宋体" w:hAnsi="宋体" w:cs="宋体" w:hint="eastAsia"/>
          <w:bCs/>
          <w:kern w:val="44"/>
          <w:szCs w:val="32"/>
          <w:lang w:eastAsia="zh-CN"/>
        </w:rPr>
        <w:t>法定代表人（负责人）证明书</w:t>
      </w:r>
      <w:bookmarkEnd w:id="32"/>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3"/>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3"/>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3"/>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66"/>
        </w:trPr>
        <w:tc>
          <w:tcPr>
            <w:tcW w:w="457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58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p>
    <w:p>
      <w:pPr>
        <w:keepNext/>
        <w:keepLines/>
        <w:widowControl w:val="0"/>
        <w:kinsoku/>
        <w:overflowPunct/>
        <w:topLinePunct w:val="0"/>
        <w:bidi w:val="0"/>
        <w:spacing w:before="0" w:beforeAutospacing="0" w:after="78" w:afterLines="25" w:afterAutospacing="0" w:line="360" w:lineRule="auto"/>
        <w:ind w:left="0" w:right="0" w:firstLine="0" w:leftChars="0" w:firstLineChars="0"/>
        <w:jc w:val="center"/>
        <w:outlineLvl w:val="2"/>
        <w:rPr>
          <w:rFonts w:ascii="宋体" w:eastAsia="宋体" w:hAnsi="宋体" w:cs="宋体" w:hint="eastAsia"/>
          <w:bCs/>
          <w:kern w:val="44"/>
          <w:szCs w:val="32"/>
          <w:lang w:eastAsia="zh-CN"/>
        </w:rPr>
      </w:pPr>
      <w:r>
        <w:rPr>
          <w:rFonts w:ascii="宋体" w:eastAsia="宋体" w:hAnsi="宋体" w:cs="宋体" w:hint="eastAsia"/>
          <w:bCs/>
          <w:kern w:val="44"/>
          <w:szCs w:val="32"/>
          <w:lang w:eastAsia="zh-CN"/>
        </w:rPr>
        <w:t>七</w:t>
      </w:r>
      <w:r>
        <w:rPr>
          <w:rFonts w:ascii="宋体" w:eastAsia="宋体" w:hAnsi="宋体" w:cs="宋体" w:hint="eastAsia"/>
          <w:bCs/>
          <w:kern w:val="44"/>
          <w:szCs w:val="32"/>
          <w:lang w:eastAsia="zh-CN"/>
        </w:rPr>
        <w:t>、投标文件签署授权委托书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52"/>
        </w:trPr>
        <w:tc>
          <w:tcPr>
            <w:tcW w:w="46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6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lang w:eastAsia="zh-CN"/>
        </w:rPr>
        <w:t>八</w:t>
      </w:r>
      <w:r>
        <w:rPr>
          <w:rFonts w:ascii="宋体" w:eastAsia="宋体" w:hAnsi="宋体" w:cs="宋体" w:hint="eastAsia"/>
          <w:lang w:eastAsia="zh-CN"/>
        </w:rPr>
        <w:t>、</w:t>
      </w:r>
      <w:bookmarkStart w:id="33" w:name="_Hlk72092634"/>
      <w:r>
        <w:rPr>
          <w:rFonts w:ascii="宋体" w:eastAsia="宋体" w:hAnsi="宋体" w:cs="宋体" w:hint="eastAsia"/>
          <w:lang w:eastAsia="zh-CN"/>
        </w:rPr>
        <w:t>实质性条款响应情况表</w:t>
      </w:r>
      <w:bookmarkEnd w:id="33"/>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color w:val="000000"/>
          <w:kern w:val="2"/>
          <w:lang w:eastAsia="zh-CN"/>
        </w:rPr>
        <w:t>投标单位（投标人）名称：</w:t>
      </w:r>
      <w:r>
        <w:rPr>
          <w:rFonts w:ascii="宋体" w:eastAsia="宋体" w:hAnsi="宋体" w:cs="宋体" w:hint="eastAsia"/>
          <w:color w:val="000000"/>
          <w:kern w:val="2"/>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97"/>
        <w:gridCol w:w="3850"/>
        <w:gridCol w:w="2149"/>
        <w:gridCol w:w="1711"/>
        <w:gridCol w:w="98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w:t>
            </w:r>
            <w:r>
              <w:rPr>
                <w:rFonts w:ascii="宋体" w:eastAsia="宋体" w:hAnsi="宋体" w:cs="宋体" w:hint="eastAsia"/>
                <w:b/>
                <w:color w:val="FF0000"/>
                <w:sz w:val="21"/>
                <w:szCs w:val="21"/>
                <w:lang w:eastAsia="zh-CN"/>
              </w:rPr>
              <w:t>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九</w:t>
      </w:r>
      <w:r>
        <w:rPr>
          <w:rFonts w:ascii="宋体" w:eastAsia="宋体" w:hAnsi="宋体" w:cs="宋体" w:hint="eastAsia"/>
          <w:kern w:val="44"/>
          <w:szCs w:val="20"/>
          <w:lang w:eastAsia="zh-CN"/>
        </w:rPr>
        <w:t>、</w:t>
      </w:r>
      <w:bookmarkStart w:id="34" w:name="_Hlk72062872"/>
      <w:r>
        <w:rPr>
          <w:rFonts w:ascii="宋体" w:eastAsia="宋体" w:hAnsi="宋体" w:cs="宋体" w:hint="eastAsia"/>
          <w:kern w:val="44"/>
          <w:szCs w:val="20"/>
          <w:lang w:eastAsia="zh-CN"/>
        </w:rPr>
        <w:t>实施方案</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w:t>
      </w:r>
      <w:r>
        <w:rPr>
          <w:rFonts w:ascii="宋体" w:eastAsia="宋体" w:hAnsi="宋体" w:cs="宋体" w:hint="eastAsia"/>
          <w:kern w:val="44"/>
          <w:szCs w:val="20"/>
          <w:lang w:eastAsia="zh-CN"/>
        </w:rPr>
        <w:t>质量保障措施及方案</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十一、</w:t>
      </w:r>
      <w:r>
        <w:rPr>
          <w:rFonts w:ascii="宋体" w:eastAsia="宋体" w:hAnsi="宋体" w:cs="宋体" w:hint="eastAsia"/>
          <w:kern w:val="44"/>
          <w:szCs w:val="20"/>
          <w:lang w:eastAsia="zh-CN"/>
        </w:rPr>
        <w:t>项目重难点分析、应对措施及相关的合理化建议</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十二、</w:t>
      </w:r>
      <w:r>
        <w:rPr>
          <w:rFonts w:ascii="宋体" w:eastAsia="宋体" w:hAnsi="宋体" w:cs="宋体" w:hint="eastAsia"/>
          <w:kern w:val="44"/>
          <w:szCs w:val="20"/>
          <w:lang w:eastAsia="zh-CN"/>
        </w:rPr>
        <w:t>项目完成（服务期满）后的服务承诺</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十三、</w:t>
      </w:r>
      <w:r>
        <w:rPr>
          <w:rFonts w:ascii="宋体" w:eastAsia="宋体" w:hAnsi="宋体" w:cs="宋体" w:hint="eastAsia"/>
          <w:kern w:val="44"/>
          <w:szCs w:val="20"/>
          <w:lang w:eastAsia="zh-CN"/>
        </w:rPr>
        <w:t>违约承诺</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十四、</w:t>
      </w:r>
      <w:r>
        <w:rPr>
          <w:rFonts w:ascii="宋体" w:eastAsia="宋体" w:hAnsi="宋体" w:cs="宋体" w:hint="eastAsia"/>
          <w:kern w:val="44"/>
          <w:szCs w:val="20"/>
          <w:lang w:eastAsia="zh-CN"/>
        </w:rPr>
        <w:t>拟安排项目负责人情况（仅限1人）</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十五、</w:t>
      </w:r>
      <w:r>
        <w:rPr>
          <w:rFonts w:ascii="宋体" w:eastAsia="宋体" w:hAnsi="宋体" w:cs="宋体" w:hint="eastAsia"/>
          <w:kern w:val="44"/>
          <w:szCs w:val="20"/>
          <w:lang w:eastAsia="zh-CN"/>
        </w:rPr>
        <w:t>拟安排项目核心团队成员（项目负责人除外）情况</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十六、</w:t>
      </w:r>
      <w:r>
        <w:rPr>
          <w:rFonts w:ascii="宋体" w:eastAsia="宋体" w:hAnsi="宋体" w:cs="宋体" w:hint="eastAsia"/>
          <w:kern w:val="44"/>
          <w:szCs w:val="20"/>
          <w:lang w:eastAsia="zh-CN"/>
        </w:rPr>
        <w:t>投标人资质情况及通过相关认证情况</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十七、</w:t>
      </w:r>
      <w:r>
        <w:rPr>
          <w:rFonts w:ascii="宋体" w:eastAsia="宋体" w:hAnsi="宋体" w:cs="宋体" w:hint="eastAsia"/>
          <w:kern w:val="44"/>
          <w:szCs w:val="20"/>
          <w:lang w:eastAsia="zh-CN"/>
        </w:rPr>
        <w:t>同类项目业绩情况</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color w:val="FF0000"/>
          <w:kern w:val="44"/>
          <w:szCs w:val="20"/>
          <w:lang w:eastAsia="zh-CN"/>
        </w:rPr>
      </w:pPr>
      <w:r>
        <w:rPr>
          <w:rFonts w:ascii="宋体" w:eastAsia="宋体" w:hAnsi="宋体" w:cs="宋体" w:hint="eastAsia"/>
          <w:color w:val="FF0000"/>
          <w:kern w:val="44"/>
          <w:szCs w:val="20"/>
          <w:lang w:eastAsia="zh-CN"/>
        </w:rPr>
        <w:t>（</w:t>
      </w:r>
      <w:r>
        <w:rPr>
          <w:rFonts w:ascii="宋体" w:eastAsia="宋体" w:hAnsi="宋体" w:cs="宋体" w:hint="eastAsia"/>
          <w:color w:val="FF0000"/>
          <w:kern w:val="44"/>
          <w:szCs w:val="20"/>
          <w:lang w:eastAsia="zh-CN"/>
        </w:rPr>
        <w:t>格式自拟）</w:t>
      </w:r>
    </w:p>
    <w:p>
      <w:pPr>
        <w:keepNext/>
        <w:keepLines/>
        <w:pageBreakBefore w:val="0"/>
        <w:widowControl w:val="0"/>
        <w:kinsoku/>
        <w:wordWrap/>
        <w:overflowPunct/>
        <w:topLinePunct w:val="0"/>
        <w:autoSpaceDE/>
        <w:autoSpaceDN/>
        <w:bidi w:val="0"/>
        <w:adjustRightInd/>
        <w:snapToGrid/>
        <w:spacing w:before="0" w:beforeAutospacing="0" w:after="78" w:afterLines="25" w:afterAutospacing="0" w:line="360" w:lineRule="auto"/>
        <w:ind w:left="0" w:right="0" w:firstLine="0" w:leftChars="0" w:firstLineChars="0"/>
        <w:jc w:val="center"/>
        <w:textAlignment w:val="auto"/>
        <w:outlineLvl w:val="2"/>
        <w:rPr>
          <w:rFonts w:ascii="宋体" w:eastAsia="宋体" w:hAnsi="宋体" w:cs="宋体" w:hint="eastAsia"/>
          <w:kern w:val="44"/>
          <w:szCs w:val="20"/>
          <w:lang w:eastAsia="zh-CN"/>
        </w:rPr>
      </w:pPr>
      <w:r>
        <w:rPr>
          <w:rFonts w:ascii="宋体" w:eastAsia="宋体" w:hAnsi="宋体" w:cs="宋体" w:hint="eastAsia"/>
          <w:kern w:val="44"/>
          <w:szCs w:val="20"/>
          <w:lang w:eastAsia="zh-CN"/>
        </w:rPr>
        <w:t>十八、</w:t>
      </w:r>
      <w:r>
        <w:rPr>
          <w:rFonts w:ascii="宋体" w:eastAsia="宋体" w:hAnsi="宋体" w:cs="宋体" w:hint="eastAsia"/>
          <w:kern w:val="44"/>
          <w:szCs w:val="20"/>
          <w:lang w:eastAsia="zh-CN"/>
        </w:rPr>
        <w:t>投标人认为需要加以说明的其他内容</w:t>
      </w:r>
      <w:bookmarkEnd w:id="34"/>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（一）政府采购违法行为风险知悉确认书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288"/>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kinsoku/>
              <w:overflowPunct/>
              <w:topLinePunct w:val="0"/>
              <w:autoSpaceDE w:val="0"/>
              <w:autoSpaceDN w:val="0"/>
              <w:bidi w:val="0"/>
              <w:spacing w:beforeAutospacing="0" w:afterAutospacing="0" w:line="360" w:lineRule="auto"/>
              <w:ind w:left="0" w:right="0" w:firstLine="0" w:leftChars="0" w:firstLineChars="0"/>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kinsoku/>
              <w:overflowPunct/>
              <w:topLinePunct w:val="0"/>
              <w:autoSpaceDE w:val="0"/>
              <w:autoSpaceDN w:val="0"/>
              <w:bidi w:val="0"/>
              <w:spacing w:beforeAutospacing="0" w:afterAutospacing="0" w:line="360" w:lineRule="auto"/>
              <w:ind w:left="0" w:right="0" w:firstLine="0" w:leftChars="0" w:firstLineChars="0"/>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kinsoku/>
              <w:overflowPunct/>
              <w:topLinePunct w:val="0"/>
              <w:autoSpaceDE w:val="0"/>
              <w:autoSpaceDN w:val="0"/>
              <w:bidi w:val="0"/>
              <w:spacing w:beforeAutospacing="0" w:afterAutospacing="0" w:line="360" w:lineRule="auto"/>
              <w:ind w:left="0" w:right="0" w:firstLine="0" w:leftChars="0" w:firstLineChars="0"/>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kinsoku/>
              <w:overflowPunct/>
              <w:topLinePunct w:val="0"/>
              <w:autoSpaceDE w:val="0"/>
              <w:autoSpaceDN w:val="0"/>
              <w:bidi w:val="0"/>
              <w:spacing w:beforeAutospacing="0" w:afterAutospacing="0" w:line="360" w:lineRule="auto"/>
              <w:ind w:left="0" w:right="0" w:firstLine="0" w:leftChars="0" w:firstLineChars="0"/>
              <w:rPr>
                <w:rFonts w:ascii="宋体" w:eastAsia="宋体" w:hAnsi="宋体" w:cs="宋体" w:hint="eastAsia"/>
                <w:spacing w:val="-4"/>
                <w:sz w:val="21"/>
                <w:szCs w:val="21"/>
                <w:lang w:eastAsia="zh-CN"/>
              </w:rPr>
            </w:pPr>
          </w:p>
        </w:tc>
      </w:tr>
    </w:tbl>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负责人/投标授权代表签名：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知悉人（公章）：</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2.投标供应商负责人或投标授权代表签字</w:t>
      </w:r>
      <w:r>
        <w:rPr>
          <w:rFonts w:ascii="宋体" w:eastAsia="宋体" w:hAnsi="宋体" w:cs="宋体" w:hint="eastAsia"/>
          <w:b/>
          <w:bCs/>
          <w:color w:val="FF0000"/>
          <w:spacing w:val="-4"/>
          <w:sz w:val="21"/>
          <w:szCs w:val="21"/>
          <w:highlight w:val="yellow"/>
          <w:lang w:eastAsia="zh-CN"/>
        </w:rPr>
        <w:t>并加盖单位公章</w:t>
      </w:r>
      <w:r>
        <w:rPr>
          <w:rFonts w:ascii="宋体" w:eastAsia="宋体" w:hAnsi="宋体" w:cs="宋体" w:hint="eastAsia"/>
          <w:b/>
          <w:bCs/>
          <w:color w:val="FF0000"/>
          <w:spacing w:val="-4"/>
          <w:sz w:val="21"/>
          <w:szCs w:val="21"/>
          <w:lang w:eastAsia="zh-CN"/>
        </w:rPr>
        <w:t>后，扫描上传至投标文件一并提交。</w:t>
      </w:r>
    </w:p>
    <w:p>
      <w:pPr>
        <w:widowControl/>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Cs w:val="20"/>
          <w:lang w:eastAsia="zh-CN"/>
        </w:rPr>
      </w:pPr>
      <w:r>
        <w:rPr>
          <w:rFonts w:ascii="宋体" w:eastAsia="宋体" w:hAnsi="宋体" w:cs="宋体" w:hint="eastAsia"/>
          <w:szCs w:val="20"/>
          <w:lang w:eastAsia="zh-CN"/>
        </w:rPr>
        <w:t>（二）投标人认为需要加以说明的其他内容（格式自定）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p>
    <w:p>
      <w:pPr>
        <w:widowControl w:val="0"/>
        <w:kinsoku/>
        <w:overflowPunct/>
        <w:topLinePunct w:val="0"/>
        <w:bidi w:val="0"/>
        <w:spacing w:line="360" w:lineRule="auto"/>
        <w:ind w:firstLine="0" w:firstLineChars="0"/>
        <w:jc w:val="both"/>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br w:type="page"/>
      </w: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sz w:val="28"/>
          <w:szCs w:val="28"/>
          <w:highlight w:val="yellow"/>
          <w:lang w:eastAsia="zh-CN"/>
        </w:rPr>
      </w:pPr>
      <w:r>
        <w:rPr>
          <w:rFonts w:ascii="宋体" w:eastAsia="宋体" w:hAnsi="宋体" w:cs="宋体" w:hint="eastAsia"/>
          <w:b/>
          <w:bCs/>
          <w:sz w:val="28"/>
          <w:szCs w:val="28"/>
          <w:highlight w:val="yellow"/>
          <w:lang w:eastAsia="zh-CN"/>
        </w:rPr>
        <w:t>第五章  合同条款及格式</w:t>
      </w:r>
    </w:p>
    <w:p>
      <w:pPr>
        <w:widowControl w:val="0"/>
        <w:kinsoku/>
        <w:overflowPunct/>
        <w:topLinePunct w:val="0"/>
        <w:bidi w:val="0"/>
        <w:spacing w:line="360" w:lineRule="auto"/>
        <w:ind w:firstLine="0" w:firstLineChars="0"/>
        <w:jc w:val="center"/>
        <w:rPr>
          <w:rFonts w:ascii="宋体" w:eastAsia="宋体" w:hAnsi="宋体" w:cs="宋体" w:hint="eastAsia"/>
          <w:b/>
          <w:bCs/>
          <w:spacing w:val="-20"/>
          <w:kern w:val="44"/>
          <w:sz w:val="48"/>
          <w:szCs w:val="48"/>
          <w:highlight w:val="yellow"/>
          <w:lang w:eastAsia="zh-CN"/>
        </w:rPr>
      </w:pPr>
      <w:bookmarkStart w:id="35" w:name="_Hlk72574405"/>
      <w:r>
        <w:rPr>
          <w:rFonts w:ascii="宋体" w:eastAsia="宋体" w:hAnsi="宋体" w:cs="宋体" w:hint="eastAsia"/>
          <w:b/>
          <w:bCs/>
          <w:spacing w:val="-20"/>
          <w:kern w:val="44"/>
          <w:sz w:val="48"/>
          <w:szCs w:val="48"/>
          <w:highlight w:val="yellow"/>
          <w:lang w:eastAsia="zh-CN"/>
        </w:rPr>
        <w:t>政府采购</w:t>
      </w:r>
      <w:r>
        <w:rPr>
          <w:rFonts w:ascii="宋体" w:eastAsia="宋体" w:hAnsi="宋体" w:cs="宋体" w:hint="eastAsia"/>
          <w:b/>
          <w:bCs/>
          <w:spacing w:val="-20"/>
          <w:kern w:val="44"/>
          <w:sz w:val="48"/>
          <w:szCs w:val="48"/>
          <w:highlight w:val="yellow"/>
          <w:lang w:eastAsia="zh-CN"/>
        </w:rPr>
        <w:t>服务采购</w:t>
      </w:r>
      <w:r>
        <w:rPr>
          <w:rFonts w:ascii="宋体" w:eastAsia="宋体" w:hAnsi="宋体" w:cs="宋体" w:hint="eastAsia"/>
          <w:b/>
          <w:bCs/>
          <w:spacing w:val="-20"/>
          <w:kern w:val="44"/>
          <w:sz w:val="48"/>
          <w:szCs w:val="48"/>
          <w:highlight w:val="yellow"/>
          <w:lang w:eastAsia="zh-CN"/>
        </w:rPr>
        <w:t>合同（试行）</w:t>
      </w:r>
    </w:p>
    <w:p>
      <w:pPr>
        <w:widowControl w:val="0"/>
        <w:kinsoku/>
        <w:overflowPunct/>
        <w:topLinePunct w:val="0"/>
        <w:bidi w:val="0"/>
        <w:spacing w:line="360" w:lineRule="auto"/>
        <w:ind w:firstLine="0" w:firstLineChars="0"/>
        <w:jc w:val="center"/>
        <w:rPr>
          <w:rFonts w:ascii="Calibri" w:eastAsia="宋体" w:hAnsi="Calibri" w:hint="eastAsia"/>
          <w:b/>
          <w:kern w:val="2"/>
          <w:szCs w:val="22"/>
          <w:lang w:eastAsia="zh-CN"/>
        </w:rPr>
      </w:pPr>
    </w:p>
    <w:p>
      <w:pPr>
        <w:widowControl w:val="0"/>
        <w:spacing w:line="560" w:lineRule="exact"/>
        <w:ind w:firstLine="640" w:firstLineChars="200"/>
        <w:jc w:val="center"/>
        <w:outlineLvl w:val="0"/>
        <w:rPr>
          <w:rFonts w:ascii="楷体_GB2312" w:eastAsia="楷体_GB2312" w:hAnsi="楷体_GB2312" w:cs="楷体_GB2312" w:hint="eastAsia"/>
          <w:b/>
          <w:bCs/>
          <w:kern w:val="2"/>
          <w:sz w:val="32"/>
          <w:szCs w:val="32"/>
          <w:lang w:eastAsia="zh-CN"/>
        </w:rPr>
      </w:pPr>
      <w:r>
        <w:rPr>
          <w:rFonts w:ascii="楷体_GB2312" w:eastAsia="楷体_GB2312" w:hAnsi="楷体_GB2312" w:cs="楷体_GB2312" w:hint="eastAsia"/>
          <w:b/>
          <w:bCs/>
          <w:kern w:val="2"/>
          <w:sz w:val="32"/>
          <w:szCs w:val="32"/>
          <w:lang w:eastAsia="zh-CN"/>
        </w:rPr>
        <w:t>（仅供参考，具体以项目需求及采购结果为准）</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第一条 项目概况</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1.项目名称：“AI+”绩效管理系统项目</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2.项目内容：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按照市、区有关工作安排，为进一步规范公务员管理，改进干部考核方式，激发干事创业精神，建设高素质、专业化的公务员队伍，我局拟依托区政务办公系统打造“AI+”绩效管理系统项目。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Calibri" w:eastAsia="宋体" w:hAnsi="Calibri" w:hint="eastAsia"/>
          <w:kern w:val="2"/>
          <w:sz w:val="21"/>
          <w:szCs w:val="22"/>
          <w:lang w:eastAsia="zh-CN"/>
        </w:rPr>
      </w:pPr>
      <w:r>
        <w:rPr>
          <w:rFonts w:ascii="宋体" w:eastAsia="宋体" w:hAnsi="宋体" w:cs="宋体" w:hint="eastAsia"/>
          <w:color w:val="000000"/>
          <w:kern w:val="2"/>
          <w:sz w:val="21"/>
          <w:szCs w:val="21"/>
          <w:lang w:eastAsia="zh-CN"/>
        </w:rPr>
        <w:t>本合同的建设内容由项目招标文件规定、投标文件承诺以及双方约定的内容组成，工作内容为建设包括智绘定绩、智驱督绩、智鉴评绩、智联用绩、干部画像五大模块，实现绩效管理全周期、全闭环线上运行。同时，引入人工智能大模型，以AI赋能绩效计划制定、绩效监督执行、绩效评价考核和绩效沟通反馈，推动绩效管理智能化、便捷化、高效化。</w:t>
      </w:r>
    </w:p>
    <w:p>
      <w:pPr>
        <w:keepNext w:val="0"/>
        <w:keepLines w:val="0"/>
        <w:pageBreakBefore w:val="0"/>
        <w:widowControl w:val="0"/>
        <w:kinsoku/>
        <w:wordWrap/>
        <w:overflowPunct/>
        <w:topLinePunct w:val="0"/>
        <w:autoSpaceDE/>
        <w:autoSpaceDN/>
        <w:bidi w:val="0"/>
        <w:adjustRightInd/>
        <w:snapToGrid/>
        <w:spacing w:line="360" w:lineRule="auto"/>
        <w:ind w:left="0" w:firstLine="0" w:leftChars="0" w:firstLineChars="0"/>
        <w:jc w:val="both"/>
        <w:textAlignment w:val="auto"/>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3.服务期限：</w:t>
      </w:r>
      <w:r>
        <w:rPr>
          <w:rFonts w:ascii="Calibri" w:eastAsia="宋体" w:hAnsi="Calibri" w:cstheme="minorBidi" w:hint="eastAsia"/>
          <w:kern w:val="2"/>
          <w:sz w:val="21"/>
          <w:szCs w:val="22"/>
          <w:lang w:eastAsia="zh-CN"/>
        </w:rPr>
        <w:t>自合同签订起</w:t>
      </w:r>
      <w:r>
        <w:rPr>
          <w:rFonts w:ascii="Calibri" w:eastAsia="宋体" w:hAnsi="Calibri" w:cstheme="minorBidi" w:hint="eastAsia"/>
          <w:kern w:val="2"/>
          <w:sz w:val="21"/>
          <w:szCs w:val="22"/>
          <w:lang w:eastAsia="zh-CN"/>
        </w:rPr>
        <w:t>4个月内完成项目验收；</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4.服务地点：深圳市龙华区</w:t>
      </w:r>
      <w:r>
        <w:rPr>
          <w:rFonts w:ascii="宋体" w:eastAsia="宋体" w:hAnsi="宋体" w:cstheme="minorBidi" w:hint="eastAsia"/>
          <w:kern w:val="2"/>
          <w:sz w:val="21"/>
          <w:szCs w:val="21"/>
          <w:lang w:eastAsia="zh-CN"/>
        </w:rPr>
        <w:t>；</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5.合同价款：</w:t>
      </w:r>
      <w:r>
        <w:rPr>
          <w:rFonts w:ascii="宋体" w:eastAsia="宋体" w:hAnsi="宋体" w:cstheme="minorBidi" w:hint="eastAsia"/>
          <w:kern w:val="2"/>
          <w:sz w:val="21"/>
          <w:szCs w:val="21"/>
          <w:lang w:eastAsia="zh-CN"/>
        </w:rPr>
        <w:t>以中标结果为准；</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第二条 支付方式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leftChars="0" w:firstLineChars="200"/>
        <w:jc w:val="both"/>
        <w:textAlignment w:val="auto"/>
        <w:rPr>
          <w:rFonts w:ascii="Calibri" w:eastAsia="宋体" w:hAnsi="Calibri" w:hint="eastAsia"/>
          <w:kern w:val="2"/>
          <w:sz w:val="21"/>
          <w:szCs w:val="22"/>
          <w:lang w:eastAsia="zh-CN"/>
        </w:rPr>
      </w:pPr>
      <w:r>
        <w:rPr>
          <w:rFonts w:ascii="宋体" w:eastAsia="宋体" w:hAnsi="宋体" w:cs="宋体" w:hint="eastAsia"/>
          <w:color w:val="000000"/>
          <w:kern w:val="2"/>
          <w:sz w:val="21"/>
          <w:szCs w:val="21"/>
          <w:lang w:eastAsia="zh-CN"/>
        </w:rPr>
        <w:t>1、</w:t>
      </w:r>
      <w:r>
        <w:rPr>
          <w:rFonts w:ascii="Calibri" w:eastAsia="宋体" w:hAnsi="Calibri" w:cstheme="minorBidi" w:hint="eastAsia"/>
          <w:kern w:val="2"/>
          <w:sz w:val="21"/>
          <w:szCs w:val="22"/>
          <w:lang w:eastAsia="zh-CN"/>
        </w:rPr>
        <w:t>合同签订后，乙方向甲方提交合法等额发票。</w:t>
      </w:r>
      <w:r>
        <w:rPr>
          <w:rFonts w:ascii="宋体" w:eastAsia="宋体" w:hAnsi="宋体" w:cs="宋体" w:hint="eastAsia"/>
          <w:kern w:val="2"/>
          <w:sz w:val="21"/>
          <w:szCs w:val="21"/>
          <w:lang w:eastAsia="zh-CN"/>
        </w:rPr>
        <w:t>在财政拨款到位</w:t>
      </w:r>
      <w:r>
        <w:rPr>
          <w:rFonts w:ascii="宋体" w:eastAsia="宋体" w:hAnsi="宋体" w:cs="宋体" w:hint="eastAsia"/>
          <w:kern w:val="2"/>
          <w:sz w:val="21"/>
          <w:szCs w:val="21"/>
          <w:lang w:eastAsia="zh-CN"/>
        </w:rPr>
        <w:t>后，</w:t>
      </w:r>
      <w:r>
        <w:rPr>
          <w:rFonts w:ascii="Calibri" w:eastAsia="宋体" w:hAnsi="Calibri" w:cstheme="minorBidi" w:hint="eastAsia"/>
          <w:kern w:val="2"/>
          <w:sz w:val="21"/>
          <w:szCs w:val="22"/>
          <w:lang w:eastAsia="zh-CN"/>
        </w:rPr>
        <w:t>甲方收到发票后10个工作日内按财政国库集中支付程序办理费用的支付手续向乙方支付合同总价【70%】的款项。</w:t>
      </w:r>
    </w:p>
    <w:p>
      <w:pPr>
        <w:keepNext w:val="0"/>
        <w:keepLines w:val="0"/>
        <w:pageBreakBefore w:val="0"/>
        <w:widowControl w:val="0"/>
        <w:numPr>
          <w:ilvl w:val="12"/>
          <w:numId w:val="0"/>
        </w:numPr>
        <w:kinsoku/>
        <w:wordWrap/>
        <w:overflowPunct/>
        <w:topLinePunct w:val="0"/>
        <w:autoSpaceDE/>
        <w:autoSpaceDN/>
        <w:bidi w:val="0"/>
        <w:adjustRightInd/>
        <w:snapToGrid/>
        <w:spacing w:line="360" w:lineRule="auto"/>
        <w:ind w:left="0" w:firstLine="420" w:leftChars="0" w:firstLineChars="200"/>
        <w:jc w:val="both"/>
        <w:textAlignment w:val="auto"/>
        <w:rPr>
          <w:rFonts w:ascii="Calibri" w:eastAsia="宋体" w:hAnsi="Calibri" w:hint="eastAsia"/>
          <w:kern w:val="2"/>
          <w:sz w:val="21"/>
          <w:szCs w:val="22"/>
          <w:lang w:eastAsia="zh-CN"/>
        </w:rPr>
      </w:pPr>
      <w:r>
        <w:rPr>
          <w:rFonts w:ascii="宋体" w:eastAsia="宋体" w:hAnsi="宋体" w:cs="宋体" w:hint="eastAsia"/>
          <w:color w:val="000000"/>
          <w:kern w:val="2"/>
          <w:sz w:val="21"/>
          <w:szCs w:val="21"/>
          <w:lang w:eastAsia="zh-CN"/>
        </w:rPr>
        <w:t>2、</w:t>
      </w:r>
      <w:r>
        <w:rPr>
          <w:rFonts w:ascii="Calibri" w:eastAsia="宋体" w:hAnsi="Calibri" w:cstheme="minorBidi" w:hint="eastAsia"/>
          <w:kern w:val="2"/>
          <w:sz w:val="21"/>
          <w:szCs w:val="22"/>
          <w:lang w:eastAsia="zh-CN"/>
        </w:rPr>
        <w:t>完成项目建设内容后，项目达到验收条件后，乙方向甲方提交合法等额发票及对应验收报告。</w:t>
      </w:r>
      <w:r>
        <w:rPr>
          <w:rFonts w:ascii="宋体" w:eastAsia="宋体" w:hAnsi="宋体" w:cs="宋体" w:hint="eastAsia"/>
          <w:kern w:val="2"/>
          <w:sz w:val="21"/>
          <w:szCs w:val="21"/>
          <w:lang w:eastAsia="zh-CN"/>
        </w:rPr>
        <w:t>待甲方</w:t>
      </w:r>
      <w:r>
        <w:rPr>
          <w:rFonts w:ascii="宋体" w:eastAsia="宋体" w:hAnsi="宋体" w:cs="宋体" w:hint="eastAsia"/>
          <w:kern w:val="2"/>
          <w:sz w:val="21"/>
          <w:szCs w:val="21"/>
          <w:lang w:eastAsia="zh-CN"/>
        </w:rPr>
        <w:t>验收合格后</w:t>
      </w:r>
      <w:r>
        <w:rPr>
          <w:rFonts w:ascii="宋体" w:eastAsia="宋体" w:hAnsi="宋体" w:cs="宋体" w:hint="eastAsia"/>
          <w:kern w:val="2"/>
          <w:sz w:val="21"/>
          <w:szCs w:val="21"/>
          <w:lang w:eastAsia="zh-CN"/>
        </w:rPr>
        <w:t>及乙方提供</w:t>
      </w:r>
      <w:r>
        <w:rPr>
          <w:rFonts w:ascii="宋体" w:eastAsia="宋体" w:hAnsi="宋体" w:cs="宋体" w:hint="eastAsia"/>
          <w:kern w:val="2"/>
          <w:sz w:val="21"/>
          <w:szCs w:val="21"/>
          <w:lang w:eastAsia="zh-CN"/>
        </w:rPr>
        <w:t>合法等额发票，在财政拨款到位后</w:t>
      </w:r>
      <w:r>
        <w:rPr>
          <w:rFonts w:ascii="宋体" w:eastAsia="宋体" w:hAnsi="宋体" w:cs="宋体" w:hint="eastAsia"/>
          <w:kern w:val="2"/>
          <w:sz w:val="21"/>
          <w:szCs w:val="21"/>
          <w:lang w:eastAsia="zh-CN"/>
        </w:rPr>
        <w:t>，</w:t>
      </w:r>
      <w:r>
        <w:rPr>
          <w:rFonts w:ascii="Calibri" w:eastAsia="宋体" w:hAnsi="Calibri" w:cstheme="minorBidi" w:hint="eastAsia"/>
          <w:kern w:val="2"/>
          <w:sz w:val="21"/>
          <w:szCs w:val="22"/>
          <w:lang w:eastAsia="zh-CN"/>
        </w:rPr>
        <w:t>甲方收到发票后10个工作日内按财政国库集中支付程序办理费用的支付手续向乙方支付合同剩余款项。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验收条件：完成系统建设内容，项目达到验收标准；</w:t>
      </w:r>
    </w:p>
    <w:p>
      <w:pPr>
        <w:widowControl w:val="0"/>
        <w:kinsoku/>
        <w:overflowPunct/>
        <w:topLinePunct w:val="0"/>
        <w:bidi w:val="0"/>
        <w:spacing w:line="360" w:lineRule="auto"/>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第三条 服务内容</w:t>
      </w:r>
    </w:p>
    <w:p>
      <w:pPr>
        <w:widowControl w:val="0"/>
        <w:ind w:left="0" w:firstLine="420" w:leftChars="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本合同的建设内容由项目招标文件规定、投标文件承诺以及双方约定的内容组成，工作内容为建设如下表所示模块：</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表1 功能模块</w:t>
      </w:r>
      <w:r>
        <w:rPr>
          <w:rFonts w:ascii="宋体" w:eastAsia="宋体" w:hAnsi="宋体" w:cs="宋体" w:hint="eastAsia"/>
          <w:b/>
          <w:bCs/>
          <w:kern w:val="2"/>
          <w:sz w:val="32"/>
          <w:szCs w:val="32"/>
          <w:lang w:eastAsia="zh-CN"/>
        </w:rPr>
        <w:t>明细</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39"/>
        <w:gridCol w:w="1757"/>
        <w:gridCol w:w="589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73"/>
        </w:trPr>
        <w:tc>
          <w:tcPr>
            <w:tcW w:w="9120" w:type="dxa"/>
            <w:gridSpan w:val="3"/>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功能模块</w:t>
            </w:r>
          </w:p>
        </w:tc>
      </w:tr>
      <w:tr>
        <w:tblPrEx>
          <w:tblW w:w="5000" w:type="pct"/>
          <w:tblInd w:w="0" w:type="dxa"/>
          <w:tblLayout w:type="fixed"/>
          <w:tblCellMar>
            <w:top w:w="0" w:type="dxa"/>
            <w:left w:w="108" w:type="dxa"/>
            <w:bottom w:w="0" w:type="dxa"/>
            <w:right w:w="108" w:type="dxa"/>
          </w:tblCellMar>
        </w:tblPrEx>
        <w:trPr>
          <w:trHeight w:val="1960"/>
        </w:trPr>
        <w:tc>
          <w:tcPr>
            <w:tcW w:w="3335"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leftChars="0" w:righ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“AI”+绩效管理系统</w:t>
            </w:r>
          </w:p>
        </w:tc>
        <w:tc>
          <w:tcPr>
            <w:tcW w:w="5785"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leftChars="0" w:rightChars="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点击菜单显示系统封面轮播图</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智绘定绩</w:t>
            </w: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制定绩效计划</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考核批次列表查询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考核记录列表查询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复制</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设置定绩、督绩截止日期</w:t>
            </w:r>
          </w:p>
        </w:tc>
      </w:tr>
      <w:tr>
        <w:tblPrEx>
          <w:tblW w:w="5000" w:type="pct"/>
          <w:tblInd w:w="0" w:type="dxa"/>
          <w:tblLayout w:type="fixed"/>
          <w:tblCellMar>
            <w:top w:w="0" w:type="dxa"/>
            <w:left w:w="108" w:type="dxa"/>
            <w:bottom w:w="0" w:type="dxa"/>
            <w:right w:w="108" w:type="dxa"/>
          </w:tblCellMar>
        </w:tblPrEx>
        <w:trPr>
          <w:trHeight w:val="90"/>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为多个被考核人分配评分权重</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设置二级指标所属标签</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查看绩效计划</w:t>
            </w:r>
          </w:p>
        </w:tc>
      </w:tr>
      <w:tr>
        <w:tblPrEx>
          <w:tblW w:w="5000" w:type="pct"/>
          <w:tblInd w:w="0" w:type="dxa"/>
          <w:tblLayout w:type="fixed"/>
          <w:tblCellMar>
            <w:top w:w="0" w:type="dxa"/>
            <w:left w:w="108" w:type="dxa"/>
            <w:bottom w:w="0" w:type="dxa"/>
            <w:right w:w="108" w:type="dxa"/>
          </w:tblCellMar>
        </w:tblPrEx>
        <w:trPr>
          <w:trHeight w:val="90"/>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接入AI助手智能生成绩效计划</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超期未填写时消息提醒</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一级指标库</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二级指标库</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考评指标模板</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复制</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编辑考评指标内容</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智驱督绩</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编辑（完成情况和自评）</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提交</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退回</w:t>
            </w:r>
          </w:p>
        </w:tc>
      </w:tr>
      <w:tr>
        <w:tblPrEx>
          <w:tblW w:w="5000" w:type="pct"/>
          <w:tblInd w:w="0" w:type="dxa"/>
          <w:tblLayout w:type="fixed"/>
          <w:tblCellMar>
            <w:top w:w="0" w:type="dxa"/>
            <w:left w:w="108" w:type="dxa"/>
            <w:bottom w:w="0" w:type="dxa"/>
            <w:right w:w="108" w:type="dxa"/>
          </w:tblCellMar>
        </w:tblPrEx>
        <w:trPr>
          <w:trHeight w:val="90"/>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接入AI助手智能生成完成情况</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智鉴评绩</w:t>
            </w: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退回</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自动生成AI评分</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shd w:val="clear" w:color="auto" w:fill="auto"/>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记录DeepSeek提问日志</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智联用绩</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自动生成改进意见</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编辑/查看改进意见</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查看绩效目标任务表</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导出绩效单</w:t>
            </w:r>
          </w:p>
        </w:tc>
      </w:tr>
      <w:tr>
        <w:tblPrEx>
          <w:tblW w:w="5000" w:type="pct"/>
          <w:tblInd w:w="0" w:type="dxa"/>
          <w:tblLayout w:type="fixed"/>
          <w:tblCellMar>
            <w:top w:w="0" w:type="dxa"/>
            <w:left w:w="108" w:type="dxa"/>
            <w:bottom w:w="0" w:type="dxa"/>
            <w:right w:w="108" w:type="dxa"/>
          </w:tblCellMar>
        </w:tblPrEx>
        <w:trPr>
          <w:trHeight w:val="422"/>
        </w:trPr>
        <w:tc>
          <w:tcPr>
            <w:tcW w:w="3335" w:type="dxa"/>
            <w:gridSpan w:val="2"/>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导出绩效排名表</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干部画像</w:t>
            </w: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维护画像信息</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列表查询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新增</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编辑</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激活</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失效</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查看画像信息</w:t>
            </w: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绩效画像</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五维画像</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干部绩效对比</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1725"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p>
        </w:tc>
        <w:tc>
          <w:tcPr>
            <w:tcW w:w="5785" w:type="dxa"/>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val="en-GB" w:eastAsia="zh-CN"/>
              </w:rPr>
            </w:pPr>
            <w:r>
              <w:rPr>
                <w:rFonts w:ascii="宋体" w:hAnsi="宋体" w:cs="宋体" w:hint="eastAsia"/>
                <w:kern w:val="2"/>
                <w:sz w:val="21"/>
                <w:szCs w:val="21"/>
                <w:lang w:eastAsia="zh-CN"/>
              </w:rPr>
              <w:t>干部多维对比</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val="restart"/>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绩效AI助手</w:t>
            </w: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显示AI对话页面</w:t>
            </w:r>
          </w:p>
        </w:tc>
      </w:tr>
      <w:tr>
        <w:tblPrEx>
          <w:tblW w:w="5000" w:type="pct"/>
          <w:tblInd w:w="0" w:type="dxa"/>
          <w:tblLayout w:type="fixed"/>
          <w:tblCellMar>
            <w:top w:w="0" w:type="dxa"/>
            <w:left w:w="108" w:type="dxa"/>
            <w:bottom w:w="0" w:type="dxa"/>
            <w:right w:w="108" w:type="dxa"/>
          </w:tblCellMar>
        </w:tblPrEx>
        <w:trPr>
          <w:trHeight w:val="42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配置及获取提问类型</w:t>
            </w:r>
          </w:p>
        </w:tc>
      </w:tr>
      <w:tr>
        <w:tblPrEx>
          <w:tblW w:w="5000" w:type="pct"/>
          <w:tblInd w:w="0" w:type="dxa"/>
          <w:tblLayout w:type="fixed"/>
          <w:tblCellMar>
            <w:top w:w="0" w:type="dxa"/>
            <w:left w:w="108" w:type="dxa"/>
            <w:bottom w:w="0" w:type="dxa"/>
            <w:right w:w="108" w:type="dxa"/>
          </w:tblCellMar>
        </w:tblPrEx>
        <w:trPr>
          <w:trHeight w:val="432"/>
        </w:trPr>
        <w:tc>
          <w:tcPr>
            <w:tcW w:w="1610" w:type="dxa"/>
            <w:vMerge/>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p>
        </w:tc>
        <w:tc>
          <w:tcPr>
            <w:tcW w:w="7510" w:type="dxa"/>
            <w:gridSpan w:val="2"/>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自动填充默认问题</w:t>
            </w:r>
          </w:p>
        </w:tc>
      </w:tr>
    </w:tbl>
    <w:p>
      <w:pPr>
        <w:widowControl w:val="0"/>
        <w:ind w:left="480" w:leftChars="200"/>
        <w:jc w:val="both"/>
        <w:rPr>
          <w:rFonts w:eastAsia="宋体"/>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第四条 售后服务要求</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在服务期满后乙方需主动交接项目相关资料，并协助后续新服务公司对接所有设备。同时，</w:t>
      </w:r>
      <w:r>
        <w:rPr>
          <w:rFonts w:ascii="Calibri" w:eastAsia="宋体" w:hAnsi="Calibri" w:cstheme="minorBidi" w:hint="eastAsia"/>
          <w:kern w:val="2"/>
          <w:sz w:val="21"/>
          <w:szCs w:val="22"/>
          <w:lang w:eastAsia="zh-CN"/>
        </w:rPr>
        <w:t>项目验收完成后提供一年免费运维期。</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第五条 人员要求及服务工具要求</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1.乙方应按甲方要求提供服务。参加本项目的人员必须具有国家和有关部门规定的相应资质。</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2.参加本项目的建设的人员配置必须与投标文件中提供的人员一致，乙方需保证</w:t>
      </w:r>
      <w:r>
        <w:rPr>
          <w:rFonts w:ascii="Calibri" w:eastAsia="宋体" w:hAnsi="Calibri" w:cstheme="minorBidi" w:hint="eastAsia"/>
          <w:kern w:val="2"/>
          <w:sz w:val="21"/>
          <w:szCs w:val="22"/>
          <w:lang w:eastAsia="zh-CN"/>
        </w:rPr>
        <w:t>参加项目</w:t>
      </w:r>
      <w:r>
        <w:rPr>
          <w:rFonts w:ascii="Calibri" w:eastAsia="宋体" w:hAnsi="Calibri" w:cstheme="minorBidi" w:hint="eastAsia"/>
          <w:kern w:val="2"/>
          <w:sz w:val="21"/>
          <w:szCs w:val="22"/>
          <w:lang w:eastAsia="zh-CN"/>
        </w:rPr>
        <w:t>人员的稳定性，因故发生变更时，乙方须提前 2 周告知甲方（如需调整项目主要负责人，需提前 1 个月告知甲方），经甲方同意后方可变更，更换的人员应具备同等或优于投标文件中提供的人员学历和资质水平。</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3.参与本项目服务的主要负责人必须是乙方的自有人员。</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4.乙方应配备中标项目所需的</w:t>
      </w:r>
      <w:r>
        <w:rPr>
          <w:rFonts w:ascii="Calibri" w:eastAsia="宋体" w:hAnsi="Calibri" w:cstheme="minorBidi" w:hint="eastAsia"/>
          <w:kern w:val="2"/>
          <w:sz w:val="21"/>
          <w:szCs w:val="22"/>
          <w:lang w:eastAsia="zh-CN"/>
        </w:rPr>
        <w:t>建设、开发</w:t>
      </w:r>
      <w:r>
        <w:rPr>
          <w:rFonts w:ascii="Calibri" w:eastAsia="宋体" w:hAnsi="Calibri" w:cstheme="minorBidi" w:hint="eastAsia"/>
          <w:kern w:val="2"/>
          <w:sz w:val="21"/>
          <w:szCs w:val="22"/>
          <w:lang w:eastAsia="zh-CN"/>
        </w:rPr>
        <w:t>所用电脑等工具。</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第六条 甲方的义务</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1.负责与本项目有关组织协调工作，提供开展项目实施的外部条件。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2.向乙方提供与本项目服务工作有关的资料、基础数据等。</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3.负责组织项目成果验收。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4.确保项目款项按合同要求支付到位，以保证项目的顺利推进。但甲方按财政集中支付程序办理付款手续后，如因财政审批流程影响，拨款未能及时到位，乙方不得以此为由要求甲方承担违约责任。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第七条 乙方的义务</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1.应按照招标文件、投标文件及合同规定要求按期按质完成本项目服务工作。</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2.负责组织项目的实施，保证工程进度和工作质量，并满足</w:t>
      </w:r>
      <w:r>
        <w:rPr>
          <w:rFonts w:ascii="Calibri" w:eastAsia="宋体" w:hAnsi="Calibri" w:cstheme="minorBidi" w:hint="eastAsia"/>
          <w:kern w:val="2"/>
          <w:sz w:val="21"/>
          <w:szCs w:val="22"/>
          <w:lang w:eastAsia="zh-CN"/>
        </w:rPr>
        <w:t>甲方</w:t>
      </w:r>
      <w:r>
        <w:rPr>
          <w:rFonts w:ascii="Calibri" w:eastAsia="宋体" w:hAnsi="Calibri" w:cstheme="minorBidi" w:hint="eastAsia"/>
          <w:kern w:val="2"/>
          <w:sz w:val="21"/>
          <w:szCs w:val="22"/>
          <w:lang w:eastAsia="zh-CN"/>
        </w:rPr>
        <w:t>验收相关标准。</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3.向甲方提交本项目的</w:t>
      </w:r>
      <w:r>
        <w:rPr>
          <w:rFonts w:ascii="Calibri" w:eastAsia="宋体" w:hAnsi="Calibri" w:cstheme="minorBidi" w:hint="eastAsia"/>
          <w:kern w:val="2"/>
          <w:sz w:val="21"/>
          <w:szCs w:val="22"/>
          <w:lang w:eastAsia="zh-CN"/>
        </w:rPr>
        <w:t>建设、验收</w:t>
      </w:r>
      <w:r>
        <w:rPr>
          <w:rFonts w:ascii="Calibri" w:eastAsia="宋体" w:hAnsi="Calibri" w:cstheme="minorBidi" w:hint="eastAsia"/>
          <w:kern w:val="2"/>
          <w:sz w:val="21"/>
          <w:szCs w:val="22"/>
          <w:lang w:eastAsia="zh-CN"/>
        </w:rPr>
        <w:t>资料、规范标准等一套电子版文件及程序源代码。</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4.在履行合同期间或合同规定期限内，不得泄露与本合同规定业务活动有关的保密资料。</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5.乙方的责任期即本合同有效期。如因其它人的责任造成进度的推迟或延误而超过约定的日期，合同有效期相应延长。</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6.乙方的责任期内， 应当履行本合同中约定的义务，因乙方的单方过失造成的经济损失，应当向甲方进行赔偿。</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7.乙方对甲方或第三方所提出的问题不能及时核对或答复， 导致合同不能全部或部分履行，乙方应承担责任。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8.乙方向甲方提出赔偿要求不能成立时， 则应补偿由于该赔偿或其他要求所导致甲方的各种费用的支出。</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第八条 甲方的权利</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1.有权向乙方询问工作进展情况及相关的内容。</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2.有权阐述对具体问题的意见和建议。</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3.当甲方认定乙方人员不按合同履行其职责，或与第三人串通给甲方造成经济损失的，甲方有权要求更换人员，直至终止合同并要求乙方承担相应的赔偿责任。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第九条 乙方的权利</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1.乙方在本项目服务过程中，如甲方提供的资料不明确时可向甲方提出书面报告。</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2.乙方在本项目服务过程中，有权对甲方提出的问题进行核对或答复。</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3.乙方有权依据本合同的约定按期收取并依法保留所交付成果对应的款项。</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第十条 甲方的责任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1.应当履行本合同约定的义务，如有违反则应当承担违约责任，赔偿给乙方造成的损失。</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2.甲方向乙方提出赔偿要求不能成立时，则应补偿由于该赔偿或其他要求所导致乙方的各种费用的支出。</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第十一条 乙方的责任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1.乙方的责任期即本合同有效期。如因非乙方的责任造成进度的推迟或延误而超过约定的日期，双方应进一步约定相应延长合同有效期。</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2.乙方的责任期内，应当履行本合同中约定的义务，因乙方单方过失造成的经济损失，应当向甲方进行赔偿。</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3.乙方对甲方提出的问题不能及时核对或答复，导致合同不能全部或部分履行，乙方应承担责任。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4.乙方向甲方提出赔偿要求不能成立时，则应补偿由于该赔偿或其他要求所导致甲方的各种费用的支出。</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第十二条 保密要求</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2.乙方在履行合同过程中所获得或接触到的任何甲方内部数据资料，未经甲方同意，不得向第三方透露。</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3.乙方实施项目的一切程序都应符合国家安全、保密的有关规定和标准。</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 xml:space="preserve"> 服务成果归属</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1.本项目服务过程中所产生的所有为履行建设</w:t>
      </w:r>
      <w:r>
        <w:rPr>
          <w:rFonts w:ascii="Calibri" w:eastAsia="宋体" w:hAnsi="Calibri" w:cstheme="minorBidi" w:hint="eastAsia"/>
          <w:kern w:val="2"/>
          <w:sz w:val="21"/>
          <w:szCs w:val="22"/>
          <w:lang w:eastAsia="zh-CN"/>
        </w:rPr>
        <w:t>、开发</w:t>
      </w:r>
      <w:r>
        <w:rPr>
          <w:rFonts w:ascii="Calibri" w:eastAsia="宋体" w:hAnsi="Calibri" w:cstheme="minorBidi" w:hint="eastAsia"/>
          <w:kern w:val="2"/>
          <w:sz w:val="21"/>
          <w:szCs w:val="22"/>
          <w:lang w:eastAsia="zh-CN"/>
        </w:rPr>
        <w:t>服务范围内的技术文档、规范标准、程序源代码、所编制的图纸、计划和证明资料等，所有权和知识产权等权利归属于甲方，乙方在提交给甲方之前应将上述资料进行整理归类和编制索引。但乙方为实现合同约定目标所使用的已有成果的知识产权，仍归乙方所有。</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2.乙方未经甲方的书面同意，不得将上述资料用于与本项目之外的任何项目。</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3.合同履行完毕，未经甲方的书面同意，乙方不得保存在履行合同过程中从甲方处所获得或接触到的原属于甲方的任何内部数据资料。</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第十四条 验收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1、本项目</w:t>
      </w:r>
      <w:r>
        <w:rPr>
          <w:rFonts w:ascii="Calibri" w:eastAsia="宋体" w:hAnsi="Calibri" w:cstheme="minorBidi" w:hint="eastAsia"/>
          <w:kern w:val="2"/>
          <w:sz w:val="21"/>
          <w:szCs w:val="22"/>
          <w:lang w:eastAsia="zh-CN"/>
        </w:rPr>
        <w:t>服务成果验收</w:t>
      </w:r>
      <w:r>
        <w:rPr>
          <w:rFonts w:ascii="Calibri" w:eastAsia="宋体" w:hAnsi="Calibri" w:cstheme="minorBidi" w:hint="eastAsia"/>
          <w:kern w:val="2"/>
          <w:sz w:val="21"/>
          <w:szCs w:val="22"/>
          <w:lang w:eastAsia="zh-CN"/>
        </w:rPr>
        <w:t>一次，即项目完成建设，达到验收条件后开展。</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2、验收依据为招标文件、投标文件、合同、项目资料等相关材料，国家和行业有关规范、规程和标准。</w:t>
      </w:r>
    </w:p>
    <w:p>
      <w:pPr>
        <w:widowControl w:val="0"/>
        <w:kinsoku/>
        <w:overflowPunct/>
        <w:topLinePunct w:val="0"/>
        <w:bidi w:val="0"/>
        <w:spacing w:line="360" w:lineRule="auto"/>
        <w:ind w:firstLine="0" w:firstLineChars="0"/>
        <w:jc w:val="both"/>
        <w:rPr>
          <w:rFonts w:ascii="Calibri" w:eastAsia="宋体" w:hAnsi="Calibri"/>
          <w:kern w:val="2"/>
          <w:sz w:val="21"/>
          <w:szCs w:val="22"/>
          <w:lang w:eastAsia="zh-CN"/>
        </w:rPr>
      </w:pPr>
      <w:r>
        <w:rPr>
          <w:rFonts w:ascii="Calibri" w:eastAsia="宋体" w:hAnsi="Calibri" w:cstheme="minorBidi"/>
          <w:kern w:val="2"/>
          <w:sz w:val="21"/>
          <w:szCs w:val="22"/>
          <w:lang w:eastAsia="zh-CN"/>
        </w:rPr>
        <w:t>3、乙方交付的项目成果应当完全符合招投标文件、合同、项目资料等相关材料所规定的货物、数量、质量和规格要求。乙方提供的项目成果不符合招投标文件或合同规定时，甲方有权拒收，由此引起的风险及费用，均由乙方承担。</w:t>
      </w:r>
    </w:p>
    <w:p>
      <w:pPr>
        <w:widowControl w:val="0"/>
        <w:kinsoku/>
        <w:overflowPunct/>
        <w:topLinePunct w:val="0"/>
        <w:bidi w:val="0"/>
        <w:spacing w:line="360" w:lineRule="auto"/>
        <w:ind w:firstLine="0" w:firstLineChars="0"/>
        <w:jc w:val="both"/>
        <w:rPr>
          <w:rFonts w:ascii="Calibri" w:eastAsia="宋体" w:hAnsi="Calibri"/>
          <w:kern w:val="2"/>
          <w:sz w:val="21"/>
          <w:szCs w:val="22"/>
          <w:lang w:eastAsia="zh-CN"/>
        </w:rPr>
      </w:pPr>
      <w:r>
        <w:rPr>
          <w:rFonts w:ascii="Calibri" w:eastAsia="宋体" w:hAnsi="Calibri" w:cstheme="minorBidi"/>
          <w:kern w:val="2"/>
          <w:sz w:val="21"/>
          <w:szCs w:val="22"/>
          <w:lang w:eastAsia="zh-CN"/>
        </w:rPr>
        <w:t>4、因乙方原因导致乙方不能完整交付项目成果及招标文件规定的成果内容的，视为未按合同约定交付，乙方负责补齐，因此导致逾期交付的，由乙方承担相关的违约责任。</w:t>
      </w:r>
    </w:p>
    <w:p>
      <w:pPr>
        <w:widowControl w:val="0"/>
        <w:kinsoku/>
        <w:overflowPunct/>
        <w:topLinePunct w:val="0"/>
        <w:bidi w:val="0"/>
        <w:spacing w:line="360" w:lineRule="auto"/>
        <w:ind w:firstLine="0" w:firstLineChars="0"/>
        <w:jc w:val="both"/>
        <w:rPr>
          <w:rFonts w:ascii="Calibri" w:eastAsia="宋体" w:hAnsi="Calibri"/>
          <w:kern w:val="2"/>
          <w:sz w:val="21"/>
          <w:szCs w:val="22"/>
          <w:lang w:eastAsia="zh-CN"/>
        </w:rPr>
      </w:pPr>
      <w:r>
        <w:rPr>
          <w:rFonts w:ascii="Calibri" w:eastAsia="宋体" w:hAnsi="Calibri" w:cstheme="minorBidi"/>
          <w:kern w:val="2"/>
          <w:sz w:val="21"/>
          <w:szCs w:val="22"/>
          <w:lang w:eastAsia="zh-CN"/>
        </w:rPr>
        <w:t>5</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验收前，乙方应按照甲方的要求提供资料。甲方在收到完整无误的验收资料之后的约定时间内，应及时组织验收相关工作；甲方逾期未提出异议的，视为验收无误，乙方完成成果交付。</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第十五条 争议解决办法</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1.不可抗力</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发生诸如自然灾害、战争、地震突发事件等人力不可抗拒的情况时，乙方应积极采取措施，减少损失，并及时报告受害情况，甲乙双方承担各自的损失。由于其中一方延迟履行合同义务后发生不可抗力的，不能免除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（2）由于不可抗力，造成本合同不能正常履行，则由合同双方协商决定是否继续履行合同或部分履行合同。</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2.争议解决</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（1）甲乙双方就合同条款的解释或履行以及与项目密切相关的事项发生争议，应在7个工作日内友好协商解决；协商不成的，任何一方均有权向甲方所在地有管辖权的法院提起诉讼。</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因质量问题发生的争议，由甲乙双方共同指定的国家权威技术单位进行质量鉴定，该鉴定结论是终局的，甲乙双方应当接受。费用由与鉴定结论持不同意见的一方承担。鉴定结论与双方意见不一致的，由申请鉴定的一方承担。</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项目实施过程中，因乙方自身原因无法继续承担项目服务内容，乙方承担各自损失以及对甲方造成的损失，并在7个工作日内友好协商合同变更事宜；协商不成的，任何一方均有权向甲方所在地有管辖权的法院提起诉讼。</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第十六条 风险责任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1.乙方应完全地按照招标文件的要求、乙方投标文件的承诺、合同约定及项目相关资料完成本项目，出于自身财务、技术、人力等原因导致项目失败的，应承担全部责任。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2.乙方在项目实施中应对自身的安全生产负责，若非因甲方原因发生的各种事故甲方不承担任何责任。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第十七条 违约责任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1.甲方的违约责任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(1)合同签订后，乙方未进入工作，由于甲方原因停止而终止合同的，甲方共计偿付乙方合同总价款的10 %（人民币）。因政府内部付款审批原因导致甲方延迟付款的，不视为甲方逾期付款。</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(2)如因甲方的原因未按照要求延迟付款，每延期1个工作日，允许乙方对等延期1个工作日，但因财政审批等原因造成甲方付款迟延的除外。</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(3)若甲方侵害了乙方知识产权，则应负责赔偿由此为乙方造成的经济损失，并对连带的其他法律后果承担责任。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(4)因甲方未能履行合同中规定的保密条款，造成乙方损失的，甲方应根据所造成的损失大小向乙方赔偿，乙方保留向甲方提出法律诉讼的权利。</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2.乙方的违约责任</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(1)因乙方原因，未能按规定时间完成有关工作的，每延误一天，甲方可在支付合同余款中扣除合同总价款千分之一的违约金。</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(2)由于乙方原因造成服务成果达不到招标文件要求时，乙方应进行整改完善，提升服务质量， 其费用由乙方承担。</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(3)乙方交付的成果经验收不合格，应于 15 日内无条件修改，费用由乙方自行承担，乙方拒 绝修改的，甲方有权解除合同、要求乙方返还甲方已支付的合同款项。</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(4)乙方或其工作人员违反本合同约定的保密义务，甲方有权扣除相应违约金；造成不良影响或 对甲方造成损失的，甲方有权要求乙方消除影响，承担赔偿责任，并有权解除合同。</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(5)甲方应协助乙方就为达成本合同目的开展沟通和联络，为乙方开展工作提供必要的条件。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(6)因甲方原因导致乙方未按约定时间完成服务，不视为乙方违约。</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 xml:space="preserve"> 其他</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1.本合同与招标文件、投标文件如有抵触之处，以本合同条款为准。</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2.下列文件均为本合同的组成部分：</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（1）招标文件、答疑及补充通知；</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（2）投标文件；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（3）本合同执行中共同签署的补充与修正文件。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3.本合同一式捌份，甲方、乙方双方各执肆份，具有同等法律效力。本合同自双方法定代表人或</w:t>
      </w:r>
      <w:r>
        <w:rPr>
          <w:rFonts w:ascii="Calibri" w:eastAsia="宋体" w:hAnsi="Calibri" w:cstheme="minorBidi" w:hint="eastAsia"/>
          <w:kern w:val="2"/>
          <w:sz w:val="21"/>
          <w:szCs w:val="22"/>
          <w:lang w:eastAsia="zh-CN"/>
        </w:rPr>
        <w:tab/>
      </w:r>
      <w:r>
        <w:rPr>
          <w:rFonts w:ascii="Calibri" w:eastAsia="宋体" w:hAnsi="Calibri" w:cstheme="minorBidi" w:hint="eastAsia"/>
          <w:kern w:val="2"/>
          <w:sz w:val="21"/>
          <w:szCs w:val="22"/>
          <w:lang w:eastAsia="zh-CN"/>
        </w:rPr>
        <w:t>授权代表签字并加盖公章之日起生效。</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4.本合同未尽事宜，双方友好协商，达成解决方案，经双方签字后，可作为本合同的有效附件。</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（以下无正文）</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（此页为签章页）</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甲方（盖章）：深圳市龙华区</w:t>
      </w:r>
      <w:r>
        <w:rPr>
          <w:rFonts w:ascii="Calibri" w:eastAsia="宋体" w:hAnsi="Calibri" w:cstheme="minorBidi" w:hint="eastAsia"/>
          <w:kern w:val="2"/>
          <w:sz w:val="21"/>
          <w:szCs w:val="22"/>
          <w:lang w:eastAsia="zh-CN"/>
        </w:rPr>
        <w:t>政务服务和数据管理局</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法定代表人/委托代理人签字：</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科室负责人签字：</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经办人签字：</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签字日期：     年    月    日</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乙方（盖章）：</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法定代表人/委托代理人签字：</w:t>
      </w:r>
    </w:p>
    <w:p>
      <w:pPr>
        <w:widowControl w:val="0"/>
        <w:kinsoku/>
        <w:overflowPunct/>
        <w:topLinePunct w:val="0"/>
        <w:bidi w:val="0"/>
        <w:spacing w:line="360" w:lineRule="auto"/>
        <w:ind w:firstLine="0" w:firstLineChars="0"/>
        <w:jc w:val="both"/>
        <w:rPr>
          <w:rFonts w:ascii="Calibri" w:eastAsia="宋体" w:hAnsi="Calibri" w:hint="eastAsia"/>
          <w:kern w:val="2"/>
          <w:sz w:val="21"/>
          <w:szCs w:val="22"/>
          <w:lang w:eastAsia="zh-CN"/>
        </w:rPr>
      </w:pPr>
    </w:p>
    <w:p>
      <w:pPr>
        <w:widowControl w:val="0"/>
        <w:kinsoku/>
        <w:overflowPunct/>
        <w:topLinePunct w:val="0"/>
        <w:bidi w:val="0"/>
        <w:spacing w:line="360" w:lineRule="auto"/>
        <w:ind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签字日期：     年    月    日</w:t>
      </w:r>
    </w:p>
    <w:bookmarkEnd w:id="35"/>
    <w:p>
      <w:pPr>
        <w:widowControl w:val="0"/>
        <w:jc w:val="both"/>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br w:type="page"/>
      </w:r>
    </w:p>
    <w:p>
      <w:pPr>
        <w:keepNext/>
        <w:keepLines/>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宋体" w:eastAsia="宋体" w:hAnsi="宋体" w:cs="宋体" w:hint="eastAsia"/>
          <w:b/>
          <w:bCs/>
          <w:kern w:val="44"/>
          <w:sz w:val="32"/>
          <w:szCs w:val="32"/>
          <w:lang w:eastAsia="zh-CN"/>
        </w:rPr>
        <w:t>第二册  通用条款（公开招标）</w:t>
      </w:r>
    </w:p>
    <w:p>
      <w:pPr>
        <w:keepNext/>
        <w:keepLines/>
        <w:widowControl w:val="0"/>
        <w:numPr>
          <w:ilvl w:val="0"/>
          <w:numId w:val="0"/>
        </w:numPr>
        <w:tabs>
          <w:tab w:val="left" w:pos="720"/>
        </w:tabs>
        <w:kinsoku/>
        <w:overflowPunct/>
        <w:topLinePunct w:val="0"/>
        <w:bidi w:val="0"/>
        <w:adjustRightInd w:val="0"/>
        <w:spacing w:beforeAutospacing="0" w:afterAutospacing="0" w:line="360" w:lineRule="auto"/>
        <w:ind w:left="0" w:right="0" w:firstLine="0" w:leftChars="0" w:rightChars="0" w:firstLineChars="0"/>
        <w:jc w:val="center"/>
        <w:textAlignment w:val="baseline"/>
        <w:outlineLvl w:val="1"/>
        <w:rPr>
          <w:rFonts w:ascii="宋体" w:eastAsia="宋体" w:hAnsi="宋体" w:cs="宋体" w:hint="eastAsia"/>
          <w:b/>
          <w:bCs/>
          <w:kern w:val="2"/>
          <w:sz w:val="28"/>
          <w:szCs w:val="28"/>
          <w:lang w:eastAsia="zh-CN"/>
        </w:rPr>
      </w:pPr>
      <w:bookmarkStart w:id="36" w:name="_Hlk72399513"/>
      <w:r>
        <w:rPr>
          <w:rFonts w:ascii="宋体" w:eastAsia="宋体" w:hAnsi="宋体" w:cs="宋体"/>
          <w:b/>
          <w:bCs/>
          <w:kern w:val="2"/>
          <w:sz w:val="28"/>
          <w:szCs w:val="28"/>
          <w:lang w:eastAsia="zh-CN"/>
        </w:rPr>
        <w:t>第一章</w:t>
      </w:r>
      <w:r>
        <w:rPr>
          <w:rFonts w:ascii="宋体" w:eastAsia="宋体" w:hAnsi="宋体" w:cs="宋体" w:hint="eastAsia"/>
          <w:b/>
          <w:bCs/>
          <w:kern w:val="2"/>
          <w:sz w:val="28"/>
          <w:szCs w:val="28"/>
          <w:lang w:eastAsia="zh-CN"/>
        </w:rPr>
        <w:t xml:space="preserve">  </w:t>
      </w:r>
      <w:r>
        <w:rPr>
          <w:rFonts w:ascii="宋体" w:eastAsia="宋体" w:hAnsi="宋体" w:cs="宋体" w:hint="eastAsia"/>
          <w:b/>
          <w:bCs/>
          <w:kern w:val="2"/>
          <w:sz w:val="28"/>
          <w:szCs w:val="28"/>
          <w:lang w:eastAsia="zh-CN"/>
        </w:rPr>
        <w:t>总则</w:t>
      </w:r>
    </w:p>
    <w:bookmarkEnd w:id="36"/>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37" w:name="_Hlk72439706"/>
      <w:r>
        <w:rPr>
          <w:rFonts w:ascii="宋体" w:eastAsia="宋体" w:hAnsi="宋体" w:cs="宋体" w:hint="eastAsia"/>
          <w:kern w:val="2"/>
          <w:szCs w:val="22"/>
          <w:lang w:eastAsia="zh-CN"/>
        </w:rPr>
        <w:t>1. 通用条款说明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1.1政府集中采购机构发出招标文件通用条款版本，列出深圳市政府采购项目进行招标采购所适用的通用条款内容。</w:t>
      </w:r>
      <w:bookmarkStart w:id="38" w:name="_Hlk72399729"/>
      <w:r>
        <w:rPr>
          <w:rFonts w:ascii="宋体" w:eastAsia="宋体" w:hAnsi="宋体" w:cs="宋体" w:hint="eastAsia"/>
          <w:kern w:val="2"/>
          <w:sz w:val="21"/>
          <w:szCs w:val="21"/>
          <w:lang w:eastAsia="zh-CN"/>
        </w:rPr>
        <w:t>如有需要，政府集中采购机构可以对通用条款的内容进行补充。</w:t>
      </w:r>
      <w:bookmarkEnd w:id="38"/>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1.2招标文件分为第一册“专用条款”和第二册“通用条款”。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2．招标说明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3．定义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3.1“采购人”：指利用财政性资金依法进行政府采购的国家机关、事业单位、团体组织；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“政府集中采购机构”</w:t>
      </w:r>
      <w:r>
        <w:rPr>
          <w:rFonts w:ascii="宋体" w:eastAsia="宋体" w:hAnsi="宋体" w:cs="宋体"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cs="宋体" w:hint="eastAsia"/>
          <w:kern w:val="2"/>
          <w:sz w:val="21"/>
          <w:szCs w:val="21"/>
          <w:lang w:eastAsia="zh-CN"/>
        </w:rPr>
        <w:t>本文件所述的“政府集中采购机构”指</w:t>
      </w:r>
      <w:r>
        <w:rPr>
          <w:rFonts w:ascii="宋体" w:eastAsia="宋体" w:hAnsi="宋体" w:cs="宋体" w:hint="eastAsia"/>
          <w:b/>
          <w:bCs/>
          <w:kern w:val="2"/>
          <w:sz w:val="21"/>
          <w:szCs w:val="21"/>
          <w:lang w:eastAsia="zh-CN"/>
        </w:rPr>
        <w:t>深圳公共资源交易中心</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3.7“电子投标文件”指利用</w:t>
      </w:r>
      <w:r>
        <w:rPr>
          <w:rFonts w:ascii="宋体" w:eastAsia="宋体" w:hAnsi="宋体" w:cs="宋体" w:hint="eastAsia"/>
          <w:b/>
          <w:bCs/>
          <w:color w:val="FF0000"/>
          <w:kern w:val="2"/>
          <w:sz w:val="21"/>
          <w:szCs w:val="21"/>
          <w:lang w:eastAsia="zh-CN"/>
        </w:rPr>
        <w:t>深圳公共资源交易中心（深圳交易集团有限公司龙华分公司）</w:t>
      </w:r>
      <w:r>
        <w:rPr>
          <w:rFonts w:ascii="宋体" w:eastAsia="宋体" w:hAnsi="宋体" w:cs="宋体" w:hint="eastAsia"/>
          <w:kern w:val="2"/>
          <w:sz w:val="21"/>
          <w:szCs w:val="21"/>
          <w:lang w:eastAsia="zh-CN"/>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3.8“网上投标”指通过</w:t>
      </w:r>
      <w:r>
        <w:rPr>
          <w:rFonts w:ascii="宋体" w:eastAsia="宋体" w:hAnsi="宋体" w:cs="宋体" w:hint="eastAsia"/>
          <w:b/>
          <w:bCs/>
          <w:color w:val="FF0000"/>
          <w:kern w:val="2"/>
          <w:sz w:val="21"/>
          <w:szCs w:val="21"/>
          <w:lang w:eastAsia="zh-CN"/>
        </w:rPr>
        <w:t>深圳公共资源交易中心（深圳交易集团有限公司龙华分公司）</w:t>
      </w:r>
      <w:r>
        <w:rPr>
          <w:rFonts w:ascii="宋体" w:eastAsia="宋体" w:hAnsi="宋体" w:cs="宋体" w:hint="eastAsia"/>
          <w:kern w:val="2"/>
          <w:sz w:val="21"/>
          <w:szCs w:val="21"/>
          <w:lang w:eastAsia="zh-CN"/>
        </w:rPr>
        <w:t>网站上传电子投标文件；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3.9招标文件中的标题或题名仅起引导作用，而不应视为对招标文件内容的理解和解释。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 xml:space="preserve">4. </w:t>
      </w:r>
      <w:bookmarkStart w:id="39" w:name="_Hlk72398643"/>
      <w:r>
        <w:rPr>
          <w:rFonts w:ascii="宋体" w:eastAsia="宋体" w:hAnsi="宋体" w:cs="宋体" w:hint="eastAsia"/>
          <w:kern w:val="2"/>
          <w:szCs w:val="22"/>
          <w:lang w:eastAsia="zh-CN"/>
        </w:rPr>
        <w:t>政府采购供应商责任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4.1欢迎诚信、有实力和有社会责任心的供应商参与政府采购事业。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5．投标人参加政府采购的条件</w:t>
      </w:r>
    </w:p>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5.1投标人应在投标前到</w:t>
      </w:r>
      <w:r>
        <w:rPr>
          <w:rFonts w:ascii="宋体" w:eastAsia="宋体" w:hAnsi="宋体" w:cs="宋体" w:hint="eastAsia"/>
          <w:b/>
          <w:bCs/>
          <w:kern w:val="2"/>
          <w:sz w:val="21"/>
          <w:szCs w:val="21"/>
          <w:lang w:eastAsia="zh-CN"/>
        </w:rPr>
        <w:t>深圳公共资源交易中心（具体在深圳交易集团有限公司政府采购业务分公司进行办理）</w:t>
      </w:r>
      <w:r>
        <w:rPr>
          <w:rFonts w:ascii="宋体" w:eastAsia="宋体" w:hAnsi="宋体" w:cs="宋体" w:hint="eastAsia"/>
          <w:kern w:val="2"/>
          <w:sz w:val="21"/>
          <w:szCs w:val="21"/>
          <w:lang w:eastAsia="zh-CN"/>
        </w:rPr>
        <w:t>进行注册并办理电子密钥。《供应商注册及信息变更指引》详见www.szggzy.com网站“交易服务指南-政府采购”。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5.2投标人资格要求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“投标人资格要求”（即申请人的资格要求）的内容。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5.3联合体投标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由两个或两个以上的自然人、法人或者其他组织可以组成一个联合体，以一个供应商的身份共同投标时，应符合以下原则：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（1）投标联合体各方参加政府采购活动应当具备下列条件：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1、具有独立承担民事责任的能力；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2、有良好的商业信誉和健全的财务会计制度；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3、具有履行合同所必需的设备和专业技术能力；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4、有依法缴纳税收和社会保障资金的良好记录；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5、参加政府采购活动前三年内，在经营活动中没有重大违法记录；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6、法律、行政法规规定的其他条件。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2</w:t>
      </w:r>
      <w:r>
        <w:rPr>
          <w:rFonts w:ascii="宋体" w:eastAsia="宋体" w:hAnsi="宋体" w:cs="宋体" w:hint="eastAsia"/>
          <w:kern w:val="2"/>
          <w:sz w:val="21"/>
          <w:szCs w:val="22"/>
          <w:lang w:eastAsia="zh-CN"/>
        </w:rPr>
        <w:t>）联合体中有同类资质的供应商按照联合体分工承担相同工作的，应当按照资质等级较低的供应商确定资质等级；</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3</w:t>
      </w:r>
      <w:r>
        <w:rPr>
          <w:rFonts w:ascii="宋体" w:eastAsia="宋体" w:hAnsi="宋体" w:cs="宋体" w:hint="eastAsia"/>
          <w:kern w:val="2"/>
          <w:sz w:val="21"/>
          <w:szCs w:val="22"/>
          <w:lang w:eastAsia="zh-CN"/>
        </w:rPr>
        <w:t>）是否允许联合体参加投标，应当由采购人和采购代理机构根据项目的实际情况和潜在供应商的数量自主决定，如果决定接受联合体投标则应当在招标公告中明示；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4</w:t>
      </w:r>
      <w:r>
        <w:rPr>
          <w:rFonts w:ascii="宋体" w:eastAsia="宋体" w:hAnsi="宋体" w:cs="宋体" w:hint="eastAsia"/>
          <w:kern w:val="2"/>
          <w:sz w:val="21"/>
          <w:szCs w:val="22"/>
          <w:lang w:eastAsia="zh-CN"/>
        </w:rPr>
        <w:t>）投标人的投标文件及中标后签署的合同协议对联合体各方均具法律约束力；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5</w:t>
      </w:r>
      <w:r>
        <w:rPr>
          <w:rFonts w:ascii="宋体" w:eastAsia="宋体" w:hAnsi="宋体" w:cs="宋体" w:hint="eastAsia"/>
          <w:kern w:val="2"/>
          <w:sz w:val="21"/>
          <w:szCs w:val="22"/>
          <w:lang w:eastAsia="zh-CN"/>
        </w:rPr>
        <w:t>）联合体各方应当签订联合体投标协议，明确约定各方拟承担的工作和责任，并将该协议随投标文件一并递交给政府集中采购机构；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6</w:t>
      </w:r>
      <w:r>
        <w:rPr>
          <w:rFonts w:ascii="宋体" w:eastAsia="宋体" w:hAnsi="宋体" w:cs="宋体" w:hint="eastAsia"/>
          <w:kern w:val="2"/>
          <w:sz w:val="21"/>
          <w:szCs w:val="22"/>
          <w:lang w:eastAsia="zh-CN"/>
        </w:rPr>
        <w:t>）联合体中标后，联合体各方应当共同与采购人签订合同，就中标项目向采购人承担连带责任；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7</w:t>
      </w:r>
      <w:r>
        <w:rPr>
          <w:rFonts w:ascii="宋体" w:eastAsia="宋体" w:hAnsi="宋体" w:cs="宋体" w:hint="eastAsia"/>
          <w:kern w:val="2"/>
          <w:sz w:val="21"/>
          <w:szCs w:val="22"/>
          <w:lang w:eastAsia="zh-CN"/>
        </w:rPr>
        <w:t>）以联合体形式参加政府采购活动的，联合体各方不得再单独参加或者与其他供应商另外组成联合体参加同一合同项下的政府采购活动，出现上述情况者，其投标和与此有关联合体、总包单位的投标将被拒绝；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8</w:t>
      </w:r>
      <w:r>
        <w:rPr>
          <w:rFonts w:ascii="宋体" w:eastAsia="宋体" w:hAnsi="宋体" w:cs="宋体" w:hint="eastAsia"/>
          <w:kern w:val="2"/>
          <w:sz w:val="21"/>
          <w:szCs w:val="22"/>
          <w:lang w:eastAsia="zh-CN"/>
        </w:rPr>
        <w:t>）本通用条款中“投标人”一词亦指联合体各方，专用条款另有规定或说明的除外。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6．政策导向</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6.1  政府采购支持本国产品、支持中小企业、监狱企业和残疾人福利性单位发展，支持乡村产业振兴，支持创新、节能减排、绿色环保等。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6.2  本项目落实深圳市政府采购供应商诚信管理政策要求。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6.3  本项目支持投标人性别平等的相关政策。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7. 本项目若涉及采购货物，则合格的货物及相应服务应满足以下要求：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7.1  必须是全新、未使用过的原装合格正品（包括零部件），如安装或配置了软件的，须为正版软件。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7.2  国产的货物及其有关服务必须符合中华人民共和国的设计、制造生产标准及行业标准。招标公告有其他要求的，亦应符合其要求。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7.4  投标人</w:t>
      </w:r>
      <w:bookmarkStart w:id="40" w:name="_Hlk72152753"/>
      <w:r>
        <w:rPr>
          <w:rFonts w:ascii="宋体" w:eastAsia="宋体" w:hAnsi="宋体" w:cs="宋体"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0"/>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7.6  工期要求：投标人在投标时对其所投项目应提交交货进度、交货计划等，在合同规定的时间内完成项目实施工作。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7.7  投标人必须承担的设备运输、安装调试、验收检测和提供设备操作说明书、图纸等其他相关及类似的义务。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8．投标费用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9．踏勘现场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9.2投标人及其人员经过采购人的允许，可以进入采购人的项目现场踏勘。若招标文件要求投标人于统一时间地点踏勘现场的，投标人应当按时前往。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9.3采购人应当通过政府集中采购机构向投标人提供有关现场的书面资料和数据。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9.4任何人或任何组织在踏勘现场时向投标人提供的任何书面资料或口头承诺，未经政府集中采购机构在网上发布或书面通知，均作无效处理。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9.5未参与踏勘现场不作为否定投标人资格的理由。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Cs w:val="22"/>
          <w:lang w:eastAsia="zh-CN"/>
        </w:rPr>
        <w:t>10．标前会议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10.2任何人或任何组织在标前会议时向投标人提供的任何书面资料或口头承诺，未经政府集中采购机构在网上发布或书面通知，均作无效处理。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10.3未参与标前会议不作为否定投标人资格的理由。</w:t>
      </w:r>
    </w:p>
    <w:bookmarkEnd w:id="39"/>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二</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11．</w:t>
      </w:r>
      <w:bookmarkStart w:id="41" w:name="_Hlk72399819"/>
      <w:r>
        <w:rPr>
          <w:rFonts w:ascii="宋体" w:eastAsia="宋体" w:hAnsi="宋体" w:cs="宋体" w:hint="eastAsia"/>
          <w:kern w:val="2"/>
          <w:szCs w:val="22"/>
          <w:lang w:eastAsia="zh-CN"/>
        </w:rPr>
        <w:t>招标文件的编制与组成</w:t>
      </w: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11.1招标文件除以下内容外，政府集中采购机构在招标期间发出的澄清或修改等相关公告或通知内容，均是招标文件的组成部分，对投标人起约束作用；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招标文件包括下列内容：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第四章  投标文件格式及附件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第十一章  质疑处理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11.3</w:t>
      </w:r>
      <w:r>
        <w:rPr>
          <w:rFonts w:ascii="宋体" w:eastAsia="宋体" w:hAnsi="宋体" w:cs="宋体" w:hint="eastAsia"/>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12．招标文件的澄清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12.1招标文件澄清的目的是澄清、解答投标人在查阅招标文件后或现场踏勘中可能提出的与投标有关的疑问或询问。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12.2投标人如对招标文件内容有疑问，应当在招标公告规定的澄清（提问）截止时间前以网上提问的形式通过网上政府采购系统提交政府集中采购机构。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13．招标文件的修改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13.1招标文件发出后，在投标截止日期前任何时候，确需要变更招标文件内容的，政府集中采购机构可主动或在解答投标人提出的澄清问题时对招标文件进行修改。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13.2招标文件的修改以书面形式（包括政府集中采购机构网站发布方式，如更正公告等）发送给所有投标人，招标文件的修改内容作为招标文件的组成部分，并具有约束力。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1"/>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三</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14．</w:t>
      </w:r>
      <w:bookmarkStart w:id="42" w:name="_Hlk72400236"/>
      <w:r>
        <w:rPr>
          <w:rFonts w:ascii="宋体" w:eastAsia="宋体" w:hAnsi="宋体" w:cs="宋体" w:hint="eastAsia"/>
          <w:kern w:val="2"/>
          <w:szCs w:val="22"/>
          <w:lang w:eastAsia="zh-CN"/>
        </w:rPr>
        <w:t>投标文件的语言及度量单位</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14.2 除技术规范另有规定外，投标文件使用的度量单位，均采用中华人民共和国法定计量单位。</w:t>
      </w:r>
    </w:p>
    <w:bookmarkEnd w:id="42"/>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15．</w:t>
      </w:r>
      <w:bookmarkStart w:id="43" w:name="_Hlk72401567"/>
      <w:r>
        <w:rPr>
          <w:rFonts w:ascii="宋体" w:eastAsia="宋体" w:hAnsi="宋体" w:cs="宋体" w:hint="eastAsia"/>
          <w:kern w:val="2"/>
          <w:szCs w:val="22"/>
          <w:lang w:eastAsia="zh-CN"/>
        </w:rPr>
        <w:t>投标文件的组成</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具体内容在招标文件专用条款中进行规定。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16．投标文件格式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投标文件包括本通用条款第15条中规定的内容。如招标文件提供了投标文件格式，则</w:t>
      </w:r>
      <w:r>
        <w:rPr>
          <w:rFonts w:ascii="宋体" w:eastAsia="宋体" w:hAnsi="宋体" w:cs="宋体" w:hint="eastAsia"/>
          <w:b/>
          <w:bCs/>
          <w:kern w:val="2"/>
          <w:sz w:val="21"/>
          <w:szCs w:val="21"/>
          <w:lang w:eastAsia="zh-CN"/>
        </w:rPr>
        <w:t>投标人提交的投标文件应毫无例外地使用招标文件所提供的相应格式</w:t>
      </w:r>
      <w:r>
        <w:rPr>
          <w:rFonts w:ascii="宋体" w:eastAsia="宋体" w:hAnsi="宋体" w:cs="宋体" w:hint="eastAsia"/>
          <w:kern w:val="2"/>
          <w:sz w:val="21"/>
          <w:szCs w:val="21"/>
          <w:lang w:eastAsia="zh-CN"/>
        </w:rPr>
        <w:t>（表格均可按同样格式扩展）。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17．投标货币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本项目的投标报价应以人民币计。</w:t>
      </w:r>
    </w:p>
    <w:bookmarkEnd w:id="43"/>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18．</w:t>
      </w:r>
      <w:bookmarkStart w:id="44" w:name="_Hlk72401735"/>
      <w:r>
        <w:rPr>
          <w:rFonts w:ascii="宋体" w:eastAsia="宋体" w:hAnsi="宋体" w:cs="宋体" w:hint="eastAsia"/>
          <w:kern w:val="2"/>
          <w:szCs w:val="22"/>
          <w:lang w:eastAsia="zh-CN"/>
        </w:rPr>
        <w:t>证明投标文件投标技术方案的合格性和符合招标文件规定的文件要求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18.2.1主要技术指标和性能的详细说明。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宋体" w:eastAsia="宋体" w:hAnsi="宋体" w:cs="宋体" w:hint="eastAsia"/>
          <w:kern w:val="2"/>
          <w:sz w:val="21"/>
          <w:szCs w:val="22"/>
          <w:lang w:eastAsia="zh-CN"/>
        </w:rPr>
        <w:t>清晰度要求能够使用电脑阅读、识别和判断</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18.3相关资料不符合18.2款要求的，评审委员会有权认定为投标技术方案不合格响应，其相关分数予以扣减或作投标无效处理。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宋体" w:eastAsia="宋体" w:hAnsi="宋体" w:cs="宋体" w:hint="eastAsia"/>
          <w:kern w:val="2"/>
          <w:sz w:val="21"/>
          <w:szCs w:val="22"/>
          <w:lang w:eastAsia="zh-CN"/>
        </w:rPr>
        <w:t>满足要求</w:t>
      </w:r>
      <w:r>
        <w:rPr>
          <w:rFonts w:ascii="宋体" w:eastAsia="宋体" w:hAnsi="宋体" w:cs="宋体" w:hint="eastAsia"/>
          <w:kern w:val="2"/>
          <w:sz w:val="21"/>
          <w:szCs w:val="21"/>
          <w:lang w:eastAsia="zh-CN"/>
        </w:rPr>
        <w:t>，由评审委员会来评判。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18.5除非另有规定或说明，投标人对同一项目投标时，不得同时提供两套或两套以上的投标方案。</w:t>
      </w:r>
    </w:p>
    <w:bookmarkEnd w:id="44"/>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19．</w:t>
      </w:r>
      <w:bookmarkStart w:id="45" w:name="_Hlk72402034"/>
      <w:r>
        <w:rPr>
          <w:rFonts w:ascii="宋体" w:eastAsia="宋体" w:hAnsi="宋体" w:cs="宋体" w:hint="eastAsia"/>
          <w:kern w:val="2"/>
          <w:szCs w:val="22"/>
          <w:lang w:eastAsia="zh-CN"/>
        </w:rPr>
        <w:t>投标文件其他证明文件的要求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color w:val="FF0000"/>
          <w:kern w:val="2"/>
          <w:sz w:val="21"/>
          <w:szCs w:val="21"/>
          <w:lang w:eastAsia="zh-CN"/>
        </w:rPr>
      </w:pPr>
      <w:r>
        <w:rPr>
          <w:rFonts w:ascii="宋体" w:eastAsia="宋体" w:hAnsi="宋体" w:cs="宋体" w:hint="eastAsia"/>
          <w:kern w:val="2"/>
          <w:szCs w:val="22"/>
          <w:lang w:eastAsia="zh-CN"/>
        </w:rPr>
        <w:t xml:space="preserve">    </w:t>
      </w:r>
      <w:r>
        <w:rPr>
          <w:rFonts w:ascii="宋体" w:eastAsia="宋体" w:hAnsi="宋体" w:cs="宋体" w:hint="eastAsia"/>
          <w:kern w:val="2"/>
          <w:sz w:val="21"/>
          <w:szCs w:val="21"/>
          <w:lang w:eastAsia="zh-CN"/>
        </w:rPr>
        <w:t>19.1</w:t>
      </w:r>
      <w:bookmarkStart w:id="46" w:name="_Hlk71407299"/>
      <w:r>
        <w:rPr>
          <w:rFonts w:ascii="宋体" w:eastAsia="宋体" w:hAnsi="宋体" w:cs="宋体"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20．投标有效期</w:t>
      </w:r>
    </w:p>
    <w:bookmarkEnd w:id="45"/>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47" w:name="_Hlk72402214"/>
      <w:r>
        <w:rPr>
          <w:rFonts w:ascii="宋体" w:eastAsia="宋体" w:hAnsi="宋体" w:cs="宋体" w:hint="eastAsia"/>
          <w:kern w:val="2"/>
          <w:sz w:val="21"/>
          <w:szCs w:val="21"/>
          <w:lang w:eastAsia="zh-CN"/>
        </w:rPr>
        <w:t>20.1 投标有效期为从投标截止之日算起的日历天数。在此期限内，所有投标文件均保持有效。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20.3 中标供应商的投标文件有效期，截止于完成本招标文件规定的全部项目内容，并通过竣工验收及保修期结束。</w:t>
      </w:r>
    </w:p>
    <w:bookmarkEnd w:id="47"/>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21．</w:t>
      </w:r>
      <w:bookmarkStart w:id="48" w:name="_Hlk72402325"/>
      <w:r>
        <w:rPr>
          <w:rFonts w:ascii="宋体" w:eastAsia="宋体" w:hAnsi="宋体" w:cs="宋体" w:hint="eastAsia"/>
          <w:kern w:val="2"/>
          <w:szCs w:val="22"/>
          <w:lang w:eastAsia="zh-CN"/>
        </w:rPr>
        <w:t xml:space="preserve">关于投标保证金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21.1</w:t>
      </w:r>
      <w:r>
        <w:rPr>
          <w:rFonts w:ascii="宋体" w:eastAsia="宋体" w:hAnsi="宋体" w:cs="宋体" w:hint="eastAsia"/>
          <w:kern w:val="2"/>
          <w:sz w:val="21"/>
          <w:szCs w:val="22"/>
          <w:lang w:eastAsia="zh-CN"/>
        </w:rPr>
        <w:t>根据《深圳市财政局关于调整政府采购投标（响应）保证金管理政策的通知》（深财购〔2021〕51号）文的规定，本项目不收取投标保证金。</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22．投标人的替代方案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23．</w:t>
      </w:r>
      <w:bookmarkStart w:id="49" w:name="_Hlk72402860"/>
      <w:r>
        <w:rPr>
          <w:rFonts w:ascii="宋体" w:eastAsia="宋体" w:hAnsi="宋体" w:cs="宋体" w:hint="eastAsia"/>
          <w:kern w:val="2"/>
          <w:szCs w:val="22"/>
          <w:lang w:eastAsia="zh-CN"/>
        </w:rPr>
        <w:t>投标文件的制作要求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23.1投标人应准备所投项目的电子投标文件一份。</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23.2投标人在使用《投标书编制软件》编制投标书时须注意：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23.2.2不能用非本公司的电子密钥加密本公司的投标文件，或者用其它公司的登录用户上传本公司的投标文件。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23.2.3要求用《投标书编制软件》编制投标书的包，不能用其它方式编制投标书。编制投标文件时，电脑须连通互联网。</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23.2.4投标文件不能带病毒。政府集中采购机构将用专业杀毒软件对投标文件进行病毒检测，如果这两种软件均报告发现病毒，则政府集中采购机构认为该投标文件带病毒。</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23.2.6投标人在编辑投标文件时，</w:t>
      </w:r>
      <w:r>
        <w:rPr>
          <w:rFonts w:ascii="宋体" w:eastAsia="宋体" w:hAnsi="宋体" w:cs="宋体" w:hint="eastAsia"/>
          <w:b/>
          <w:kern w:val="2"/>
          <w:sz w:val="21"/>
          <w:szCs w:val="22"/>
          <w:lang w:eastAsia="zh-CN"/>
        </w:rPr>
        <w:t>在投标文件目录中属于本节点内容的必须在本节点中填写，填写到其他节点或附件，</w:t>
      </w:r>
      <w:r>
        <w:rPr>
          <w:rFonts w:ascii="宋体" w:eastAsia="宋体" w:hAnsi="宋体" w:cs="宋体" w:hint="eastAsia"/>
          <w:kern w:val="2"/>
          <w:sz w:val="21"/>
          <w:szCs w:val="22"/>
          <w:lang w:eastAsia="zh-CN"/>
        </w:rPr>
        <w:t>一切后果由供应商自行承担。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23.2.7投标文件编写完成后，</w:t>
      </w:r>
      <w:r>
        <w:rPr>
          <w:rFonts w:ascii="宋体" w:eastAsia="宋体" w:hAnsi="宋体" w:cs="宋体" w:hint="eastAsia"/>
          <w:b/>
          <w:kern w:val="2"/>
          <w:sz w:val="21"/>
          <w:szCs w:val="22"/>
          <w:lang w:eastAsia="zh-CN"/>
        </w:rPr>
        <w:t>必须用属于投标人的电子密钥或电子营业执照进行加密，否则视同未盖公章，将导致投标文件无效。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23.2.9如果开标时出现网络故障、技术故障，影响了政府采购活动，政府集中采购机构有权采取措施如延期、接受无法从网上上传的投标书等，以保障政府采购活动的公开、公平和公正。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23.3电报、电话、传真形式的投标概不接受。</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23.4经投标人电子密钥或电子营业执照加密的投标文件无须盖章或签字，</w:t>
      </w:r>
      <w:r>
        <w:rPr>
          <w:rFonts w:ascii="宋体" w:eastAsia="宋体" w:hAnsi="宋体" w:cs="宋体" w:hint="eastAsia"/>
          <w:kern w:val="2"/>
          <w:sz w:val="21"/>
          <w:szCs w:val="22"/>
          <w:lang w:eastAsia="zh-CN"/>
        </w:rPr>
        <w:t>专用条款另有要求的除外。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b/>
          <w:kern w:val="2"/>
          <w:sz w:val="21"/>
          <w:szCs w:val="22"/>
          <w:lang w:eastAsia="zh-CN"/>
        </w:rPr>
        <w:t>23.5</w:t>
      </w:r>
      <w:r>
        <w:rPr>
          <w:rFonts w:ascii="宋体" w:eastAsia="宋体" w:hAnsi="宋体" w:cs="宋体" w:hint="eastAsia"/>
          <w:kern w:val="2"/>
          <w:sz w:val="21"/>
          <w:szCs w:val="22"/>
          <w:lang w:eastAsia="zh-CN"/>
        </w:rPr>
        <w:t xml:space="preserve"> 各类资格（资质）文件提供扫描件，专用条款另有要求的除外。</w:t>
      </w:r>
      <w:bookmarkEnd w:id="49"/>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四</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50" w:name="_Hlk72405459"/>
      <w:r>
        <w:rPr>
          <w:rFonts w:ascii="宋体" w:eastAsia="宋体" w:hAnsi="宋体" w:cs="宋体" w:hint="eastAsia"/>
          <w:kern w:val="2"/>
          <w:szCs w:val="22"/>
          <w:lang w:eastAsia="zh-CN"/>
        </w:rPr>
        <w:t>24．投标文件的保密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cs="宋体" w:hint="eastAsia"/>
          <w:kern w:val="2"/>
          <w:sz w:val="21"/>
          <w:szCs w:val="22"/>
          <w:highlight w:val="yellow"/>
          <w:lang w:eastAsia="zh-CN"/>
        </w:rPr>
        <w:t>(注意：加密的投标文件开标时须使用加密文件时使用的锁在项目规定时间内解密！)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24.2若采购项目出现延期情况：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r>
        <w:rPr>
          <w:rFonts w:ascii="宋体" w:eastAsia="宋体" w:hAnsi="宋体" w:cs="宋体" w:hint="eastAsia"/>
          <w:b/>
          <w:kern w:val="2"/>
          <w:sz w:val="21"/>
          <w:szCs w:val="22"/>
          <w:lang w:eastAsia="zh-CN"/>
        </w:rPr>
        <w:t>如果供下载的招标文件有更新，投标人必须重新下载招标文件、重新制作投标文件、重新加密投标文件、重新上传投标文件。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25．上传投标文件及投标截止日期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25.1实行网上投标，投标人必须在招标文件规定的投标截止时间前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宋体" w:hint="eastAsia"/>
          <w:b/>
          <w:bCs/>
          <w:kern w:val="2"/>
          <w:sz w:val="21"/>
          <w:szCs w:val="21"/>
          <w:lang w:eastAsia="zh-CN"/>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ascii="宋体" w:eastAsia="宋体" w:hAnsi="宋体" w:cs="宋体" w:hint="eastAsia"/>
          <w:kern w:val="2"/>
          <w:sz w:val="21"/>
          <w:szCs w:val="22"/>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25.3投标截止时间以后不得上传投标文件。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50"/>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26. 样品、现场演示、方案讲解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26.1 样品、现场演示、方案讲解等事项在招标文件专用条款中进行规定。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51" w:name="_Hlk72428346"/>
      <w:r>
        <w:rPr>
          <w:rFonts w:ascii="宋体" w:eastAsia="宋体" w:hAnsi="宋体" w:cs="宋体" w:hint="eastAsia"/>
          <w:kern w:val="2"/>
          <w:szCs w:val="22"/>
          <w:lang w:eastAsia="zh-CN"/>
        </w:rPr>
        <w:t>27．投标文件的修改和撤销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27.1投标方在提交投标文件后可对其投标文件进行修改并重新上传投标文件或在网上进行撤销投标的操作。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27.2投标截止时间以后不得修改投标文件。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27.3从投标截止期至投标人在投标文件中确定的投标有效期之间的这段时间内，投标人不得撤回其投标。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27.4政府集中采购机构不退还投标文件，专用条款另有规定的除外。</w:t>
      </w:r>
    </w:p>
    <w:bookmarkEnd w:id="51"/>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五</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28．开标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28.1投标人须在开标当日的开标时间至解密截止时间内进行解密，逾期未解密的作无效处理。解密方法：登录“</w:t>
      </w:r>
      <w:r>
        <w:rPr>
          <w:rFonts w:ascii="宋体" w:eastAsia="宋体" w:hAnsi="宋体" w:cs="宋体" w:hint="eastAsia"/>
          <w:kern w:val="2"/>
          <w:sz w:val="21"/>
          <w:szCs w:val="22"/>
          <w:lang w:eastAsia="zh-CN"/>
        </w:rPr>
        <w:t>深圳政府采购自行采购系统（https://trade.szggzy.com/ggzy/center/#/login）</w:t>
      </w:r>
      <w:r>
        <w:rPr>
          <w:rFonts w:ascii="宋体" w:eastAsia="宋体" w:hAnsi="宋体" w:cs="宋体" w:hint="eastAsia"/>
          <w:kern w:val="2"/>
          <w:sz w:val="21"/>
          <w:szCs w:val="21"/>
          <w:lang w:eastAsia="zh-CN"/>
        </w:rPr>
        <w:t>”，使用本单位制作电子投标文件同一个电子密钥进行在线解密、查询开标情况。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六</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29．评审委员会组成</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29.1网上开标结束后召开评审会议，</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由政府集中采购机构依法组建，负责评审活动。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bookmarkStart w:id="52" w:name="_Hlk72436580"/>
      <w:r>
        <w:rPr>
          <w:rFonts w:ascii="宋体" w:eastAsia="宋体" w:hAnsi="宋体" w:cs="宋体"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52"/>
      <w:r>
        <w:rPr>
          <w:rFonts w:ascii="宋体" w:eastAsia="宋体" w:hAnsi="宋体" w:cs="宋体" w:hint="eastAsia"/>
          <w:kern w:val="2"/>
          <w:sz w:val="21"/>
          <w:szCs w:val="22"/>
          <w:lang w:eastAsia="zh-CN"/>
        </w:rPr>
        <w:t>评定分离项目评审专家均由评审专家组成。</w:t>
      </w:r>
      <w:r>
        <w:rPr>
          <w:rFonts w:ascii="宋体" w:eastAsia="宋体" w:hAnsi="宋体" w:cs="宋体" w:hint="eastAsia"/>
          <w:kern w:val="2"/>
          <w:sz w:val="21"/>
          <w:szCs w:val="21"/>
          <w:lang w:eastAsia="zh-CN"/>
        </w:rPr>
        <w:t>评审专家一般是</w:t>
      </w:r>
      <w:r>
        <w:rPr>
          <w:rFonts w:ascii="宋体" w:eastAsia="宋体" w:hAnsi="宋体" w:cs="宋体" w:hint="eastAsia"/>
          <w:kern w:val="2"/>
          <w:sz w:val="21"/>
          <w:szCs w:val="22"/>
          <w:lang w:eastAsia="zh-CN"/>
        </w:rPr>
        <w:t>从深圳市政府采购评审专家库中随机抽取。采购人代表须持本单位签发的《评审授权书》参加评审。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29.2评审定标应当遵循公平、公正、科学、择优的原则。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29.3评审活动依法进行，任何单位和个人不得非法干预评标过程和结果。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29.4评审过程中不允许违背评标程序或采用招标文件未载明的评标方法或评标因素进行评标。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宋体" w:eastAsia="宋体" w:hAnsi="宋体" w:cs="宋体" w:hint="eastAsia"/>
          <w:kern w:val="2"/>
          <w:sz w:val="21"/>
          <w:szCs w:val="22"/>
          <w:lang w:eastAsia="zh-CN"/>
        </w:rPr>
        <w:t>信息公开的内容除外</w:t>
      </w:r>
      <w:r>
        <w:rPr>
          <w:rFonts w:ascii="宋体" w:eastAsia="宋体" w:hAnsi="宋体" w:cs="宋体" w:hint="eastAsia"/>
          <w:bCs/>
          <w:kern w:val="2"/>
          <w:sz w:val="21"/>
          <w:szCs w:val="22"/>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30．向评审委员会提供的资料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30.1公开发布的招标文件，包括图纸、服务清单、答疑文件等；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30.2其他评标必须的资料。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30.3</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应当认真研究招标文件，至少应了解熟悉以下内容：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（1）招标的目的；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（2）招标项目需求的范围和性质；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（3）招标文件规定的投标人的资格、财政预算限额、商务条款；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（4）招标文件规定的评标程序、评标方法和评标因素；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（5）招标文件所列示的资格性审查表及符合性审查表。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31．独立评审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31.1</w:t>
      </w:r>
      <w:r>
        <w:rPr>
          <w:rFonts w:ascii="宋体" w:eastAsia="宋体" w:hAnsi="宋体" w:cs="宋体" w:hint="eastAsia"/>
          <w:kern w:val="2"/>
          <w:sz w:val="21"/>
          <w:szCs w:val="21"/>
          <w:lang w:eastAsia="zh-CN"/>
        </w:rPr>
        <w:t>评审委员会</w:t>
      </w:r>
      <w:r>
        <w:rPr>
          <w:rFonts w:ascii="宋体" w:eastAsia="宋体" w:hAnsi="宋体" w:cs="宋体" w:hint="eastAsia"/>
          <w:bCs/>
          <w:kern w:val="2"/>
          <w:sz w:val="21"/>
          <w:szCs w:val="22"/>
          <w:lang w:eastAsia="zh-CN"/>
        </w:rPr>
        <w:t>成员的评标活动应当独立进行，并应遵循投标文件初审、澄清有关问题、比较与评价、确定中标供应商、编写评审报告的工作程序。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七</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32．投标文件初审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32.1投标文件初审包括资格性审查和符合性审查。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资格性审查：依据法律法规和招标文件的规定，对投标文件中的资格证明等进行审查，以确定投标供应商是否具备投标资格。</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符合性审查：依据招标文件的规定，对投标文件的有效性、完整性和对招标文件的响应程度进行审查，以确定是否满足符合性审查的要求。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32.2 投标文件初审内容请详见《资格性审查表》和《符合性审查表》部分。投标人若有一条审查不通过则按投标无效处理。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 投标文件初审中关于供应商家数的计算:</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宋体" w:hint="eastAsia"/>
          <w:bCs/>
          <w:kern w:val="2"/>
          <w:sz w:val="21"/>
          <w:szCs w:val="21"/>
          <w:lang w:eastAsia="zh-CN"/>
        </w:rPr>
        <w:t>评审委员会</w:t>
      </w:r>
      <w:r>
        <w:rPr>
          <w:rFonts w:ascii="宋体" w:eastAsia="宋体" w:hAnsi="宋体" w:cs="宋体" w:hint="eastAsia"/>
          <w:bCs/>
          <w:kern w:val="2"/>
          <w:sz w:val="21"/>
          <w:szCs w:val="22"/>
          <w:lang w:eastAsia="zh-CN"/>
        </w:rPr>
        <w:t>按照招标文件规定的方式确定一个投标人获得中标人推荐资格，招标文件未规定的采取随机抽取方式确定，其他同品牌投标人不作为中标候选人。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32.4投标人投标文件作无效处理的情形，具体包括但不限于以下：</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32.4.1不同投标人的投标文件由同一单位或者同一个人编制，或者由同一个人分阶段参与编制；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32.4.2不同投标人委托同一单位或者个人办理投标事宜；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32.4.3不同投标人的投标文件载明的项目管理成员或者联系人员为同一人；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32.4.4不同投标人的投标文件异常一致或者投标报价呈规律性差异；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32.4.5不同投标供应商的投标文件或部分投标文件相互混装；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32.4.6投标供应商之间相互约定给予未中标的供应商利益补偿；</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32.4.7不同投标供应商的法定代表人、主要经营负责人、项目投标授权代表人、项目负责人、主要技术人员为同一人、属同一单位或者同一单位缴纳社会保险；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32.4.8不同投标供应商的投标文件内容存在非正常一致；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32.4.9在同一单位工作人员为两家以上（含两家）供应商进行同一项投标活动；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32.4.10主管部门依照法律、法规认定的其他情形。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32.5对不属于《资格性审查表》和《符合性审查表》所列的其他情形，除专用条款另有规定和32.4条款所列情形外，不得作为投标无效的理由。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33．澄清有关问题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bookmarkStart w:id="53" w:name="_Hlk71407321"/>
      <w:r>
        <w:rPr>
          <w:rFonts w:ascii="宋体" w:eastAsia="宋体" w:hAnsi="宋体" w:cs="宋体" w:hint="eastAsia"/>
          <w:kern w:val="2"/>
          <w:sz w:val="21"/>
          <w:szCs w:val="22"/>
          <w:lang w:eastAsia="zh-CN"/>
        </w:rPr>
        <w:t>33.1对招标文件中描述有歧义或前后不一致的地方（不含</w:t>
      </w:r>
      <w:r>
        <w:rPr>
          <w:rFonts w:ascii="宋体" w:eastAsia="宋体" w:hAnsi="宋体" w:cs="宋体" w:hint="eastAsia"/>
          <w:kern w:val="2"/>
          <w:sz w:val="21"/>
          <w:szCs w:val="21"/>
          <w:lang w:eastAsia="zh-CN"/>
        </w:rPr>
        <w:t>招标文件存在歧义、重大缺陷导致评审工作无法进行的情况）</w:t>
      </w:r>
      <w:r>
        <w:rPr>
          <w:rFonts w:ascii="宋体" w:eastAsia="宋体" w:hAnsi="宋体" w:cs="宋体" w:hint="eastAsia"/>
          <w:kern w:val="2"/>
          <w:sz w:val="21"/>
          <w:szCs w:val="22"/>
          <w:lang w:eastAsia="zh-CN"/>
        </w:rPr>
        <w:t>，评审委员会有权进行评判，但对同一条款的评判应适用于每个投标人。</w:t>
      </w:r>
      <w:bookmarkEnd w:id="53"/>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33.2</w:t>
      </w:r>
      <w:r>
        <w:rPr>
          <w:rFonts w:ascii="宋体" w:eastAsia="宋体" w:hAnsi="宋体" w:cs="宋体" w:hint="eastAsia"/>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33.3对于投标文件中含义不明确、同类问题表述不一致或者有明显文字和计算错误的内容，评审委员会应当以书面形式要求投标人作出必要的澄清、说明或者补正。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根据本通用条款第34条，凡属于评审委员会在评审中发现的算术错误进行核实的修改不在此列。</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54" w:name="_Toc73521581"/>
      <w:bookmarkStart w:id="55" w:name="_Toc100052400"/>
      <w:bookmarkStart w:id="56" w:name="_Toc73518151"/>
      <w:bookmarkStart w:id="57" w:name="_Toc73517673"/>
      <w:bookmarkStart w:id="58" w:name="_Toc73521669"/>
      <w:r>
        <w:rPr>
          <w:rFonts w:ascii="宋体" w:eastAsia="宋体" w:hAnsi="宋体" w:cs="宋体" w:hint="eastAsia"/>
          <w:kern w:val="2"/>
          <w:szCs w:val="22"/>
          <w:lang w:eastAsia="zh-CN"/>
        </w:rPr>
        <w:t>34．错误的修正</w:t>
      </w:r>
      <w:bookmarkEnd w:id="54"/>
      <w:bookmarkEnd w:id="55"/>
      <w:bookmarkEnd w:id="56"/>
      <w:bookmarkEnd w:id="57"/>
      <w:bookmarkEnd w:id="58"/>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投标文件报价出现前后不一致的，除专用条款另有规定外，按照下列规定修正：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34.1投标文件中开标一览表投标报价内容与投标文件中投标报价相应内容不一致的，以开标一览表为准；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34.2大写金额和小写金额不一致的，以大写金额为准；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34.3单价金额小数点或者百分比有明显错位，以开标一览表的总价为准，并修改单价；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34.4总价金额与按单价汇总金额不一致的，以单价金额计算结果为准。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35．投标文件的比较与评价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36. 实地考察或资料查验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37．评审方法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bookmarkStart w:id="59" w:name="_Hlk72438142"/>
      <w:r>
        <w:rPr>
          <w:rFonts w:ascii="宋体" w:eastAsia="宋体" w:hAnsi="宋体" w:cs="宋体" w:hint="eastAsia"/>
          <w:b/>
          <w:bCs/>
          <w:kern w:val="2"/>
          <w:sz w:val="21"/>
          <w:szCs w:val="21"/>
          <w:lang w:eastAsia="zh-CN"/>
        </w:rPr>
        <w:t>37.1.1最低价法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最低价法，是指投标文件满足招标文件全部实质性要求，且投标报价最低的投标人为中标候选人的评标方法。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37.1.2综合评分法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综合评分法，是指在满足招标文件全部实质性要求的前提下，按照招标文件中规定的各项因素进行综合评审，评审总得分排名前列的投标人，作为推荐的候选中标供应商。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9"/>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37.2 本项目采用的评审方法见本项目招标文件第一册“专用条款”的相关内容。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37.3重新评审的情形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 37.4重新组建评审委员会的情形</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八</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38．定标方法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60" w:name="_Hlk73782795"/>
      <w:r>
        <w:rPr>
          <w:rFonts w:ascii="宋体" w:eastAsia="宋体" w:hAnsi="宋体" w:cs="宋体" w:hint="eastAsia"/>
          <w:kern w:val="2"/>
          <w:sz w:val="21"/>
          <w:szCs w:val="21"/>
          <w:lang w:eastAsia="zh-CN"/>
        </w:rPr>
        <w:t>38.1非评定分离项目定标方法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38.1.1评审委员会依据本项目招标文件所约定的评审方法进行评审和比较，向政府集中采购机构提交书面评审报告，并根据评审方法比较评价结果从优到劣进行排序，确定候选中标供应商。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38.2评定分离项目定标方法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 xml:space="preserve">38.2.2 </w:t>
      </w:r>
      <w:bookmarkStart w:id="61" w:name="_Hlk71469733"/>
      <w:r>
        <w:rPr>
          <w:rFonts w:ascii="宋体" w:eastAsia="宋体" w:hAnsi="宋体" w:cs="宋体" w:hint="eastAsia"/>
          <w:kern w:val="2"/>
          <w:sz w:val="21"/>
          <w:szCs w:val="22"/>
          <w:lang w:eastAsia="zh-CN"/>
        </w:rPr>
        <w:t>适用评定分离的政府采购项目，采用综合评分法评审。</w:t>
      </w:r>
      <w:r>
        <w:rPr>
          <w:rFonts w:ascii="宋体" w:eastAsia="宋体" w:hAnsi="宋体" w:cs="宋体" w:hint="eastAsia"/>
          <w:kern w:val="2"/>
          <w:sz w:val="21"/>
          <w:szCs w:val="21"/>
          <w:lang w:eastAsia="zh-CN"/>
        </w:rPr>
        <w:t>评审委员会按照评审结果，推荐</w:t>
      </w:r>
      <w:r>
        <w:rPr>
          <w:rFonts w:ascii="宋体" w:eastAsia="宋体" w:hAnsi="宋体" w:cs="宋体" w:hint="eastAsia"/>
          <w:kern w:val="2"/>
          <w:sz w:val="21"/>
          <w:szCs w:val="22"/>
          <w:lang w:eastAsia="zh-CN"/>
        </w:rPr>
        <w:t>三个合格的候选中标供应商。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38.2.3</w:t>
      </w:r>
      <w:bookmarkStart w:id="62" w:name="_Hlk71469688"/>
      <w:r>
        <w:rPr>
          <w:rFonts w:ascii="宋体" w:eastAsia="宋体" w:hAnsi="宋体" w:cs="宋体" w:hint="eastAsia"/>
          <w:kern w:val="2"/>
          <w:sz w:val="21"/>
          <w:szCs w:val="22"/>
          <w:lang w:eastAsia="zh-CN"/>
        </w:rPr>
        <w:t>适用评定分离的政府采购项目，</w:t>
      </w:r>
      <w:r>
        <w:rPr>
          <w:rFonts w:ascii="宋体" w:eastAsia="宋体" w:hAnsi="宋体" w:cs="宋体" w:hint="eastAsia"/>
          <w:kern w:val="2"/>
          <w:sz w:val="21"/>
          <w:szCs w:val="21"/>
          <w:lang w:eastAsia="zh-CN"/>
        </w:rPr>
        <w:t>按照自定法确定中标供应商：自定法是指采购人组织定标委员会，由定标委员会在三家候选中标供应商中确定中标供应商。</w:t>
      </w:r>
      <w:bookmarkEnd w:id="61"/>
      <w:bookmarkEnd w:id="62"/>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38.2.4政府集中采购机构</w:t>
      </w:r>
      <w:r>
        <w:rPr>
          <w:rFonts w:ascii="宋体" w:eastAsia="宋体" w:hAnsi="宋体" w:cs="宋体" w:hint="eastAsia"/>
          <w:kern w:val="2"/>
          <w:sz w:val="21"/>
          <w:szCs w:val="22"/>
          <w:lang w:eastAsia="zh-CN"/>
        </w:rPr>
        <w:t>应当自评审结束之日起两个工作日内将候选中标供应商名单及其投标文件、评审报告送交采购人</w:t>
      </w:r>
      <w:r>
        <w:rPr>
          <w:rFonts w:ascii="宋体" w:eastAsia="宋体" w:hAnsi="宋体" w:cs="宋体" w:hint="eastAsia"/>
          <w:kern w:val="2"/>
          <w:sz w:val="21"/>
          <w:szCs w:val="21"/>
          <w:lang w:eastAsia="zh-CN"/>
        </w:rPr>
        <w:t>。</w:t>
      </w:r>
      <w:r>
        <w:rPr>
          <w:rFonts w:ascii="宋体" w:eastAsia="宋体" w:hAnsi="宋体" w:cs="宋体" w:hint="eastAsia"/>
          <w:kern w:val="2"/>
          <w:sz w:val="21"/>
          <w:szCs w:val="22"/>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说明：采购人及投标供应商应按照上述方法提前做好相关准备。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38.3专用条款另有规定的，按专用条款相关要求定标。</w:t>
      </w:r>
      <w:bookmarkEnd w:id="60"/>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39．编写评审报告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40．中标公告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40.1</w:t>
      </w:r>
      <w:bookmarkStart w:id="63" w:name="_Hlk72438709"/>
      <w:r>
        <w:rPr>
          <w:rFonts w:ascii="宋体" w:eastAsia="宋体" w:hAnsi="宋体" w:cs="宋体" w:hint="eastAsia"/>
          <w:kern w:val="2"/>
          <w:sz w:val="21"/>
          <w:szCs w:val="21"/>
          <w:lang w:eastAsia="zh-CN"/>
        </w:rPr>
        <w:t>为体现“公开、公平、公正”的原则，评审结束后经采购人确认（确定）评审结果，政府集中采购机构将在</w:t>
      </w:r>
      <w:r>
        <w:rPr>
          <w:rFonts w:ascii="宋体" w:eastAsia="宋体" w:hAnsi="宋体" w:cs="宋体" w:hint="eastAsia"/>
          <w:b/>
          <w:bCs/>
          <w:kern w:val="2"/>
          <w:sz w:val="21"/>
          <w:szCs w:val="22"/>
          <w:lang w:eastAsia="zh-CN"/>
        </w:rPr>
        <w:t>深圳政府采购自行采购系统</w:t>
      </w:r>
      <w:r>
        <w:rPr>
          <w:rFonts w:ascii="宋体" w:eastAsia="宋体" w:hAnsi="宋体" w:cs="宋体" w:hint="eastAsia"/>
          <w:b/>
          <w:bCs/>
          <w:kern w:val="2"/>
          <w:sz w:val="21"/>
          <w:szCs w:val="21"/>
          <w:lang w:eastAsia="zh-CN"/>
        </w:rPr>
        <w:t>（https://zxcg.szggzy.com/home/index.html）</w:t>
      </w:r>
      <w:r>
        <w:rPr>
          <w:rFonts w:ascii="宋体" w:eastAsia="宋体" w:hAnsi="宋体" w:cs="宋体" w:hint="eastAsia"/>
          <w:kern w:val="2"/>
          <w:sz w:val="21"/>
          <w:szCs w:val="21"/>
          <w:lang w:eastAsia="zh-CN"/>
        </w:rPr>
        <w:t>上发布中标结果公告。</w:t>
      </w:r>
      <w:bookmarkEnd w:id="63"/>
      <w:bookmarkStart w:id="64" w:name="_Hlk72438751"/>
      <w:r>
        <w:rPr>
          <w:rFonts w:ascii="宋体" w:eastAsia="宋体" w:hAnsi="宋体" w:cs="宋体" w:hint="eastAsia"/>
          <w:kern w:val="2"/>
          <w:sz w:val="21"/>
          <w:szCs w:val="21"/>
          <w:lang w:eastAsia="zh-CN"/>
        </w:rPr>
        <w:t>供应商如对评审结果有异议，可在发布公示日期起七个工作日内向政府集中采购机构提出。 监督电话：0755-83948143。若在公示期内未提出质疑，则视为认同该评审结果。</w:t>
      </w:r>
    </w:p>
    <w:bookmarkEnd w:id="64"/>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40.2质疑、投诉供应商应保证质疑、投诉内容的真实性和可靠性，并承担相应的法律责任。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41．中标通知书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41.1</w:t>
      </w:r>
      <w:bookmarkStart w:id="65" w:name="_Hlk72438863"/>
      <w:r>
        <w:rPr>
          <w:rFonts w:ascii="宋体" w:eastAsia="宋体" w:hAnsi="宋体" w:cs="宋体" w:hint="eastAsia"/>
          <w:kern w:val="2"/>
          <w:sz w:val="21"/>
          <w:szCs w:val="21"/>
          <w:lang w:eastAsia="zh-CN"/>
        </w:rPr>
        <w:t>中标公告公布以后无异常的情况下,中标供应商和采购人可自行登录</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2"/>
          <w:lang w:eastAsia="zh-CN"/>
        </w:rPr>
        <w:t>深圳政府采购自行采购系统（https://trade.szggzy.com/ggzy/center/#/login）</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1"/>
          <w:lang w:eastAsia="zh-CN"/>
        </w:rPr>
        <w:t>上打印</w:t>
      </w:r>
      <w:r>
        <w:rPr>
          <w:rFonts w:ascii="宋体" w:eastAsia="宋体" w:hAnsi="宋体" w:cs="宋体" w:hint="eastAsia"/>
          <w:b/>
          <w:kern w:val="2"/>
          <w:sz w:val="21"/>
          <w:szCs w:val="21"/>
          <w:lang w:eastAsia="zh-CN"/>
        </w:rPr>
        <w:t>《数字中标通知书》</w:t>
      </w:r>
      <w:r>
        <w:rPr>
          <w:rFonts w:ascii="宋体" w:eastAsia="宋体" w:hAnsi="宋体" w:cs="宋体" w:hint="eastAsia"/>
          <w:kern w:val="2"/>
          <w:sz w:val="21"/>
          <w:szCs w:val="21"/>
          <w:lang w:eastAsia="zh-CN"/>
        </w:rPr>
        <w:t>。</w:t>
      </w:r>
      <w:bookmarkEnd w:id="65"/>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41.2中标通知书是合同的重要组成部分。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bookmarkStart w:id="66" w:name="_Hlk71407340"/>
      <w:r>
        <w:rPr>
          <w:rFonts w:ascii="宋体" w:eastAsia="宋体" w:hAnsi="宋体" w:cs="宋体" w:hint="eastAsia"/>
          <w:kern w:val="2"/>
          <w:sz w:val="21"/>
          <w:szCs w:val="21"/>
          <w:lang w:eastAsia="zh-CN"/>
        </w:rPr>
        <w:t>41.3因质疑投诉或其它原因导致项目结果变更或采购终止的，政府集中采购机构有权吊销中标通知书。</w:t>
      </w:r>
    </w:p>
    <w:bookmarkEnd w:id="66"/>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九</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42．公开招标失败的处理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42.1本项目公开招标过程中若由于投标截止后</w:t>
      </w:r>
      <w:r>
        <w:rPr>
          <w:rFonts w:ascii="宋体" w:eastAsia="宋体" w:hAnsi="宋体" w:cs="宋体" w:hint="eastAsia"/>
          <w:kern w:val="2"/>
          <w:sz w:val="21"/>
          <w:szCs w:val="22"/>
          <w:lang w:eastAsia="zh-CN"/>
        </w:rPr>
        <w:t>实际递交投标文件的供应商数量不足、经</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评审对招标文件作实质响应的供应商不足等原因造成公开招标失败，可由政府集中采购机构重新组织采购。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42.3重新组织采购有以下两种组织形式：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（1）由政府集中采购机构重新组织公开招标；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42.4公开招标失败的采购项目重新组织公开招标，由政府集中采购机构重新按公开招标流程组织采购活动。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Cs w:val="22"/>
          <w:lang w:eastAsia="zh-CN"/>
        </w:rPr>
        <w:t xml:space="preserve">    </w:t>
      </w:r>
      <w:r>
        <w:rPr>
          <w:rFonts w:ascii="宋体" w:eastAsia="宋体" w:hAnsi="宋体" w:cs="宋体" w:hint="eastAsia"/>
          <w:kern w:val="2"/>
          <w:sz w:val="21"/>
          <w:szCs w:val="22"/>
          <w:lang w:eastAsia="zh-CN"/>
        </w:rPr>
        <w:t>42.5公开招标失败的采购项目经同级财政部门批准转为竞争性谈判或单一来源谈判方式采购的，按规定要求组织政府采购工作。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p>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bookmarkStart w:id="67" w:name="_Hlk72439043"/>
      <w:r>
        <w:rPr>
          <w:rFonts w:ascii="宋体" w:eastAsia="宋体" w:hAnsi="宋体" w:cs="宋体"/>
          <w:b/>
          <w:bCs/>
          <w:kern w:val="2"/>
          <w:sz w:val="28"/>
          <w:szCs w:val="28"/>
          <w:lang w:eastAsia="zh-CN"/>
        </w:rPr>
        <w:t>第</w:t>
      </w:r>
      <w:r>
        <w:rPr>
          <w:rFonts w:ascii="宋体" w:eastAsia="宋体" w:hAnsi="宋体" w:cs="宋体" w:hint="eastAsia"/>
          <w:b/>
          <w:bCs/>
          <w:kern w:val="2"/>
          <w:sz w:val="28"/>
          <w:szCs w:val="28"/>
          <w:lang w:eastAsia="zh-CN"/>
        </w:rPr>
        <w:t>十</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合同的授予与备案</w:t>
      </w:r>
      <w:bookmarkEnd w:id="67"/>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68" w:name="_Toc73518157"/>
      <w:bookmarkStart w:id="69" w:name="_Toc73517679"/>
      <w:bookmarkStart w:id="70" w:name="_Toc73521674"/>
      <w:bookmarkStart w:id="71" w:name="_Toc73521586"/>
      <w:bookmarkStart w:id="72" w:name="_Toc100052408"/>
      <w:bookmarkStart w:id="73" w:name="_Hlk72439088"/>
      <w:r>
        <w:rPr>
          <w:rFonts w:ascii="宋体" w:eastAsia="宋体" w:hAnsi="宋体" w:cs="宋体" w:hint="eastAsia"/>
          <w:kern w:val="2"/>
          <w:szCs w:val="22"/>
          <w:lang w:eastAsia="zh-CN"/>
        </w:rPr>
        <w:t>43．合同授予标准</w:t>
      </w:r>
      <w:bookmarkEnd w:id="68"/>
      <w:bookmarkEnd w:id="69"/>
      <w:bookmarkEnd w:id="70"/>
      <w:bookmarkEnd w:id="71"/>
      <w:bookmarkEnd w:id="72"/>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本项目的合同将授予经本招标文件规定评审确定的中标供应商。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74" w:name="_Toc73518158"/>
      <w:bookmarkStart w:id="75" w:name="_Toc73521675"/>
      <w:bookmarkStart w:id="76" w:name="_Toc73517680"/>
      <w:bookmarkStart w:id="77" w:name="_Toc100052409"/>
      <w:bookmarkStart w:id="78" w:name="_Toc73521587"/>
      <w:r>
        <w:rPr>
          <w:rFonts w:ascii="宋体" w:eastAsia="宋体" w:hAnsi="宋体" w:cs="宋体" w:hint="eastAsia"/>
          <w:kern w:val="2"/>
          <w:szCs w:val="22"/>
          <w:lang w:eastAsia="zh-CN"/>
        </w:rPr>
        <w:t>44．</w:t>
      </w:r>
      <w:bookmarkEnd w:id="74"/>
      <w:bookmarkEnd w:id="75"/>
      <w:bookmarkEnd w:id="76"/>
      <w:bookmarkEnd w:id="77"/>
      <w:bookmarkEnd w:id="78"/>
      <w:r>
        <w:rPr>
          <w:rFonts w:ascii="宋体" w:eastAsia="宋体" w:hAnsi="宋体" w:cs="宋体" w:hint="eastAsia"/>
          <w:kern w:val="2"/>
          <w:szCs w:val="22"/>
          <w:lang w:eastAsia="zh-CN"/>
        </w:rPr>
        <w:t>接受和拒绝任何或所有投标的权力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79" w:name="_Toc73521677"/>
      <w:bookmarkStart w:id="80" w:name="_Toc73517682"/>
      <w:bookmarkStart w:id="81" w:name="_Toc73518160"/>
      <w:bookmarkStart w:id="82" w:name="_Toc73521589"/>
      <w:bookmarkStart w:id="83" w:name="_Toc100052410"/>
      <w:r>
        <w:rPr>
          <w:rFonts w:ascii="宋体" w:eastAsia="宋体" w:hAnsi="宋体" w:cs="宋体" w:hint="eastAsia"/>
          <w:kern w:val="2"/>
          <w:szCs w:val="22"/>
          <w:lang w:eastAsia="zh-CN"/>
        </w:rPr>
        <w:t>45．合同的签订</w:t>
      </w:r>
      <w:bookmarkEnd w:id="79"/>
      <w:bookmarkEnd w:id="80"/>
      <w:bookmarkEnd w:id="81"/>
      <w:bookmarkEnd w:id="82"/>
      <w:bookmarkEnd w:id="83"/>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45.1中标人将于中标通知书发出之日起，按照采购文件（招标文件和投标文件等）内容与采购人签订政府采购合同；合同的实质性内容应当符合招标文件的规定；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45.3中标人应当按照合同约定履行义务，完成中标项目，不得将中标项目转让（转包）给他人。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bookmarkStart w:id="84" w:name="_Toc73521678"/>
      <w:bookmarkStart w:id="85" w:name="_Toc100052411"/>
      <w:bookmarkStart w:id="86" w:name="_Toc73518161"/>
      <w:bookmarkStart w:id="87" w:name="_Toc73521590"/>
      <w:bookmarkStart w:id="88" w:name="_Toc73517683"/>
      <w:r>
        <w:rPr>
          <w:rFonts w:ascii="宋体" w:eastAsia="宋体" w:hAnsi="宋体" w:cs="宋体" w:hint="eastAsia"/>
          <w:kern w:val="2"/>
          <w:szCs w:val="22"/>
          <w:lang w:eastAsia="zh-CN"/>
        </w:rPr>
        <w:t>46．履约担保</w:t>
      </w:r>
      <w:bookmarkEnd w:id="84"/>
      <w:bookmarkEnd w:id="85"/>
      <w:bookmarkEnd w:id="86"/>
      <w:bookmarkEnd w:id="87"/>
      <w:bookmarkEnd w:id="88"/>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46.1在签订项目合同的同时，中标人应按“对通用条款的补充内容”中规定的金额向采购人提交履约担保；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46.2，允许供应商自主选择以支票、汇票、本票、保函等非现金方式提交履约担保；</w:t>
      </w:r>
      <w:r>
        <w:rPr>
          <w:rFonts w:ascii="宋体" w:eastAsia="宋体" w:hAnsi="宋体" w:cs="宋体" w:hint="eastAsia"/>
          <w:kern w:val="2"/>
          <w:sz w:val="21"/>
          <w:szCs w:val="22"/>
          <w:lang w:eastAsia="zh-CN"/>
        </w:rPr>
        <w:t>中标人提交履约担保不是合同签订的前提条件，不要求中标人提供除法律、法规明确规定外的其他担保。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w:t>
      </w:r>
      <w:r>
        <w:rPr>
          <w:rFonts w:ascii="宋体" w:eastAsia="宋体" w:hAnsi="宋体" w:cs="宋体" w:hint="eastAsia"/>
          <w:kern w:val="2"/>
          <w:szCs w:val="22"/>
          <w:lang w:eastAsia="zh-CN"/>
        </w:rPr>
        <w:t>7</w:t>
      </w:r>
      <w:r>
        <w:rPr>
          <w:rFonts w:ascii="宋体" w:eastAsia="宋体" w:hAnsi="宋体" w:cs="宋体" w:hint="eastAsia"/>
          <w:kern w:val="2"/>
          <w:szCs w:val="22"/>
          <w:lang w:eastAsia="zh-CN"/>
        </w:rPr>
        <w:t>. 项目验收</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 xml:space="preserve">采购人应当按照招标文件和合同规定的标准和方法，及时组织验收。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48</w:t>
      </w:r>
      <w:r>
        <w:rPr>
          <w:rFonts w:ascii="宋体" w:eastAsia="宋体" w:hAnsi="宋体" w:cs="宋体" w:hint="eastAsia"/>
          <w:kern w:val="2"/>
          <w:szCs w:val="22"/>
          <w:lang w:eastAsia="zh-CN"/>
        </w:rPr>
        <w:t>. 宣传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凡与政府采购活动有关的宣传或广告，若当中提及政府采购，必须事先将具体对外宣传方案报同级财政部门和政府集中采购机构，并征得其同意。对外市场宣传包括但不限于以下形式：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a.名片、宣传册、广告标语等；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b.案例介绍、推广等；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c.工作人员向其他消费群体宣传。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49</w:t>
      </w:r>
      <w:r>
        <w:rPr>
          <w:rFonts w:ascii="宋体" w:eastAsia="宋体" w:hAnsi="宋体" w:cs="宋体" w:hint="eastAsia"/>
          <w:kern w:val="2"/>
          <w:szCs w:val="22"/>
          <w:lang w:eastAsia="zh-CN"/>
        </w:rPr>
        <w:t>. 供应商违法责任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49</w:t>
      </w:r>
      <w:r>
        <w:rPr>
          <w:rFonts w:ascii="宋体" w:eastAsia="宋体" w:hAnsi="宋体" w:cs="宋体" w:hint="eastAsia"/>
          <w:kern w:val="2"/>
          <w:sz w:val="21"/>
          <w:szCs w:val="21"/>
          <w:lang w:eastAsia="zh-CN"/>
        </w:rPr>
        <w:t>.1《深圳经济特区政府采购条例》第五十七条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（1）在采购活动中应当回避而未回避的；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（2）未按本条例规定签订、履行采购合同，造成严重后果的；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（3）隐瞒真实情况，提供虚假资料的；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（4）以非法手段排斥其他供应商参与竞争的；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（5）与其他采购参加人串通投标的；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（6）恶意投诉的；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（7）向采购项目相关人行贿或者提供其他不当利益的；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（8）阻碍、抗拒主管部门监督检查的；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（9）其他违反本条例规定的行为。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49</w:t>
      </w:r>
      <w:r>
        <w:rPr>
          <w:rFonts w:ascii="宋体" w:eastAsia="宋体" w:hAnsi="宋体" w:cs="宋体" w:hint="eastAsia"/>
          <w:kern w:val="2"/>
          <w:sz w:val="21"/>
          <w:szCs w:val="21"/>
          <w:lang w:eastAsia="zh-CN"/>
        </w:rPr>
        <w:t>.2 根据《深圳市财政局关于调整政府采购投标（响应）保证金管理政策的通知 》（深财购〔2021〕51 号）的要求，供应商在政府采购活动中出现《深圳经济特区政府采购条例实施细则》第八十条所列情形的，</w:t>
      </w:r>
      <w:bookmarkStart w:id="89" w:name="_Hlk72440769"/>
      <w:r>
        <w:rPr>
          <w:rFonts w:ascii="宋体" w:eastAsia="宋体" w:hAnsi="宋体" w:cs="宋体" w:hint="eastAsia"/>
          <w:kern w:val="2"/>
          <w:sz w:val="21"/>
          <w:szCs w:val="21"/>
          <w:lang w:eastAsia="zh-CN"/>
        </w:rPr>
        <w:t>政府集中采购机构或采购人不予退还其交纳的谈判保证金，情节严重的，并由主管部门</w:t>
      </w:r>
      <w:bookmarkEnd w:id="89"/>
      <w:r>
        <w:rPr>
          <w:rFonts w:ascii="宋体" w:eastAsia="宋体" w:hAnsi="宋体" w:cs="宋体" w:hint="eastAsia"/>
          <w:kern w:val="2"/>
          <w:sz w:val="21"/>
          <w:szCs w:val="21"/>
          <w:lang w:eastAsia="zh-CN"/>
        </w:rPr>
        <w:t>记入供应商诚信档案，予以通报：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（1）投标截止后，撤销投标的；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（2）中标后无正当理由未在规定期限内签订合同的；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（3）将中标项目转让给他人、或者在投标文件中未说明且未经采购人、采购招标机构同意，将中标项目分包给他人的；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（4）拒绝履行合同义务的。</w:t>
      </w:r>
    </w:p>
    <w:bookmarkEnd w:id="73"/>
    <w:p>
      <w:pPr>
        <w:widowControl w:val="0"/>
        <w:numPr>
          <w:ilvl w:val="0"/>
          <w:numId w:val="0"/>
        </w:numPr>
        <w:kinsoku/>
        <w:overflowPunct/>
        <w:topLinePunct w:val="0"/>
        <w:bidi w:val="0"/>
        <w:spacing w:before="0" w:beforeAutospacing="0" w:after="0" w:afterAutospacing="0" w:line="360" w:lineRule="auto"/>
        <w:ind w:left="0" w:right="0" w:firstLine="0" w:leftChars="0" w:rightChars="0" w:firstLineChars="0"/>
        <w:jc w:val="center"/>
        <w:outlineLvl w:val="1"/>
        <w:rPr>
          <w:rFonts w:ascii="宋体" w:eastAsia="宋体" w:hAnsi="宋体" w:cs="宋体" w:hint="eastAsia"/>
          <w:kern w:val="2"/>
          <w:sz w:val="28"/>
          <w:szCs w:val="28"/>
          <w:lang w:eastAsia="zh-CN"/>
        </w:rPr>
      </w:pPr>
      <w:r>
        <w:rPr>
          <w:rFonts w:ascii="宋体" w:eastAsia="宋体" w:hAnsi="宋体" w:cs="宋体"/>
          <w:b/>
          <w:bCs/>
          <w:kern w:val="2"/>
          <w:sz w:val="28"/>
          <w:szCs w:val="28"/>
          <w:lang w:eastAsia="zh-CN"/>
        </w:rPr>
        <w:t>第十</w:t>
      </w:r>
      <w:r>
        <w:rPr>
          <w:rFonts w:ascii="宋体" w:eastAsia="宋体" w:hAnsi="宋体" w:cs="宋体" w:hint="eastAsia"/>
          <w:b/>
          <w:bCs/>
          <w:kern w:val="2"/>
          <w:sz w:val="28"/>
          <w:szCs w:val="28"/>
          <w:lang w:eastAsia="zh-CN"/>
        </w:rPr>
        <w:t>一</w:t>
      </w:r>
      <w:r>
        <w:rPr>
          <w:rFonts w:ascii="宋体" w:eastAsia="宋体" w:hAnsi="宋体" w:cs="宋体"/>
          <w:b/>
          <w:bCs/>
          <w:kern w:val="2"/>
          <w:sz w:val="28"/>
          <w:szCs w:val="28"/>
          <w:lang w:eastAsia="zh-CN"/>
        </w:rPr>
        <w:t>章</w:t>
      </w:r>
      <w:r>
        <w:rPr>
          <w:rFonts w:ascii="宋体" w:eastAsia="宋体" w:hAnsi="宋体" w:cs="宋体" w:hint="eastAsia"/>
          <w:b/>
          <w:bCs/>
          <w:kern w:val="2"/>
          <w:sz w:val="28"/>
          <w:szCs w:val="28"/>
          <w:lang w:eastAsia="zh-CN"/>
        </w:rPr>
        <w:t xml:space="preserve">  </w:t>
      </w:r>
      <w:r>
        <w:rPr>
          <w:rFonts w:ascii="宋体" w:eastAsia="宋体" w:hAnsi="宋体" w:cs="宋体" w:hint="eastAsia"/>
          <w:kern w:val="2"/>
          <w:sz w:val="28"/>
          <w:szCs w:val="28"/>
          <w:lang w:eastAsia="zh-CN"/>
        </w:rPr>
        <w:t>质疑处理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50</w:t>
      </w:r>
      <w:r>
        <w:rPr>
          <w:rFonts w:ascii="宋体" w:eastAsia="宋体" w:hAnsi="宋体" w:cs="宋体" w:hint="eastAsia"/>
          <w:kern w:val="2"/>
          <w:szCs w:val="22"/>
          <w:lang w:eastAsia="zh-CN"/>
        </w:rPr>
        <w:t>.质疑提出与答复</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.1提出质疑</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50</w:t>
      </w:r>
      <w:r>
        <w:rPr>
          <w:rFonts w:ascii="宋体" w:eastAsia="宋体" w:hAnsi="宋体" w:cs="宋体" w:hint="eastAsia"/>
          <w:kern w:val="2"/>
          <w:sz w:val="21"/>
          <w:szCs w:val="21"/>
          <w:lang w:eastAsia="zh-CN"/>
        </w:rPr>
        <w:t>.2法律依据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color w:val="FF0000"/>
          <w:kern w:val="2"/>
          <w:sz w:val="21"/>
          <w:szCs w:val="21"/>
          <w:lang w:eastAsia="zh-CN"/>
        </w:rPr>
        <w:t xml:space="preserve">  </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.3质疑条件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.3.1提出质疑的供应商应当是参与所质疑项目采购活动的供应商；</w:t>
      </w:r>
      <w:bookmarkStart w:id="90" w:name="_Hlk75374941"/>
      <w:r>
        <w:rPr>
          <w:rFonts w:ascii="宋体" w:eastAsia="宋体" w:hAnsi="宋体" w:cs="宋体" w:hint="eastAsia"/>
          <w:kern w:val="2"/>
          <w:sz w:val="21"/>
          <w:szCs w:val="21"/>
          <w:lang w:eastAsia="zh-CN"/>
        </w:rPr>
        <w:t>以联合体形式参与的，质疑应当由组成联合体的所有成员共同提出</w:t>
      </w:r>
      <w:bookmarkEnd w:id="90"/>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 xml:space="preserve">.3.3应提交书面质疑函，质疑函应当包括以下内容：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（1）供应商的名称（或者姓名）、地址、邮编、邮箱、联系人及联系电话；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（2）质疑项目的名称、编号；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（3）具体、明确的质疑对象、质疑事项和质疑请求；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（4）因质疑事项而受损害的权益；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（5）事实依据；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（6）必要的法律依据；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（7）提出质疑的日期。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.4提交材料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.5收文地点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地址：深圳公共资源交易中心（深圳交易集团有限公司龙华分公司）（地址：深圳市龙华区观湖街道大和社区大和路288号宝观城锦鲤大厦办公楼22楼）。</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.6收文办理程序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8"/>
          <w:szCs w:val="28"/>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.6.2供应商提交的质疑材料不符合质疑条件的，视情况处理：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供应商提交的质疑存在下列情形之一的，不予受理：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（1）质疑主体不满足要求的；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（2）供应商自身权益未受到损害的；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（3）供应商未在法定质疑期限内提出质疑的；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（4）质疑材料不全或者未按要求签字或者盖章的情况下，要求补正后，逾期未补正或者补正后仍不符合规定的；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（5）其他不符合受理条件情形的。</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质疑事项不予受理的，政府集中采购机构应当向供应商出具不符合质疑条件告知书。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color w:val="FF0000"/>
          <w:kern w:val="2"/>
          <w:sz w:val="21"/>
          <w:szCs w:val="21"/>
          <w:lang w:eastAsia="zh-CN"/>
        </w:rPr>
        <w:t xml:space="preserve">  </w:t>
      </w:r>
      <w:r>
        <w:rPr>
          <w:rFonts w:ascii="宋体" w:eastAsia="宋体" w:hAnsi="宋体" w:cs="宋体" w:hint="eastAsia"/>
          <w:kern w:val="2"/>
          <w:sz w:val="21"/>
          <w:szCs w:val="21"/>
          <w:lang w:eastAsia="zh-CN"/>
        </w:rPr>
        <w:t xml:space="preserve">  52.7质疑答复时限</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自收文之日起七个工作日内。</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52.8投诉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5</w:t>
      </w:r>
      <w:r>
        <w:rPr>
          <w:rFonts w:ascii="宋体" w:eastAsia="宋体" w:hAnsi="宋体" w:cs="宋体" w:hint="eastAsia"/>
          <w:kern w:val="2"/>
          <w:szCs w:val="22"/>
          <w:lang w:eastAsia="zh-CN"/>
        </w:rPr>
        <w:t>1</w:t>
      </w:r>
      <w:r>
        <w:rPr>
          <w:rFonts w:ascii="宋体" w:eastAsia="宋体" w:hAnsi="宋体" w:cs="宋体" w:hint="eastAsia"/>
          <w:kern w:val="2"/>
          <w:szCs w:val="22"/>
          <w:lang w:eastAsia="zh-CN"/>
        </w:rPr>
        <w:t>. 质疑后续处理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.1供应商质疑不成立，或者成立但未对中标、成交结果构成影响的，继续开展采购活动。</w:t>
      </w:r>
    </w:p>
    <w:p>
      <w:pPr>
        <w:widowControl w:val="0"/>
        <w:kinsoku/>
        <w:overflowPunct/>
        <w:topLinePunct w:val="0"/>
        <w:bidi w:val="0"/>
        <w:spacing w:beforeAutospacing="0" w:afterAutospacing="0" w:line="360" w:lineRule="auto"/>
        <w:ind w:left="0" w:right="0" w:firstLine="42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kinsoku/>
        <w:overflowPunct/>
        <w:topLinePunct w:val="0"/>
        <w:bidi w:val="0"/>
        <w:spacing w:beforeAutospacing="0" w:afterAutospacing="0" w:line="360" w:lineRule="auto"/>
        <w:ind w:left="0" w:right="0" w:firstLine="420" w:leftChars="0" w:firstLineChars="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 END ----</w:t>
      </w:r>
      <w:bookmarkEnd w:id="37"/>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52"/>
          <w:szCs w:val="5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0000FF"/>
          <w:kern w:val="44"/>
          <w:sz w:val="36"/>
          <w:szCs w:val="44"/>
          <w:lang w:eastAsia="zh-CN"/>
        </w:rPr>
        <w:sectPr>
          <w:headerReference w:type="even" r:id="rId6"/>
          <w:headerReference w:type="default" r:id="rId7"/>
          <w:footerReference w:type="even" r:id="rId8"/>
          <w:footerReference w:type="default" r:id="rId9"/>
          <w:headerReference w:type="first" r:id="rId10"/>
          <w:footerReference w:type="first" r:id="rId11"/>
          <w:pgSz w:w="11906" w:h="16838"/>
          <w:pgMar w:top="1440" w:right="1417" w:bottom="1440" w:left="1417" w:header="851" w:footer="992" w:gutter="0"/>
          <w:pgBorders>
            <w:top w:val="none" w:sz="0" w:space="0" w:color="auto"/>
            <w:left w:val="none" w:sz="0" w:space="0" w:color="auto"/>
            <w:bottom w:val="none" w:sz="0" w:space="0" w:color="auto"/>
            <w:right w:val="none" w:sz="0" w:space="0" w:color="auto"/>
          </w:pgBorders>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AI+”绩效管理系统项目-A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拟安排项目核心团队成员（项目负责人除外）情况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投标人资质情况及通过相关认证情况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LHAZXCG-2025-00111-001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AI+”绩效管理系统项目-A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r>
              <w:rPr>
                <w:rFonts w:ascii="FangSong" w:eastAsia="FangSong" w:hAnsi="FangSong" w:cs="FangSong"/>
                <w:color w:val="666666"/>
                <w:lang w:val="en" w:eastAsia="en"/>
              </w:rPr>
              <w:br/>
            </w:r>
            <w:r>
              <w:rPr>
                <w:rFonts w:ascii="FangSong" w:eastAsia="FangSong" w:hAnsi="FangSong" w:cs="FangSong"/>
                <w:color w:val="666666"/>
                <w:lang w:val="en" w:eastAsia="en"/>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拟安排项目核心团队成员（项目负责人除外）情况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投标人资质情况及通过相关认证情况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4%；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r>
      <w:fldChar w:fldCharType="begin"/>
    </w:r>
    <w:r>
      <w:instrText xml:space="preserve"> PAGE   \* MERGEFORMAT </w:instrText>
    </w:r>
    <w:r>
      <w:fldChar w:fldCharType="separate"/>
    </w:r>
    <w:r>
      <w:rPr>
        <w:lang w:val="zh-CN"/>
      </w:rPr>
      <w:t>63</w:t>
    </w:r>
    <w:r>
      <w:rPr>
        <w:lang w:val="zh-CN"/>
      </w:rPr>
      <w:fldChar w:fldCharType="end"/>
    </w:r>
  </w:p>
  <w:p>
    <w:pPr>
      <w:pStyle w:val="Footer"/>
      <w:spacing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richText/>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AFF7F7D6"/>
    <w:multiLevelType w:val="singleLevel"/>
    <w:tmpl w:val="AFF7F7D6"/>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ListParagraph"/>
    <w:next w:val="Normal"/>
    <w:link w:val="1"/>
    <w:qFormat/>
    <w:pPr>
      <w:keepNext/>
      <w:keepLines/>
      <w:spacing w:before="340" w:afterLines="25" w:line="578" w:lineRule="auto"/>
      <w:outlineLvl w:val="0"/>
    </w:pPr>
    <w:rPr>
      <w:rFonts w:ascii="Arial" w:eastAsia="宋体" w:hAnsi="Arial" w:cs="Times New Roman"/>
      <w:b/>
      <w:bCs/>
      <w:kern w:val="44"/>
      <w:sz w:val="44"/>
      <w:szCs w:val="44"/>
    </w:rPr>
  </w:style>
  <w:style w:type="paragraph" w:styleId="Heading2">
    <w:name w:val="heading 2"/>
    <w:basedOn w:val="Normal"/>
    <w:next w:val="Normal"/>
    <w:link w:val="2"/>
    <w:uiPriority w:val="9"/>
    <w:semiHidden/>
    <w:unhideWhenUsed/>
    <w:qFormat/>
    <w:pPr>
      <w:widowControl w:val="0"/>
      <w:spacing w:line="416" w:lineRule="auto"/>
      <w:jc w:val="both"/>
      <w:outlineLvl w:val="1"/>
    </w:pPr>
    <w:rPr>
      <w:rFonts w:asciiTheme="majorHAnsi" w:eastAsiaTheme="majorEastAsia" w:hAnsiTheme="majorHAnsi" w:cstheme="majorBidi"/>
      <w:kern w:val="2"/>
      <w:sz w:val="32"/>
      <w:szCs w:val="22"/>
      <w:lang w:eastAsia="zh-CN"/>
    </w:rPr>
  </w:style>
  <w:style w:type="paragraph" w:styleId="Heading3">
    <w:name w:val="heading 3"/>
    <w:basedOn w:val="Heading1"/>
    <w:next w:val="Normal"/>
    <w:uiPriority w:val="9"/>
    <w:qFormat/>
    <w:pPr>
      <w:spacing w:before="260" w:after="260" w:line="240" w:lineRule="auto"/>
      <w:outlineLvl w:val="2"/>
    </w:pPr>
    <w:rPr>
      <w:rFonts w:ascii="宋体" w:hAnsi="宋体"/>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paragraph" w:styleId="NormalWeb">
    <w:name w:val="Normal (Web)"/>
    <w:basedOn w:val="Normal"/>
    <w:link w:val="a1"/>
    <w:uiPriority w:val="99"/>
    <w:qFormat/>
    <w:pPr>
      <w:spacing w:before="100" w:beforeAutospacing="1" w:afterAutospacing="1"/>
    </w:pPr>
    <w:rPr>
      <w:rFonts w:ascii="宋体" w:hAnsi="宋体" w:eastAsiaTheme="minorEastAsia" w:cstheme="minorBidi"/>
      <w:kern w:val="2"/>
      <w:lang w:eastAsia="zh-CN"/>
    </w:rPr>
  </w:style>
  <w:style w:type="character" w:customStyle="1" w:styleId="a1">
    <w:name w:val="普通(网站) 字符"/>
    <w:link w:val="NormalWeb"/>
    <w:uiPriority w:val="99"/>
    <w:qFormat/>
    <w:rPr>
      <w:rFonts w:ascii="宋体" w:eastAsia="宋体" w:hAnsi="宋体"/>
      <w:sz w:val="24"/>
      <w:szCs w:val="24"/>
    </w:rPr>
  </w:style>
  <w:style w:type="paragraph" w:styleId="NormalIndent">
    <w:name w:val="Normal Indent"/>
    <w:basedOn w:val="Normal"/>
    <w:qFormat/>
    <w:pPr>
      <w:widowControl w:val="0"/>
      <w:ind w:firstLine="420"/>
      <w:jc w:val="both"/>
    </w:pPr>
    <w:rPr>
      <w:rFonts w:asciiTheme="minorHAnsi" w:eastAsiaTheme="minorEastAsia" w:hAnsiTheme="minorHAnsi" w:cstheme="minorBidi"/>
      <w:kern w:val="2"/>
      <w:sz w:val="21"/>
      <w:szCs w:val="20"/>
      <w:lang w:eastAsia="zh-CN"/>
    </w:rPr>
  </w:style>
  <w:style w:type="paragraph" w:styleId="BodyText">
    <w:name w:val="Body Text"/>
    <w:basedOn w:val="Normal"/>
    <w:next w:val="BodyText2"/>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character" w:customStyle="1" w:styleId="1">
    <w:name w:val="标题 1 字符"/>
    <w:basedOn w:val="DefaultParagraphFont"/>
    <w:link w:val="Heading1"/>
    <w:qFormat/>
    <w:rPr>
      <w:rFonts w:ascii="Arial" w:eastAsia="宋体" w:hAnsi="Arial"/>
      <w:b/>
      <w:bCs/>
      <w:kern w:val="44"/>
      <w:sz w:val="44"/>
      <w:szCs w:val="44"/>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styleId="TOC2">
    <w:name w:val="toc 2"/>
    <w:next w:val="Normal"/>
    <w:qFormat/>
    <w:pPr>
      <w:widowControl w:val="0"/>
      <w:ind w:left="420" w:leftChars="200"/>
      <w:jc w:val="both"/>
    </w:pPr>
    <w:rPr>
      <w:rFonts w:eastAsia="宋体"/>
      <w:kern w:val="2"/>
      <w:sz w:val="21"/>
      <w:szCs w:val="22"/>
      <w:lang w:eastAsia="zh-CN"/>
    </w:rPr>
  </w:style>
  <w:style w:type="table" w:customStyle="1" w:styleId="10">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