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kern w:val="21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color w:val="000000"/>
          <w:kern w:val="21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kern w:val="21"/>
          <w:sz w:val="32"/>
          <w:szCs w:val="32"/>
        </w:rPr>
        <w:t>件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650" w:firstLineChars="1500"/>
        <w:jc w:val="left"/>
        <w:textAlignment w:val="auto"/>
      </w:pPr>
      <w:r>
        <w:rPr>
          <w:rFonts w:ascii="仿宋_GB2312" w:eastAsia="仿宋_GB2312" w:cs="仿宋_GB2312"/>
          <w:color w:val="000000"/>
          <w:sz w:val="31"/>
          <w:szCs w:val="31"/>
        </w:rPr>
        <w:t>深龙华建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催字</w:t>
      </w:r>
      <w:r>
        <w:rPr>
          <w:rFonts w:ascii="仿宋_GB2312" w:eastAsia="仿宋_GB2312" w:cs="仿宋_GB2312"/>
          <w:color w:val="000000"/>
          <w:sz w:val="31"/>
          <w:szCs w:val="31"/>
        </w:rPr>
        <w:t>〔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〕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20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深圳市龙华区住房和建设局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催告书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仿宋_GB2312"/>
          <w:color w:val="000000"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</w:rPr>
        <w:t>星星触控科技（深圳）有限公司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你司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送达了</w:t>
      </w: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"/>
        </w:rPr>
        <w:t>《深圳市龙华区住房和建设局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行政决定书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深龙华建决〔202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你司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未在规定期限内履行行政决定书规定的义务。根据《中华人民共和国行政强制法》第五十四条规定，现依法向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你司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催告，请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你司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在收到本催告书之日起十日内履行下列义务：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责令你司在收到本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催告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书后十日内将货币补贴</w:t>
      </w:r>
      <w:r>
        <w:rPr>
          <w:rFonts w:hint="eastAsia" w:ascii="仿宋_GB2312" w:hAnsi="仿宋_GB2312" w:eastAsia="仿宋_GB2312" w:cs="仿宋_GB2312"/>
          <w:color w:val="auto"/>
          <w:kern w:val="21"/>
          <w:sz w:val="32"/>
          <w:szCs w:val="32"/>
          <w:lang w:val="en-US" w:eastAsia="zh-CN" w:bidi="ar"/>
        </w:rPr>
        <w:t>10270.58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退回至我局账户（户名：深圳市龙华区住房和建设局，账号：4000055629100483458，开户银行：工商银行深圳观澜支行，附言：区级1100999、其他调入资金、冲减2080199、50899、31199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逾期仍未履行义务的，我局将依法申请人民法院强制执行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依据《中华人民共和国行政强制法》第三十六条规定，你（单位）有进行陈述和申辩的权利，如要求陈述、申辩，可在收到本催告书之日起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3日内向我局提出书面陈述和申辩，逾期视为放弃权利。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联系地址：深圳市龙华区龙华街道清湖路10号国鸿工业园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3栋108A室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联系人：江芸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/>
        <w:jc w:val="lef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联系电话：0755-81477770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sz w:val="32"/>
          <w:szCs w:val="32"/>
        </w:rPr>
        <w:t>                     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color w:val="000000"/>
          <w:sz w:val="32"/>
          <w:szCs w:val="32"/>
        </w:rPr>
        <w:t>深圳市龙华区住房和建设局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  <w:r>
        <w:rPr>
          <w:sz w:val="32"/>
          <w:szCs w:val="32"/>
        </w:rPr>
        <w:t>                         </w:t>
      </w:r>
      <w:r>
        <w:rPr>
          <w:rFonts w:hint="eastAsia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11</w:t>
      </w:r>
      <w:r>
        <w:rPr>
          <w:rFonts w:hint="default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default" w:ascii="仿宋_GB2312" w:eastAsia="仿宋_GB2312" w:cs="仿宋_GB2312"/>
          <w:color w:val="00000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仿宋_GB2312"/>
          <w:color w:val="00000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  <w:t>附相关法律条文：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/>
          <w:bCs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《中华人民共和国行政强制法》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第三十六条  当事人收到催告书后有权进行陈述和申辩。行政机关应当充分听取当事人的意见，对当事人提出的事实、理由和证据，应该进行记录、复核。当事人提出的事实、理由或者证据成立的，行政机关应当采纳。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第五十四条  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</w:p>
    <w:p/>
    <w:sectPr>
      <w:footerReference r:id="rId3" w:type="default"/>
      <w:pgSz w:w="11906" w:h="16838"/>
      <w:pgMar w:top="2098" w:right="1474" w:bottom="1984" w:left="1587" w:header="851" w:footer="147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OqXm5zwAAAAUBAAAPAAAAAAAA&#10;AAEAIAAAADgAAABkcnMvZG93bnJldi54bWxQSwECFAAUAAAACACHTuJAJpeTdMwBAACnAwAADgAA&#10;AAAAAAABACAAAAA0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4FF3E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sz w:val="2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jiangyun</cp:lastModifiedBy>
  <dcterms:modified xsi:type="dcterms:W3CDTF">2025-12-09T16:14:28Z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75E9CE38514A72FC64DA3769904549AB</vt:lpwstr>
  </property>
</Properties>
</file>