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龙华文化艺术中心2024年7-12月物业管理</w:t>
      </w:r>
    </w:p>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服务项目</w:t>
      </w:r>
      <w:r>
        <w:rPr>
          <w:rFonts w:hint="eastAsia" w:ascii="方正小标宋简体" w:hAnsi="方正小标宋简体" w:eastAsia="方正小标宋简体" w:cs="方正小标宋简体"/>
          <w:b w:val="0"/>
          <w:bCs w:val="0"/>
          <w:color w:val="auto"/>
          <w:sz w:val="44"/>
          <w:szCs w:val="44"/>
          <w:highlight w:val="none"/>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龙华文化艺术中心是政府全额投资的公益性综合文化活动场所，位于深圳市龙华区龙华街道龙华大道4001号（龙华文化广场东南侧）。场馆占地面积28184.14平方米，建筑面积26133平方米，</w:t>
      </w:r>
      <w:r>
        <w:rPr>
          <w:rFonts w:hint="eastAsia" w:ascii="仿宋_GB2312" w:eastAsia="仿宋_GB2312"/>
          <w:sz w:val="32"/>
          <w:szCs w:val="32"/>
          <w:lang w:val="en-US" w:eastAsia="zh-CN"/>
        </w:rPr>
        <w:t>主要设备设施包括但不限于：</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供配电系统：变压器3台、配电房2间（低压1间、高压1间）总功率3*1000KVA、低压配电柜（箱）8组（GCK）；照明系统3组（GCK）总功率660KW；设备用电总功率3796KW；供水系统：生活水泵2台、加压水泵10台；监控系统1套、控制中心1个；消防系统：消防栓120个（SG24A65-J）、消防水池3个、水池容积618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、消防水泵6台、排污泵30台；电梯3台，电梯机房1个；化粪池1个，容积75m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2024年7月-12月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（本服务项目为龙华文化艺术中心施工改造进场前过渡期服务项目，如采购方在项目服务期内向中标方书面告知施工进场时间，且双方根据实际工作完成情况据实结算无异议后，本项目服务合同将依规提前终止）</w:t>
      </w:r>
    </w:p>
    <w:p>
      <w:pPr>
        <w:pStyle w:val="7"/>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numPr>
          <w:ilvl w:val="0"/>
          <w:numId w:val="0"/>
        </w:numPr>
        <w:rPr>
          <w:rFonts w:hint="default"/>
        </w:rPr>
      </w:pPr>
      <w:bookmarkStart w:id="0" w:name="_Toc17312"/>
      <w:bookmarkStart w:id="1" w:name="_Toc5112"/>
      <w:bookmarkStart w:id="2" w:name="_Toc2486"/>
      <w:r>
        <w:rPr>
          <w:rFonts w:hint="eastAsia" w:ascii="Calibri" w:hAnsi="Calibri" w:eastAsia="宋体" w:cs="Calibri"/>
          <w:b/>
          <w:bCs/>
          <w:kern w:val="2"/>
          <w:szCs w:val="32"/>
          <w:highlight w:val="none"/>
        </w:rPr>
        <w:t>1</w:t>
      </w:r>
      <w:r>
        <w:rPr>
          <w:rFonts w:hint="eastAsia" w:cs="Calibri"/>
          <w:b/>
          <w:bCs/>
          <w:kern w:val="2"/>
          <w:szCs w:val="32"/>
          <w:highlight w:val="none"/>
          <w:lang w:val="en-US" w:eastAsia="zh-CN"/>
        </w:rPr>
        <w:t>.</w:t>
      </w:r>
      <w:r>
        <w:rPr>
          <w:rFonts w:hint="eastAsia" w:ascii="Calibri" w:hAnsi="Calibri" w:eastAsia="宋体" w:cs="Calibri"/>
          <w:b/>
          <w:bCs/>
          <w:kern w:val="2"/>
          <w:szCs w:val="32"/>
          <w:highlight w:val="none"/>
        </w:rPr>
        <w:t>项目基本情况</w:t>
      </w:r>
      <w:bookmarkEnd w:id="0"/>
    </w:p>
    <w:tbl>
      <w:tblPr>
        <w:tblStyle w:val="12"/>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龙华区龙华大道4175号</w:t>
            </w:r>
          </w:p>
        </w:tc>
      </w:tr>
    </w:tbl>
    <w:p>
      <w:pPr>
        <w:pStyle w:val="3"/>
        <w:ind w:left="0" w:leftChars="0" w:firstLine="0" w:firstLineChars="0"/>
        <w:rPr>
          <w:rFonts w:hint="eastAsia"/>
          <w:highlight w:val="none"/>
          <w:lang w:val="en-US" w:eastAsia="zh-CN"/>
        </w:rPr>
      </w:pPr>
    </w:p>
    <w:p>
      <w:pPr>
        <w:pStyle w:val="3"/>
        <w:ind w:left="0" w:leftChars="0" w:firstLine="0" w:firstLineChars="0"/>
        <w:rPr>
          <w:rFonts w:hint="eastAsia"/>
          <w:highlight w:val="none"/>
          <w:lang w:val="en-US" w:eastAsia="zh-CN"/>
        </w:rPr>
      </w:pPr>
      <w:r>
        <w:rPr>
          <w:rFonts w:hint="eastAsia"/>
          <w:highlight w:val="none"/>
          <w:lang w:val="en-US" w:eastAsia="zh-CN"/>
        </w:rPr>
        <w:t>2.物业服务范围</w:t>
      </w:r>
    </w:p>
    <w:p>
      <w:pPr>
        <w:pStyle w:val="3"/>
        <w:rPr>
          <w:rFonts w:hint="eastAsia" w:eastAsia="宋体" w:cs="Times New Roman"/>
          <w:highlight w:val="none"/>
          <w:lang w:val="en-US" w:eastAsia="zh-CN"/>
        </w:rPr>
      </w:pPr>
      <w:r>
        <w:rPr>
          <w:rFonts w:hint="eastAsia"/>
          <w:highlight w:val="none"/>
          <w:lang w:val="en-US" w:eastAsia="zh-CN"/>
        </w:rPr>
        <w:t>【龙华文化艺术中心】</w:t>
      </w:r>
    </w:p>
    <w:p>
      <w:pPr>
        <w:pStyle w:val="3"/>
        <w:bidi w:val="0"/>
        <w:rPr>
          <w:rFonts w:hint="default"/>
          <w:highlight w:val="none"/>
          <w:lang w:val="en-US" w:eastAsia="zh-CN"/>
        </w:rPr>
      </w:pPr>
      <w:r>
        <w:rPr>
          <w:rFonts w:hint="eastAsia"/>
          <w:highlight w:val="none"/>
          <w:lang w:val="en-US" w:eastAsia="zh-CN"/>
        </w:rPr>
        <w:t>（1）物业管理（建筑物）</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174"/>
        <w:gridCol w:w="6024"/>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6761"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4186" w:type="dxa"/>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Calibri" w:hAnsi="Calibri" w:cs="Calibri"/>
                <w:highlight w:val="none"/>
                <w:lang w:val="en-US" w:eastAsia="zh-CN"/>
              </w:rPr>
              <w:t>建筑名称</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总面积</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建筑面积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需保洁面积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地面</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地面</w:t>
            </w:r>
            <w:r>
              <w:rPr>
                <w:rFonts w:hint="eastAsia"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环氧地坪总面积14648</w:t>
            </w:r>
            <w:r>
              <w:rPr>
                <w:rFonts w:hint="default" w:ascii="Calibri" w:hAnsi="Calibri" w:cs="Calibri"/>
                <w:highlight w:val="none"/>
                <w:lang w:val="en-US" w:eastAsia="zh-CN"/>
              </w:rPr>
              <w:t>㎡</w:t>
            </w:r>
            <w:r>
              <w:rPr>
                <w:rFonts w:hint="eastAsia" w:ascii="Calibri" w:hAnsi="Calibri" w:cs="Calibri"/>
                <w:highlight w:val="none"/>
                <w:lang w:val="en-US" w:eastAsia="zh-CN"/>
              </w:rPr>
              <w:t>、瓷砖地面总面积4658</w:t>
            </w:r>
            <w:r>
              <w:rPr>
                <w:rFonts w:hint="default" w:ascii="Calibri" w:hAnsi="Calibri" w:cs="Calibri"/>
                <w:highlight w:val="none"/>
                <w:lang w:val="en-US" w:eastAsia="zh-CN"/>
              </w:rPr>
              <w:t>㎡</w:t>
            </w:r>
            <w:r>
              <w:rPr>
                <w:rFonts w:hint="eastAsia" w:ascii="Calibri" w:hAnsi="Calibri" w:cs="Calibri"/>
                <w:highlight w:val="none"/>
                <w:lang w:val="en-US" w:eastAsia="zh-CN"/>
              </w:rPr>
              <w:t>、水泥地面总面积6827</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Calibri" w:hAnsi="Calibri" w:eastAsia="宋体" w:cs="Calibri"/>
                <w:highlight w:val="none"/>
                <w:lang w:val="en-US" w:eastAsia="zh-CN"/>
              </w:rPr>
            </w:pPr>
            <w:r>
              <w:rPr>
                <w:rFonts w:hint="eastAsia" w:cs="Calibri"/>
                <w:highlight w:val="none"/>
                <w:lang w:val="en-US" w:eastAsia="zh-CN"/>
              </w:rPr>
              <w:t>会议室</w:t>
            </w: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会议桌1张、会议椅22张、投影机1台、话筒4个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会议室数量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会议室1个，总面积100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left"/>
              <w:rPr>
                <w:rFonts w:hint="eastAsia" w:ascii="Calibri" w:hAnsi="Calibri" w:eastAsia="宋体" w:cs="Calibri"/>
                <w:color w:val="auto"/>
                <w:szCs w:val="21"/>
                <w:highlight w:val="none"/>
                <w:lang w:val="en-US" w:eastAsia="zh-CN"/>
              </w:rPr>
            </w:pPr>
            <w:r>
              <w:rPr>
                <w:rFonts w:hint="eastAsia" w:cs="Calibri"/>
                <w:color w:val="auto"/>
                <w:szCs w:val="21"/>
                <w:highlight w:val="none"/>
                <w:lang w:val="en-US" w:eastAsia="zh-CN"/>
              </w:rPr>
              <w:t>报告厅</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会议桌1套、会议椅、投影机0、话筒1个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color w:val="auto"/>
                <w:szCs w:val="21"/>
                <w:highlight w:val="none"/>
                <w:lang w:val="en-US" w:eastAsia="zh-CN"/>
              </w:rPr>
              <w:t>报告厅数量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报告厅1个，总面积200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卫生间</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卫生间</w:t>
            </w:r>
            <w:r>
              <w:rPr>
                <w:rFonts w:hint="eastAsia" w:ascii="Calibri" w:hAnsi="Calibri" w:cs="Calibri"/>
                <w:color w:val="auto"/>
                <w:szCs w:val="21"/>
                <w:highlight w:val="none"/>
                <w:lang w:val="en-US" w:eastAsia="zh-CN"/>
              </w:rPr>
              <w:t>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卫生间30，总面积1500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垃圾存放点</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Calibri" w:hAnsi="Calibri" w:cs="Calibri"/>
                <w:highlight w:val="none"/>
                <w:lang w:val="en-US" w:eastAsia="zh-CN"/>
              </w:rPr>
              <w:t>各垃圾存放点位置、</w:t>
            </w:r>
            <w:r>
              <w:rPr>
                <w:rFonts w:hint="default" w:ascii="Calibri" w:hAnsi="Calibri" w:cs="Calibri"/>
                <w:highlight w:val="none"/>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r>
              <w:rPr>
                <w:rFonts w:hint="eastAsia" w:ascii="Calibri" w:hAnsi="Calibri" w:cs="Calibri"/>
                <w:highlight w:val="none"/>
                <w:lang w:val="en-US" w:eastAsia="zh-CN"/>
              </w:rPr>
              <w:t>及数量（个）</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垃圾存放点1个，存放位置负一楼、面积20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r>
              <w:rPr>
                <w:rFonts w:hint="default" w:ascii="Calibri" w:hAnsi="Calibri" w:cs="Calibri"/>
                <w:highlight w:val="none"/>
              </w:rPr>
              <w:t>车位数</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地下车位数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地下车位117个（其中充电桩车位数量0）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地面车位数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地面车位233个（其中充电桩车位数量0）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rPr>
            </w:pPr>
            <w:r>
              <w:rPr>
                <w:rFonts w:hint="default" w:ascii="Calibri" w:hAnsi="Calibri" w:cs="Calibri"/>
                <w:highlight w:val="none"/>
                <w:lang w:val="en-US" w:eastAsia="zh-CN"/>
              </w:rPr>
              <w:t>车行/人行口</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车行</w:t>
            </w:r>
            <w:r>
              <w:rPr>
                <w:rFonts w:hint="eastAsia" w:cs="Calibri"/>
                <w:highlight w:val="none"/>
                <w:lang w:val="en-US" w:eastAsia="zh-CN"/>
              </w:rPr>
              <w:t>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车行口1个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default" w:ascii="Calibri" w:hAnsi="Calibri" w:cs="Calibri"/>
                <w:highlight w:val="none"/>
                <w:lang w:val="en-US" w:eastAsia="zh-CN"/>
              </w:rPr>
            </w:pPr>
            <w:r>
              <w:rPr>
                <w:rFonts w:hint="default" w:ascii="Calibri" w:hAnsi="Calibri" w:cs="Calibri"/>
                <w:highlight w:val="none"/>
                <w:lang w:val="en-US" w:eastAsia="zh-CN"/>
              </w:rPr>
              <w:t>人行口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中心敞开式无外围围墙，无固定人行口</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lang w:val="en-US" w:eastAsia="zh-CN"/>
              </w:rPr>
              <w:t>设施设备</w:t>
            </w:r>
          </w:p>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电梯</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客梯3台，功率15KW、不在质保期内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给排水</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潜水泵30个、集水井15个，总功率1.5KW/台、不在质保期内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消防</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消防系统的构成；消火栓系统、自动喷淋系统、水幕系统、消防水箱、消防泵房和加压设施、灭火器。</w:t>
            </w:r>
          </w:p>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消防设备：5个室外消火栓、3个水泵接驳头、消防水箱3个，灭火器250个，喷淋泵三台55千瓦，消防栓泵两台18.5千瓦，水幕泵2台5.5千瓦，不在质保期内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安防系统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安防系统的构成：视频监控</w:t>
            </w:r>
          </w:p>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视频监控设备107个、不在质保期内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照明系统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照明系统的构成：普通照明、应急照明</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供配电系统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高压柜：一总开一计量三分开，低压柜：变压器三台、功率1000KVA/台</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见“3.3</w:t>
            </w:r>
            <w:r>
              <w:rPr>
                <w:rFonts w:hint="eastAsia" w:eastAsia="宋体" w:cs="Calibri"/>
                <w:color w:val="auto"/>
                <w:highlight w:val="none"/>
                <w:lang w:val="en-US" w:eastAsia="zh-CN"/>
              </w:rPr>
              <w:t>公</w:t>
            </w:r>
            <w:r>
              <w:rPr>
                <w:rFonts w:hint="eastAsia" w:ascii="Calibri" w:hAnsi="Calibri" w:eastAsia="宋体" w:cs="Calibri"/>
                <w:color w:val="auto"/>
                <w:highlight w:val="none"/>
                <w:lang w:val="en-US" w:eastAsia="zh-CN"/>
              </w:rPr>
              <w:t>用设施设备维护服务”</w:t>
            </w:r>
          </w:p>
        </w:tc>
      </w:tr>
    </w:tbl>
    <w:p>
      <w:pPr>
        <w:pStyle w:val="3"/>
        <w:bidi w:val="0"/>
        <w:rPr>
          <w:rFonts w:hint="eastAsia"/>
          <w:highlight w:val="none"/>
          <w:lang w:val="en-US" w:eastAsia="zh-CN"/>
        </w:rPr>
      </w:pPr>
    </w:p>
    <w:p>
      <w:pPr>
        <w:pStyle w:val="3"/>
        <w:bidi w:val="0"/>
        <w:rPr>
          <w:rFonts w:hint="eastAsia"/>
          <w:highlight w:val="none"/>
          <w:lang w:val="en-US" w:eastAsia="zh-CN"/>
        </w:rPr>
      </w:pPr>
      <w:r>
        <w:rPr>
          <w:rFonts w:hint="eastAsia"/>
          <w:highlight w:val="none"/>
          <w:lang w:val="en-US" w:eastAsia="zh-CN"/>
        </w:rPr>
        <w:t>（2）物业管理（室外）</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715"/>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highlight w:val="none"/>
                <w:lang w:val="en-US" w:eastAsia="zh-CN"/>
              </w:rPr>
              <w:t>名称</w:t>
            </w:r>
          </w:p>
        </w:tc>
        <w:tc>
          <w:tcPr>
            <w:tcW w:w="5298"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highlight w:val="none"/>
              </w:rPr>
              <w:t>明细</w:t>
            </w:r>
          </w:p>
        </w:tc>
        <w:tc>
          <w:tcPr>
            <w:tcW w:w="6627"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highlight w:val="none"/>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室外面积</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室外面积21357.14</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eastAsia"/>
                <w:highlight w:val="none"/>
                <w:vertAlign w:val="baseline"/>
                <w:lang w:val="en-US" w:eastAsia="zh-CN"/>
              </w:rPr>
            </w:pPr>
            <w:r>
              <w:rPr>
                <w:rFonts w:hint="default" w:ascii="Calibri" w:hAnsi="Calibri" w:cs="Calibri"/>
                <w:highlight w:val="none"/>
              </w:rPr>
              <w:t>绿化</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绿化面积11822.25</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广场</w:t>
            </w:r>
          </w:p>
        </w:tc>
        <w:tc>
          <w:tcPr>
            <w:tcW w:w="5298"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广场面积9534.89</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路灯、草坪灯、音箱</w:t>
            </w:r>
          </w:p>
        </w:tc>
        <w:tc>
          <w:tcPr>
            <w:tcW w:w="5298" w:type="dxa"/>
            <w:noWrap w:val="0"/>
            <w:vAlign w:val="center"/>
          </w:tcPr>
          <w:p>
            <w:pPr>
              <w:jc w:val="both"/>
              <w:rPr>
                <w:rFonts w:hint="default"/>
                <w:lang w:val="en-US" w:eastAsia="zh-CN"/>
              </w:rPr>
            </w:pPr>
            <w:r>
              <w:rPr>
                <w:rFonts w:hint="eastAsia" w:ascii="楷体" w:hAnsi="楷体" w:eastAsia="楷体" w:cs="楷体"/>
                <w:highlight w:val="none"/>
                <w:lang w:val="en-US" w:eastAsia="zh-CN"/>
              </w:rPr>
              <w:t>路灯110、草坪灯30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消防栓</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消防栓165个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垃圾箱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垃圾箱100个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室外配电箱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室外配电箱数量0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监控</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监控107个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指示牌、显示屏</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指示牌1个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bl>
    <w:p>
      <w:pPr>
        <w:pStyle w:val="3"/>
        <w:rPr>
          <w:rFonts w:hint="eastAsia" w:eastAsia="宋体" w:cs="Times New Roman"/>
          <w:kern w:val="2"/>
          <w:szCs w:val="20"/>
          <w:highlight w:val="none"/>
          <w:lang w:val="en-US" w:eastAsia="zh-CN" w:bidi="ar"/>
        </w:rPr>
      </w:pPr>
    </w:p>
    <w:p>
      <w:pPr>
        <w:pStyle w:val="3"/>
        <w:rPr>
          <w:rFonts w:hint="eastAsia" w:eastAsia="宋体" w:cs="Times New Roman"/>
          <w:kern w:val="2"/>
          <w:szCs w:val="20"/>
          <w:highlight w:val="none"/>
          <w:lang w:val="en-US" w:eastAsia="zh-CN" w:bidi="ar"/>
        </w:rPr>
      </w:pPr>
      <w:r>
        <w:rPr>
          <w:rFonts w:hint="eastAsia" w:eastAsia="宋体" w:cs="Times New Roman"/>
          <w:kern w:val="2"/>
          <w:szCs w:val="20"/>
          <w:highlight w:val="none"/>
          <w:lang w:val="en-US" w:eastAsia="zh-CN" w:bidi="ar"/>
        </w:rPr>
        <w:t>3.物业管理服务内容及标准</w:t>
      </w:r>
    </w:p>
    <w:p>
      <w:pPr>
        <w:pageBreakBefore w:val="0"/>
        <w:kinsoku/>
        <w:wordWrap/>
        <w:overflowPunct/>
        <w:topLinePunct w:val="0"/>
        <w:bidi w:val="0"/>
        <w:snapToGrid w:val="0"/>
        <w:spacing w:line="300" w:lineRule="auto"/>
        <w:ind w:firstLine="420" w:firstLineChars="200"/>
        <w:outlineLvl w:val="9"/>
        <w:rPr>
          <w:rFonts w:hint="default" w:ascii="Calibri" w:hAnsi="Calibri"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物业管理服务包括基本服务、房屋维护服务、</w:t>
      </w:r>
      <w:r>
        <w:rPr>
          <w:rFonts w:hint="eastAsia" w:cs="Calibri"/>
          <w:color w:val="auto"/>
          <w:kern w:val="2"/>
          <w:sz w:val="21"/>
          <w:szCs w:val="21"/>
          <w:highlight w:val="none"/>
          <w:u w:val="none"/>
          <w:lang w:val="en-US" w:eastAsia="zh-CN" w:bidi="ar-SA"/>
        </w:rPr>
        <w:t>公用设施</w:t>
      </w:r>
      <w:r>
        <w:rPr>
          <w:rFonts w:hint="eastAsia" w:eastAsia="宋体" w:cs="Calibri"/>
          <w:color w:val="auto"/>
          <w:kern w:val="2"/>
          <w:sz w:val="21"/>
          <w:szCs w:val="21"/>
          <w:highlight w:val="none"/>
          <w:u w:val="none"/>
          <w:lang w:val="en-US" w:eastAsia="zh-CN" w:bidi="ar-SA"/>
        </w:rPr>
        <w:t>设备维护服务、保洁服务、绿化服务、保安服务、会议服务等。</w:t>
      </w:r>
    </w:p>
    <w:bookmarkEnd w:id="1"/>
    <w:bookmarkEnd w:id="2"/>
    <w:p>
      <w:pPr>
        <w:pStyle w:val="3"/>
        <w:rPr>
          <w:rFonts w:hint="eastAsia" w:eastAsia="宋体" w:cs="Times New Roman"/>
          <w:kern w:val="2"/>
          <w:szCs w:val="20"/>
          <w:highlight w:val="none"/>
          <w:lang w:val="en-US" w:eastAsia="zh-CN" w:bidi="ar"/>
        </w:rPr>
      </w:pPr>
      <w:bookmarkStart w:id="3" w:name="_Toc26485"/>
      <w:bookmarkStart w:id="4" w:name="_Toc10498"/>
      <w:bookmarkStart w:id="5" w:name="_Toc26156"/>
      <w:r>
        <w:rPr>
          <w:rFonts w:hint="eastAsia"/>
          <w:highlight w:val="none"/>
          <w:lang w:val="en-US" w:eastAsia="zh-CN"/>
        </w:rPr>
        <w:t>3.</w:t>
      </w:r>
      <w:bookmarkEnd w:id="3"/>
      <w:bookmarkEnd w:id="4"/>
      <w:bookmarkEnd w:id="5"/>
      <w:r>
        <w:rPr>
          <w:rFonts w:hint="eastAsia" w:cs="Times New Roman"/>
          <w:kern w:val="2"/>
          <w:szCs w:val="20"/>
          <w:highlight w:val="none"/>
          <w:lang w:val="en-US" w:eastAsia="zh-CN" w:bidi="ar"/>
        </w:rPr>
        <w:t>1</w:t>
      </w:r>
      <w:r>
        <w:rPr>
          <w:rFonts w:hint="eastAsia" w:eastAsia="宋体" w:cs="Times New Roman"/>
          <w:kern w:val="2"/>
          <w:szCs w:val="20"/>
          <w:highlight w:val="none"/>
          <w:lang w:val="en-US" w:eastAsia="zh-CN" w:bidi="ar"/>
        </w:rPr>
        <w:t>基本服务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937"/>
        <w:gridCol w:w="8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329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1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329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与所在岗位能力要求相匹配，到岗前</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经过必要的岗前培训以达到岗位能力要求，国家、行业规定应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取得职业资格证书或特种作业证书的，应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合理控制外包服务人员</w:t>
            </w:r>
            <w:r>
              <w:rPr>
                <w:rFonts w:hint="eastAsia" w:cs="Calibri"/>
                <w:b w:val="0"/>
                <w:bCs w:val="0"/>
                <w:color w:val="auto"/>
                <w:kern w:val="0"/>
                <w:szCs w:val="21"/>
                <w:highlight w:val="none"/>
                <w:lang w:val="en-US" w:eastAsia="zh-CN"/>
              </w:rPr>
              <w:t>数量和</w:t>
            </w:r>
            <w:r>
              <w:rPr>
                <w:rFonts w:hint="default" w:ascii="Calibri" w:hAnsi="Calibri" w:eastAsia="宋体" w:cs="Calibri"/>
                <w:b w:val="0"/>
                <w:bCs w:val="0"/>
                <w:color w:val="auto"/>
                <w:kern w:val="0"/>
                <w:szCs w:val="21"/>
                <w:highlight w:val="none"/>
                <w:lang w:val="en-US" w:eastAsia="zh-CN"/>
              </w:rPr>
              <w:t>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根据采购人要求明确对</w:t>
            </w:r>
            <w:r>
              <w:rPr>
                <w:rFonts w:hint="default" w:ascii="Calibri" w:hAnsi="Calibri" w:cs="Calibri"/>
                <w:b w:val="0"/>
                <w:bCs w:val="0"/>
                <w:color w:val="auto"/>
                <w:kern w:val="0"/>
                <w:szCs w:val="21"/>
                <w:highlight w:val="none"/>
                <w:lang w:val="en-US" w:eastAsia="zh-CN"/>
              </w:rPr>
              <w:t>分包</w:t>
            </w:r>
            <w:r>
              <w:rPr>
                <w:rFonts w:hint="default" w:ascii="Calibri" w:hAnsi="Calibri" w:eastAsia="宋体" w:cs="Calibri"/>
                <w:b w:val="0"/>
                <w:bCs w:val="0"/>
                <w:color w:val="auto"/>
                <w:kern w:val="0"/>
                <w:szCs w:val="21"/>
                <w:highlight w:val="none"/>
                <w:lang w:val="en-US" w:eastAsia="zh-CN"/>
              </w:rPr>
              <w:t>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cs="Calibri"/>
                <w:highlight w:val="none"/>
              </w:rPr>
              <w:t>重大活动后勤保障</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color w:val="auto"/>
                <w:kern w:val="0"/>
                <w:szCs w:val="21"/>
                <w:highlight w:val="none"/>
                <w:lang w:val="en-US" w:eastAsia="zh-CN"/>
              </w:rPr>
              <w:t>8</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color w:val="auto"/>
                <w:szCs w:val="21"/>
                <w:highlight w:val="none"/>
                <w:u w:val="none"/>
                <w:lang w:val="en-US" w:eastAsia="zh-CN"/>
              </w:rPr>
              <w:t>应急物资的管理。根据专项预案中的应对需要</w:t>
            </w:r>
            <w:r>
              <w:rPr>
                <w:rFonts w:hint="eastAsia"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必要的应急物资，建立清单或台账，并由专人定期对应急物资进行检查，</w:t>
            </w:r>
            <w:r>
              <w:rPr>
                <w:rFonts w:hint="eastAsia" w:cs="Calibri"/>
                <w:color w:val="auto"/>
                <w:szCs w:val="21"/>
                <w:highlight w:val="none"/>
                <w:u w:val="none"/>
                <w:lang w:val="en-US" w:eastAsia="zh-CN"/>
              </w:rPr>
              <w:t>如有应急物资不足，及时通知采购人购置齐全，</w:t>
            </w:r>
            <w:r>
              <w:rPr>
                <w:rFonts w:hint="default" w:ascii="Calibri" w:hAnsi="Calibri" w:eastAsia="宋体" w:cs="Calibri"/>
                <w:color w:val="auto"/>
                <w:szCs w:val="21"/>
                <w:highlight w:val="none"/>
                <w:u w:val="none"/>
                <w:lang w:val="en-US" w:eastAsia="zh-CN"/>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9</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Cs/>
                <w:color w:val="auto"/>
                <w:szCs w:val="21"/>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10</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信报服务</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对邮件、包裹和挂号信等进行</w:t>
            </w:r>
            <w:r>
              <w:rPr>
                <w:rFonts w:hint="eastAsia" w:cs="Calibri"/>
                <w:b w:val="0"/>
                <w:bCs w:val="0"/>
                <w:color w:val="auto"/>
                <w:kern w:val="0"/>
                <w:szCs w:val="21"/>
                <w:highlight w:val="none"/>
                <w:lang w:val="en-US" w:eastAsia="zh-CN"/>
              </w:rPr>
              <w:t>正确分理、</w:t>
            </w:r>
            <w:r>
              <w:rPr>
                <w:rFonts w:hint="eastAsia" w:ascii="Calibri" w:hAnsi="Calibri" w:eastAsia="宋体" w:cs="Calibri"/>
                <w:b w:val="0"/>
                <w:bCs w:val="0"/>
                <w:color w:val="auto"/>
                <w:kern w:val="0"/>
                <w:szCs w:val="21"/>
                <w:highlight w:val="none"/>
                <w:lang w:val="en-US" w:eastAsia="zh-CN"/>
              </w:rPr>
              <w:t>安全检查和防疫卫生检查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及时投送或通知收件人领取</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w:t>
            </w:r>
            <w:r>
              <w:rPr>
                <w:rFonts w:hint="default" w:ascii="Calibri" w:hAnsi="Calibri" w:eastAsia="宋体" w:cs="Calibri"/>
                <w:color w:val="auto"/>
                <w:szCs w:val="21"/>
                <w:highlight w:val="none"/>
                <w:u w:val="none"/>
                <w:lang w:val="en-US" w:eastAsia="zh-CN"/>
              </w:rPr>
              <w:t>15分钟内到达现场</w:t>
            </w:r>
            <w:r>
              <w:rPr>
                <w:rFonts w:hint="eastAsia" w:eastAsia="宋体" w:cs="Calibri"/>
                <w:color w:val="auto"/>
                <w:szCs w:val="21"/>
                <w:highlight w:val="none"/>
                <w:u w:val="none"/>
                <w:lang w:val="en-US" w:eastAsia="zh-CN"/>
              </w:rPr>
              <w:t>，不间断维修直至修复。</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3.2</w:t>
      </w:r>
      <w:r>
        <w:rPr>
          <w:rFonts w:hint="default"/>
          <w:highlight w:val="none"/>
          <w:lang w:val="en-US" w:eastAsia="zh-CN"/>
        </w:rPr>
        <w:t>房屋维护服务</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57"/>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1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0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3.3公用设施设备维护服务</w:t>
      </w:r>
    </w:p>
    <w:tbl>
      <w:tblPr>
        <w:tblStyle w:val="12"/>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83"/>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生活饮用水卫生符合</w:t>
            </w:r>
            <w:r>
              <w:rPr>
                <w:rFonts w:hint="eastAsia" w:cs="Calibri"/>
                <w:b w:val="0"/>
                <w:bCs w:val="0"/>
                <w:color w:val="auto"/>
                <w:kern w:val="0"/>
                <w:szCs w:val="21"/>
                <w:highlight w:val="none"/>
                <w:lang w:val="en-US" w:eastAsia="zh-CN"/>
              </w:rPr>
              <w:t>《</w:t>
            </w:r>
            <w:r>
              <w:rPr>
                <w:rFonts w:hint="eastAsia"/>
                <w:color w:val="auto"/>
                <w:kern w:val="0"/>
                <w:highlight w:val="none"/>
              </w:rPr>
              <w:t>生活饮用水卫生标准</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GB5749</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二次供水卫生符合</w:t>
            </w:r>
            <w:r>
              <w:rPr>
                <w:rFonts w:hint="eastAsia" w:cs="Calibri"/>
                <w:b w:val="0"/>
                <w:bCs w:val="0"/>
                <w:color w:val="auto"/>
                <w:kern w:val="0"/>
                <w:szCs w:val="21"/>
                <w:highlight w:val="none"/>
                <w:lang w:val="en-US" w:eastAsia="zh-CN"/>
              </w:rPr>
              <w:t>《二次供水设施卫生规范》（</w:t>
            </w:r>
            <w:r>
              <w:rPr>
                <w:rFonts w:hint="eastAsia" w:ascii="Calibri" w:hAnsi="Calibri" w:eastAsia="宋体" w:cs="Calibri"/>
                <w:b w:val="0"/>
                <w:bCs w:val="0"/>
                <w:color w:val="auto"/>
                <w:kern w:val="0"/>
                <w:szCs w:val="21"/>
                <w:highlight w:val="none"/>
                <w:lang w:val="en-US" w:eastAsia="zh-CN"/>
              </w:rPr>
              <w:t>GB17051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电梯运行平稳、无异响、平层、开关正常。每</w:t>
            </w:r>
            <w:r>
              <w:rPr>
                <w:rFonts w:hint="eastAsia" w:cs="Calibri"/>
                <w:b w:val="0"/>
                <w:bCs w:val="0"/>
                <w:color w:val="auto"/>
                <w:kern w:val="0"/>
                <w:szCs w:val="21"/>
                <w:highlight w:val="none"/>
                <w:lang w:val="en-US" w:eastAsia="zh-CN"/>
              </w:rPr>
              <w:t>月</w:t>
            </w:r>
            <w:r>
              <w:rPr>
                <w:rFonts w:hint="eastAsia" w:ascii="Calibri" w:hAnsi="Calibri" w:eastAsia="宋体" w:cs="Calibri"/>
                <w:b w:val="0"/>
                <w:bCs w:val="0"/>
                <w:color w:val="auto"/>
                <w:kern w:val="0"/>
                <w:szCs w:val="21"/>
                <w:highlight w:val="none"/>
                <w:lang w:val="en-US" w:eastAsia="zh-CN"/>
              </w:rPr>
              <w:t>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空调</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空调通风系统运行管理符合</w:t>
            </w:r>
            <w:r>
              <w:rPr>
                <w:rFonts w:hint="eastAsia" w:cs="Calibri"/>
                <w:b w:val="0"/>
                <w:bCs w:val="0"/>
                <w:color w:val="auto"/>
                <w:kern w:val="0"/>
                <w:szCs w:val="21"/>
                <w:highlight w:val="none"/>
                <w:lang w:val="en-US" w:eastAsia="zh-CN"/>
              </w:rPr>
              <w:t>《空调通风系统运行管理标准》（</w:t>
            </w:r>
            <w:r>
              <w:rPr>
                <w:rFonts w:hint="eastAsia" w:ascii="Calibri" w:hAnsi="Calibri" w:eastAsia="宋体" w:cs="Calibri"/>
                <w:b w:val="0"/>
                <w:bCs w:val="0"/>
                <w:color w:val="auto"/>
                <w:kern w:val="0"/>
                <w:szCs w:val="21"/>
                <w:highlight w:val="none"/>
                <w:lang w:val="en-US" w:eastAsia="zh-CN"/>
              </w:rPr>
              <w:t>GB50365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办公楼内温湿度、空气质量等符合</w:t>
            </w:r>
            <w:r>
              <w:rPr>
                <w:rFonts w:hint="eastAsia" w:cs="Calibri"/>
                <w:b w:val="0"/>
                <w:bCs w:val="0"/>
                <w:color w:val="auto"/>
                <w:kern w:val="0"/>
                <w:szCs w:val="21"/>
                <w:highlight w:val="none"/>
                <w:lang w:val="en-US" w:eastAsia="zh-CN"/>
              </w:rPr>
              <w:t>《室内空气质量标准》（</w:t>
            </w:r>
            <w:r>
              <w:rPr>
                <w:rFonts w:hint="eastAsia" w:ascii="Calibri" w:hAnsi="Calibri" w:eastAsia="宋体" w:cs="Calibri"/>
                <w:b w:val="0"/>
                <w:bCs w:val="0"/>
                <w:color w:val="auto"/>
                <w:kern w:val="0"/>
                <w:szCs w:val="21"/>
                <w:highlight w:val="none"/>
                <w:lang w:val="en-US" w:eastAsia="zh-CN"/>
              </w:rPr>
              <w:t>GB/T18883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中央空调运行前对冷水机组、循环水泵、冷却塔、风机等设施设备进行系统检查，运行期间每日至少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1次运行情况巡查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1次系统整体性维修养护，检验1次压力容器、仪表及冷却塔噪声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制冷、供暖系统温度设定及启用时间符合节能要求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bl>
    <w:p>
      <w:pPr>
        <w:pStyle w:val="4"/>
        <w:rPr>
          <w:rFonts w:hint="eastAsia" w:ascii="楷体" w:hAnsi="楷体" w:eastAsia="楷体" w:cs="楷体"/>
          <w:b w:val="0"/>
          <w:bCs w:val="0"/>
          <w:highlight w:val="none"/>
        </w:rPr>
      </w:pPr>
      <w:r>
        <w:rPr>
          <w:rFonts w:hint="eastAsia" w:ascii="楷体" w:hAnsi="楷体" w:eastAsia="楷体" w:cs="楷体"/>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楷体" w:hAnsi="楷体" w:eastAsia="楷体" w:cs="楷体"/>
          <w:b w:val="0"/>
          <w:bCs w:val="0"/>
          <w:sz w:val="21"/>
          <w:szCs w:val="21"/>
          <w:highlight w:val="none"/>
        </w:rPr>
        <w:t>服务标准涉及的国家标准有更新的，执行国家最新标准。</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楷体" w:hAnsi="楷体" w:eastAsia="楷体" w:cs="楷体"/>
          <w:highlight w:val="none"/>
          <w:lang w:val="en-US" w:eastAsia="zh-CN"/>
        </w:rPr>
      </w:pPr>
    </w:p>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3.4</w:t>
      </w:r>
      <w:r>
        <w:rPr>
          <w:rFonts w:hint="default"/>
          <w:highlight w:val="none"/>
          <w:lang w:val="en-US" w:eastAsia="zh-CN"/>
        </w:rPr>
        <w:t>保洁服务</w:t>
      </w:r>
    </w:p>
    <w:tbl>
      <w:tblPr>
        <w:tblStyle w:val="1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004"/>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7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w:t>
            </w:r>
            <w:r>
              <w:rPr>
                <w:rFonts w:hint="eastAsia" w:cs="Calibri"/>
                <w:b w:val="0"/>
                <w:bCs w:val="0"/>
                <w:color w:val="auto"/>
                <w:kern w:val="0"/>
                <w:szCs w:val="21"/>
                <w:highlight w:val="none"/>
                <w:lang w:val="en-US" w:eastAsia="zh-CN"/>
              </w:rPr>
              <w:t>全程</w:t>
            </w:r>
            <w:r>
              <w:rPr>
                <w:rFonts w:hint="eastAsia" w:ascii="Calibri" w:hAnsi="Calibri" w:eastAsia="宋体" w:cs="Calibri"/>
                <w:b w:val="0"/>
                <w:bCs w:val="0"/>
                <w:color w:val="auto"/>
                <w:kern w:val="0"/>
                <w:szCs w:val="21"/>
                <w:highlight w:val="none"/>
                <w:lang w:val="en-US" w:eastAsia="zh-CN"/>
              </w:rPr>
              <w:t>在场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7"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每季度开展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eastAsia" w:ascii="Calibri" w:hAnsi="Calibri" w:eastAsia="宋体" w:cs="Calibri"/>
                <w:color w:val="auto"/>
                <w:szCs w:val="21"/>
                <w:highlight w:val="none"/>
                <w:u w:val="none"/>
                <w:lang w:val="en-US" w:eastAsia="zh-CN"/>
              </w:rPr>
              <w:t>地毯干净、无油渍、无污渍、无褪色</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eastAsia"/>
          <w:highlight w:val="none"/>
          <w:lang w:val="en-US" w:eastAsia="zh-CN"/>
        </w:rPr>
      </w:pPr>
      <w:r>
        <w:rPr>
          <w:rFonts w:hint="eastAsia"/>
          <w:highlight w:val="none"/>
          <w:lang w:val="en-US" w:eastAsia="zh-CN"/>
        </w:rPr>
        <w:t>3.4.1具体清洁要求</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983"/>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2983"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884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环氧地坪地面</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2</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耐磨漆地面</w:t>
            </w:r>
          </w:p>
        </w:tc>
        <w:tc>
          <w:tcPr>
            <w:tcW w:w="8848" w:type="dxa"/>
            <w:noWrap w:val="0"/>
            <w:vAlign w:val="center"/>
          </w:tcPr>
          <w:p>
            <w:pPr>
              <w:ind w:firstLine="210" w:firstLineChars="100"/>
              <w:jc w:val="both"/>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3</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4</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根据各区域的人流量及大理石的实际磨损程度制定大理石的晶面保养计划</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cs="Calibri"/>
                <w:b w:val="0"/>
                <w:bCs w:val="0"/>
                <w:color w:val="auto"/>
                <w:kern w:val="0"/>
                <w:szCs w:val="21"/>
                <w:highlight w:val="none"/>
                <w:lang w:val="en-US" w:eastAsia="zh-CN"/>
              </w:rPr>
              <w:t>启动晶面机，使用中性清洁剂清洁，避免使用强酸或强碱清洁剂，定期进行基础维护</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5</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水磨石地面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6</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地胶板地面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w:t>
            </w:r>
            <w:r>
              <w:rPr>
                <w:rFonts w:hint="eastAsia" w:eastAsia="宋体"/>
                <w:highlight w:val="none"/>
                <w:vertAlign w:val="baseline"/>
                <w:lang w:val="en-US" w:eastAsia="zh-CN"/>
              </w:rPr>
              <w:t>地胶板地面</w:t>
            </w:r>
            <w:r>
              <w:rPr>
                <w:rFonts w:hint="default"/>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7</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8</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地毯地面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日常用吸尘机除尘</w:t>
            </w:r>
            <w:r>
              <w:rPr>
                <w:rFonts w:hint="eastAsia"/>
                <w:highlight w:val="none"/>
                <w:vertAlign w:val="baseline"/>
                <w:lang w:val="en-US" w:eastAsia="zh-CN"/>
              </w:rPr>
              <w:t>，局部脏污用湿布配中性清洁液重点清洁。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9</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10</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墙纸内墙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11</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木饰面内墙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12</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13</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金属板内墙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14</w:t>
            </w:r>
          </w:p>
        </w:tc>
        <w:tc>
          <w:tcPr>
            <w:tcW w:w="2983" w:type="dxa"/>
            <w:noWrap w:val="0"/>
            <w:vAlign w:val="center"/>
          </w:tcPr>
          <w:p>
            <w:pPr>
              <w:jc w:val="both"/>
              <w:rPr>
                <w:rFonts w:hint="eastAsia" w:eastAsia="宋体"/>
                <w:highlight w:val="none"/>
                <w:vertAlign w:val="baseline"/>
                <w:lang w:val="en-US" w:eastAsia="zh-CN"/>
              </w:rPr>
            </w:pPr>
            <w:r>
              <w:rPr>
                <w:rFonts w:hint="default" w:eastAsia="宋体"/>
                <w:highlight w:val="none"/>
                <w:vertAlign w:val="baseline"/>
                <w:lang w:val="en-US" w:eastAsia="zh-CN"/>
              </w:rPr>
              <w:t>涂料外墙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15</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真石漆</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16</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17</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干挂石材</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eastAsia="宋体"/>
                <w:highlight w:val="none"/>
                <w:vertAlign w:val="baseline"/>
                <w:lang w:val="en-US" w:eastAsia="zh-CN"/>
              </w:rPr>
              <w:t>18</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玻璃幕墙外墙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注：根据物业用材情况选择清洁要求</w:t>
      </w:r>
    </w:p>
    <w:p>
      <w:pPr>
        <w:bidi w:val="0"/>
        <w:rPr>
          <w:rFonts w:hint="eastAsia"/>
          <w:highlight w:val="none"/>
          <w:lang w:val="en-US" w:eastAsia="zh-CN"/>
        </w:rPr>
      </w:pPr>
    </w:p>
    <w:p>
      <w:pPr>
        <w:pStyle w:val="3"/>
        <w:bidi w:val="0"/>
        <w:rPr>
          <w:rFonts w:hint="default"/>
          <w:highlight w:val="none"/>
          <w:lang w:val="en-US" w:eastAsia="zh-CN"/>
        </w:rPr>
      </w:pPr>
      <w:r>
        <w:rPr>
          <w:rFonts w:hint="eastAsia"/>
          <w:highlight w:val="none"/>
          <w:lang w:val="en-US" w:eastAsia="zh-CN"/>
        </w:rPr>
        <w:t>3.5</w:t>
      </w:r>
      <w:r>
        <w:rPr>
          <w:rFonts w:hint="default"/>
          <w:highlight w:val="none"/>
          <w:lang w:val="en-US" w:eastAsia="zh-CN"/>
        </w:rPr>
        <w:t>绿化服务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001"/>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3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bl>
    <w:p>
      <w:pPr>
        <w:pStyle w:val="3"/>
        <w:rPr>
          <w:highlight w:val="none"/>
        </w:rPr>
      </w:pPr>
    </w:p>
    <w:p>
      <w:pPr>
        <w:pStyle w:val="3"/>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保安服务</w:t>
      </w:r>
    </w:p>
    <w:tbl>
      <w:tblPr>
        <w:tblStyle w:val="12"/>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000"/>
        <w:gridCol w:w="8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8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覆盖采购人工作时间（上班时间为—____-____）。</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严禁在公用走道、楼梯间、安全出口处等公共区域停放车辆或充电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事故处理后，及时形成事故应急总结报告，完善应急救援工作方案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3.7会议服务</w:t>
      </w:r>
    </w:p>
    <w:tbl>
      <w:tblPr>
        <w:tblStyle w:val="12"/>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983"/>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接受会议</w:t>
            </w:r>
            <w:r>
              <w:rPr>
                <w:rFonts w:hint="eastAsia" w:ascii="Calibri" w:hAnsi="Calibri" w:eastAsia="宋体" w:cs="Calibri"/>
                <w:color w:val="auto"/>
                <w:szCs w:val="21"/>
                <w:highlight w:val="none"/>
                <w:u w:val="none"/>
                <w:lang w:val="en-US" w:eastAsia="zh-CN"/>
              </w:rPr>
              <w:t>预订</w:t>
            </w:r>
            <w:r>
              <w:rPr>
                <w:rFonts w:hint="default" w:ascii="Calibri" w:hAnsi="Calibri" w:eastAsia="宋体" w:cs="Calibri"/>
                <w:color w:val="auto"/>
                <w:szCs w:val="21"/>
                <w:highlight w:val="none"/>
                <w:u w:val="none"/>
                <w:lang w:val="en-US" w:eastAsia="zh-CN"/>
              </w:rPr>
              <w:t>，记录会议需求</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做好引导牌并放置在指定位置</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引导人员引导手势规范，语言标准</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会议</w:t>
            </w:r>
            <w:r>
              <w:rPr>
                <w:rFonts w:hint="eastAsia" w:cs="Calibri"/>
                <w:color w:val="auto"/>
                <w:szCs w:val="21"/>
                <w:highlight w:val="none"/>
                <w:u w:val="none"/>
                <w:lang w:val="en-US" w:eastAsia="zh-CN"/>
              </w:rPr>
              <w:t>期间</w:t>
            </w:r>
            <w:r>
              <w:rPr>
                <w:rFonts w:hint="default" w:ascii="Calibri" w:hAnsi="Calibri" w:eastAsia="宋体" w:cs="Calibri"/>
                <w:color w:val="auto"/>
                <w:szCs w:val="21"/>
                <w:highlight w:val="none"/>
                <w:u w:val="none"/>
                <w:lang w:val="en-US" w:eastAsia="zh-CN"/>
              </w:rPr>
              <w:t>按要求加水</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对会议现场进行检查，做好会场清扫工作。</w:t>
            </w:r>
          </w:p>
        </w:tc>
      </w:tr>
    </w:tbl>
    <w:p>
      <w:pPr>
        <w:pStyle w:val="2"/>
        <w:bidi w:val="0"/>
        <w:ind w:left="0" w:leftChars="0" w:firstLine="420" w:firstLineChars="200"/>
        <w:rPr>
          <w:rFonts w:hint="default"/>
          <w:highlight w:val="none"/>
        </w:rPr>
      </w:pPr>
      <w:bookmarkStart w:id="6" w:name="_Toc27983"/>
      <w:bookmarkStart w:id="7" w:name="_Toc26417"/>
      <w:bookmarkStart w:id="8" w:name="_Toc12052"/>
      <w:r>
        <w:rPr>
          <w:rFonts w:hint="eastAsia"/>
          <w:highlight w:val="none"/>
          <w:lang w:val="en-US" w:eastAsia="zh-CN"/>
        </w:rPr>
        <w:t>4.</w:t>
      </w:r>
      <w:r>
        <w:rPr>
          <w:rFonts w:hint="default"/>
          <w:highlight w:val="none"/>
        </w:rPr>
        <w:t>物业管理服务人员需求</w:t>
      </w:r>
    </w:p>
    <w:tbl>
      <w:tblPr>
        <w:tblStyle w:val="12"/>
        <w:tblW w:w="3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905"/>
        <w:gridCol w:w="2104"/>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3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公共设施设备维护服务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水电工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保洁服务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绿化服务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保安服务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领班</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消控岗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车管岗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当按国家相关法律法规，合理确定服务人员工资标准、</w:t>
      </w:r>
      <w:r>
        <w:rPr>
          <w:rFonts w:hint="eastAsia" w:ascii="楷体" w:hAnsi="楷体" w:eastAsia="楷体" w:cs="楷体"/>
          <w:b w:val="0"/>
          <w:bCs/>
          <w:color w:val="auto"/>
          <w:szCs w:val="21"/>
          <w:highlight w:val="none"/>
          <w:u w:val="none"/>
        </w:rPr>
        <w:t>工作时间</w:t>
      </w:r>
      <w:r>
        <w:rPr>
          <w:rFonts w:hint="eastAsia" w:ascii="楷体" w:hAnsi="楷体" w:eastAsia="楷体" w:cs="楷体"/>
          <w:b w:val="0"/>
          <w:bCs/>
          <w:color w:val="auto"/>
          <w:szCs w:val="21"/>
          <w:highlight w:val="none"/>
          <w:u w:val="none"/>
          <w:lang w:eastAsia="zh-CN"/>
        </w:rPr>
        <w:t>等</w:t>
      </w:r>
      <w:r>
        <w:rPr>
          <w:rFonts w:hint="eastAsia" w:ascii="楷体" w:hAnsi="楷体" w:eastAsia="楷体" w:cs="楷体"/>
          <w:b w:val="0"/>
          <w:bCs/>
          <w:color w:val="auto"/>
          <w:szCs w:val="21"/>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 xml:space="preserve">    </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应当自行为服务人员办理必需的保险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应当</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6"/>
    <w:bookmarkEnd w:id="7"/>
    <w:bookmarkEnd w:id="8"/>
    <w:p>
      <w:pPr>
        <w:pStyle w:val="7"/>
        <w:keepNext w:val="0"/>
        <w:keepLines w:val="0"/>
        <w:pageBreakBefore w:val="0"/>
        <w:numPr>
          <w:ilvl w:val="0"/>
          <w:numId w:val="0"/>
        </w:numPr>
        <w:kinsoku/>
        <w:wordWrap/>
        <w:overflowPunct/>
        <w:topLinePunct w:val="0"/>
        <w:autoSpaceDE/>
        <w:autoSpaceDN/>
        <w:bidi w:val="0"/>
        <w:spacing w:line="560" w:lineRule="exact"/>
        <w:ind w:right="1470" w:rightChars="700"/>
        <w:textAlignment w:val="auto"/>
        <w:rPr>
          <w:rFonts w:hint="eastAsia" w:ascii="黑体" w:hAnsi="黑体" w:eastAsia="黑体" w:cs="黑体"/>
          <w:b w:val="0"/>
          <w:bCs/>
          <w:color w:val="auto"/>
          <w:sz w:val="32"/>
          <w:szCs w:val="32"/>
          <w:highlight w:val="none"/>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报价限额84.9万元，其中各单项报价不得超过对应限额</w:t>
      </w:r>
    </w:p>
    <w:tbl>
      <w:tblPr>
        <w:tblStyle w:val="11"/>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12"/>
        <w:gridCol w:w="4262"/>
        <w:gridCol w:w="797"/>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服务内容</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说明</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/月</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限额</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人员配备</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配备15名工作人员：项目主管1人；秩序维护班长2人；水电维修工1人；秩序维护员8人；绿化员1人；保洁员2人。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660000.00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环境卫生管理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1、建筑屋面、室外场地、道路、停车场等地面、公共区域、绿化带、建筑物的2米以下墙面及附属物、门窗、室内办公区域、功能室、活动场所等所有公共设施及用具的卫生清洁保洁与管理。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2、下水道、沟渠、池、井、楼顶的清淤处理、垃圾的收集清运。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3、早上7：30前将所有区域（如外围、功能室、楼梯、走廊、洗手间等）的卫生清洁完毕，并全天随时保洁。行政办公区域清洁必须在8：30前清洁完毕，保证不影响正常办公。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绿化养护管理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要求本项目红线范围内的所有苗木及草地、会议室、办公室、大堂的花卉植物盆景都能正常生长，无病虫害，无死亡，无损害；保障绿色植物的正常生长，提供一个幽雅、舒适的生活环境。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公用设施、设备维护与管理服务</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公用设施设备的日常维修、养护与运行管理。包含但不限于所有室内外照明、景观灯、给排水设施、公共照明、门窗、锁具、风扇、办公桌椅等各类公用设施，维修材料由甲方负责，保证设备正常运行或处于良好的备用状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消防设施维保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1.馆内火灾自动报警系统、室内消火栓、喷淋设备、灭火器等维保。</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2.1次消防培训及消防演练。</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电梯设备维保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根据国家电梯管理规定，每月进行两次电梯维护管养，按年度进行一次年审工作，确保电梯安全正常运行。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7</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849000</w:t>
            </w:r>
          </w:p>
        </w:tc>
      </w:tr>
    </w:tbl>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default"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sz w:val="24"/>
                <w:szCs w:val="24"/>
                <w:highlight w:val="none"/>
                <w:lang w:val="en-US" w:eastAsia="zh-CN"/>
              </w:rPr>
              <w:t>0分</w:t>
            </w:r>
          </w:p>
        </w:tc>
      </w:tr>
    </w:tbl>
    <w:p>
      <w:pPr>
        <w:pStyle w:val="15"/>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同类项目业绩（10分）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投标人自2018年1月1日至本项目招标公告发布日前，履约的政府、行政事业单位物业管理服务项目(以合同签订时间为准)并经合同甲方单位考核评价为优或优秀或满意的，每项成功案例得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lang w:eastAsia="zh-CN"/>
              </w:rPr>
              <w:t>分，最高得</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lang w:eastAsia="zh-CN"/>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投标人需提供项目合同关键页、中标通知书及甲方单位履约出具的评价为优或优秀或满意的履约评价扫描件，原件备查。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拟安排项目负责人情况（6分）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 为本项目拟安排项目负责人：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1、具有本科或以上学历的，得1分；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2、具有国家人力资源部门颁发的人力资源管理专业中级或以上技术职称的得1分；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3、具有应急管理部门颁发的安全生产管理人员安全生产知识和管理能力考核合格证（考核类别：主要负责人）扫描件的得1分；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4、具有国家人力资源部门颁发的应急救援员证书的得1分；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5、具有3年或以上物业管理项目经验的得1分。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6、具有高级清洁管理师项目经理证书的得1分。</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1、提供学历证书扫描件及学信网查询结果截图或学历验证报告，原件备查；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3、提供工作经验证明扫描件（工作经验证明为物业项目服务合同关键页，通过合同关键信息无法判断是否得分的，须同时提供合同甲方出具的证明文件需加盖甲方公章）；</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4、提供副省级或以上环卫清洁协会颁发的高级清洁管理师项目经理证书扫描件，原件备查。</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项目负责人必须为投标人自有员工，提供开标日前由投标人为其缴交的载有政府部门业务章或官网查询截图的2024年3月至2024年5月社保缴交证明材料，如开标日上一个月的社保材料因政府部门原因暂时无法取得，则可往前顺延一个月；社保资料必须至少显示缴交养老保险信息，未显示该信息的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拟安排的项目团队成员（项目负责人除外）情况（4分）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考察内容：以下4大项累加计分：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具有国家人力资源部门颁发的园林或园林绿化工程师或以上专业技术职称证书的，得1分；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具有国家人力资源部门颁发的建（构）筑物消防员证书或消防设施操作员证书，得1分；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水电维修工人具有国家人力资源部门电工职业技能等级证书（四级或以上）证书的得1分；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具有国家人力资源部门颁发的注册安全工程师证书的（注册聘用单位须为投标人），得1分。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 xml:space="preserve">（同一位成员提供不同证书可重复得分） </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1、提供相关证书扫描件，原件备查；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第4项如证书无法体现注册聘用单位为投标人，需同时提供中国安全生产科学研究院注册安全工程师注册管理中心（http://rmocse.chinasafety.ac.cn/Index.aspx）证书信息查询截图，截图需显示注册单位（聘用单位或聘用企业），且名称应与投标人一致，否则不得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项目团队成员必须为投标人自有员工，提供相关人员开标日前由投标人为其缴交的载有政府部门业务章或官网查询截图的2024年3月至2024年5月社保缴交证明材料，如开标日上一个月的社保材料因政府部门原因暂时无法取得，则可以往前顺延一个月；社保资料必须至少显示缴交养老保险信息，未显示该信息的该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项目完成（服务期满）后的服务承诺（5分）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考察内容：投标人须书面承诺： 1、服务期满后主动撤场；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与后续服务公司进行交接；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 xml:space="preserve">服务期满后、新服务公司到位前，仍按原合同提供服务；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若因龙华文化艺术中心升级改造工程导致本项目提前终止，自愿服从调整。</w:t>
            </w:r>
            <w:r>
              <w:rPr>
                <w:rFonts w:hint="eastAsia" w:ascii="仿宋_GB2312" w:hAnsi="仿宋_GB2312" w:eastAsia="仿宋_GB2312" w:cs="仿宋_GB2312"/>
                <w:b w:val="0"/>
                <w:bCs/>
                <w:color w:val="auto"/>
                <w:sz w:val="24"/>
                <w:szCs w:val="24"/>
                <w:highlight w:val="none"/>
                <w:lang w:val="en-US" w:eastAsia="zh-CN"/>
              </w:rPr>
              <w:br w:type="textWrapping"/>
            </w:r>
          </w:p>
        </w:tc>
        <w:tc>
          <w:tcPr>
            <w:tcW w:w="3482" w:type="dxa"/>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提供承诺函（格式自拟）作为得分依据，按要求提供的得5分,否则不得分。 </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（20分）</w:t>
            </w:r>
          </w:p>
        </w:tc>
        <w:tc>
          <w:tcPr>
            <w:tcW w:w="36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 提供以下方案：</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物业总体</w:t>
            </w:r>
            <w:r>
              <w:rPr>
                <w:rFonts w:hint="eastAsia" w:ascii="仿宋_GB2312" w:hAnsi="仿宋_GB2312" w:eastAsia="仿宋_GB2312" w:cs="仿宋_GB2312"/>
                <w:b w:val="0"/>
                <w:bCs/>
                <w:color w:val="auto"/>
                <w:sz w:val="24"/>
                <w:szCs w:val="24"/>
                <w:highlight w:val="none"/>
                <w:lang w:val="en-US" w:eastAsia="zh-CN"/>
              </w:rPr>
              <w:t>服务</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至少包括物业服务的设想，管理方式和运作模式等内容；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人员配置方案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至少包括人员的配备</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人员培训及管理措施等内容；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安全管理方案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至少包括工作标准等内容；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房屋维护与机电设备管理方案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至少包括供配电系统、给排水系统的运行管理等内容；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环境卫生管理方案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至少包括环境清洁卫生等内容；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绿化服务方案，至少包括室外绿植养护等内容。 </w:t>
            </w:r>
          </w:p>
        </w:tc>
        <w:tc>
          <w:tcPr>
            <w:tcW w:w="3498"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项目实施方案中包括但不限于对项目的工作措施、工作方法、工作手段、工作流程。</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满足以上任意一项内容得</w:t>
            </w:r>
            <w:r>
              <w:rPr>
                <w:rFonts w:hint="eastAsia" w:ascii="仿宋_GB2312" w:hAnsi="仿宋_GB2312" w:eastAsia="仿宋_GB2312" w:cs="仿宋_GB2312"/>
                <w:b w:val="0"/>
                <w:bCs/>
                <w:color w:val="auto"/>
                <w:sz w:val="24"/>
                <w:szCs w:val="24"/>
                <w:highlight w:val="none"/>
                <w:lang w:val="en-US" w:eastAsia="zh-CN"/>
              </w:rPr>
              <w:t>2</w:t>
            </w:r>
            <w:r>
              <w:rPr>
                <w:rFonts w:hint="default" w:ascii="仿宋_GB2312" w:hAnsi="仿宋_GB2312" w:eastAsia="仿宋_GB2312" w:cs="仿宋_GB2312"/>
                <w:b w:val="0"/>
                <w:bCs/>
                <w:color w:val="auto"/>
                <w:sz w:val="24"/>
                <w:szCs w:val="24"/>
                <w:highlight w:val="none"/>
                <w:lang w:val="en-US" w:eastAsia="zh-CN"/>
              </w:rPr>
              <w:t>分，最高12分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（1）实施方案内容全面。</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（2）实施方案内容具体。</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（3）实施方案内容科学合理。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（4）实施方案内容针对性强。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（5）实施方案内容可操作性强。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 8分。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 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差评分标准：上述情况之外的，评差不得分。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项目重点难点分析、应对措施及相关的合理化建议</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（15分）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包括但不限于以下内容：</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1.详细阐述本项目存在的重难点问题；</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2.根据项目重难点，详细阐述对应的应对措施；</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3.提出初步的研究思路及解决方案；</w:t>
            </w: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（1）相关重难点分析、应对措施及相关合 理化建议内容全面。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（2）相关重难点分析、应对措施及相关合 理化建议内容具体。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（3）相关重难点分析、应对措施及相关合 理化建议内容科学合理。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（4）相关重难点分析、应对措施及相关合 理化建议内容针对性强。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（5）相关重难点分析、应对措施及相关合 理化建议内容可操作性强。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9分。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质量保障措施及方案</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lang w:val="en-US" w:eastAsia="zh-CN"/>
              </w:rPr>
              <w:t>10</w:t>
            </w:r>
            <w:r>
              <w:rPr>
                <w:rFonts w:hint="default" w:ascii="仿宋_GB2312" w:hAnsi="仿宋_GB2312" w:eastAsia="仿宋_GB2312" w:cs="仿宋_GB2312"/>
                <w:b w:val="0"/>
                <w:bCs/>
                <w:color w:val="auto"/>
                <w:sz w:val="24"/>
                <w:szCs w:val="24"/>
                <w:highlight w:val="none"/>
                <w:lang w:val="en-US" w:eastAsia="zh-CN"/>
              </w:rPr>
              <w:t>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 措施及</w:t>
            </w:r>
            <w:bookmarkStart w:id="9" w:name="_GoBack"/>
            <w:bookmarkEnd w:id="9"/>
            <w:r>
              <w:rPr>
                <w:rFonts w:hint="eastAsia" w:ascii="仿宋_GB2312" w:hAnsi="仿宋_GB2312" w:eastAsia="仿宋_GB2312" w:cs="仿宋_GB2312"/>
                <w:b w:val="0"/>
                <w:bCs/>
                <w:color w:val="auto"/>
                <w:sz w:val="24"/>
                <w:szCs w:val="24"/>
                <w:highlight w:val="none"/>
                <w:lang w:val="en-US" w:eastAsia="zh-CN"/>
              </w:rPr>
              <w:t>方案内容包括但不限于：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（1）质量保障措施及方案内容全面。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（2）质量保障措施及方案内容具体。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（3）质量保障措施及方案内容科学合理。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（4）质量保障措施及方案内容针对性强。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（5）质量保障措施及方案内容可操作性强。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4分。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5"/>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7"/>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auto"/>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74B3D"/>
    <w:multiLevelType w:val="singleLevel"/>
    <w:tmpl w:val="AFD74B3D"/>
    <w:lvl w:ilvl="0" w:tentative="0">
      <w:start w:val="1"/>
      <w:numFmt w:val="decimal"/>
      <w:suff w:val="nothing"/>
      <w:lvlText w:val="%1、"/>
      <w:lvlJc w:val="left"/>
    </w:lvl>
  </w:abstractNum>
  <w:abstractNum w:abstractNumId="1">
    <w:nsid w:val="3C7776AC"/>
    <w:multiLevelType w:val="singleLevel"/>
    <w:tmpl w:val="3C7776AC"/>
    <w:lvl w:ilvl="0" w:tentative="0">
      <w:start w:val="2"/>
      <w:numFmt w:val="decimal"/>
      <w:suff w:val="nothing"/>
      <w:lvlText w:val="%1、"/>
      <w:lvlJc w:val="left"/>
    </w:lvl>
  </w:abstractNum>
  <w:abstractNum w:abstractNumId="2">
    <w:nsid w:val="761DF66A"/>
    <w:multiLevelType w:val="singleLevel"/>
    <w:tmpl w:val="761DF66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Tk4Yzc0YjVkYjg1ZDU0MWQxYzk3N2U1MjExMjYifQ=="/>
  </w:docVars>
  <w:rsids>
    <w:rsidRoot w:val="00172A27"/>
    <w:rsid w:val="00675481"/>
    <w:rsid w:val="00F96DAA"/>
    <w:rsid w:val="01993D60"/>
    <w:rsid w:val="024A62FC"/>
    <w:rsid w:val="025365D0"/>
    <w:rsid w:val="041534A1"/>
    <w:rsid w:val="091F1C0E"/>
    <w:rsid w:val="09FA0496"/>
    <w:rsid w:val="0AD63AE0"/>
    <w:rsid w:val="0B204AB9"/>
    <w:rsid w:val="0D093B48"/>
    <w:rsid w:val="0D613984"/>
    <w:rsid w:val="147249AB"/>
    <w:rsid w:val="15321C5A"/>
    <w:rsid w:val="16704C38"/>
    <w:rsid w:val="174C70AF"/>
    <w:rsid w:val="175F4565"/>
    <w:rsid w:val="18145C05"/>
    <w:rsid w:val="182E3917"/>
    <w:rsid w:val="19C65FEC"/>
    <w:rsid w:val="1A2E1092"/>
    <w:rsid w:val="1BD52890"/>
    <w:rsid w:val="1C4A58A8"/>
    <w:rsid w:val="1D835251"/>
    <w:rsid w:val="1FC3400C"/>
    <w:rsid w:val="20A51EAE"/>
    <w:rsid w:val="22737F35"/>
    <w:rsid w:val="242157C3"/>
    <w:rsid w:val="24286ECC"/>
    <w:rsid w:val="251C73F2"/>
    <w:rsid w:val="25FA0A39"/>
    <w:rsid w:val="27A74A76"/>
    <w:rsid w:val="291160AF"/>
    <w:rsid w:val="29894760"/>
    <w:rsid w:val="2BC01D66"/>
    <w:rsid w:val="2E7B0073"/>
    <w:rsid w:val="2F67789D"/>
    <w:rsid w:val="2FCF1E38"/>
    <w:rsid w:val="30B023A9"/>
    <w:rsid w:val="334D2131"/>
    <w:rsid w:val="341E1D1F"/>
    <w:rsid w:val="347100A1"/>
    <w:rsid w:val="34E64EC5"/>
    <w:rsid w:val="357B722D"/>
    <w:rsid w:val="36B75B3C"/>
    <w:rsid w:val="388D2FD0"/>
    <w:rsid w:val="39E22233"/>
    <w:rsid w:val="3A836438"/>
    <w:rsid w:val="3CB306F8"/>
    <w:rsid w:val="3E320799"/>
    <w:rsid w:val="422C6665"/>
    <w:rsid w:val="424D331F"/>
    <w:rsid w:val="435F10A0"/>
    <w:rsid w:val="438A1650"/>
    <w:rsid w:val="440C2118"/>
    <w:rsid w:val="463C1F4C"/>
    <w:rsid w:val="46BA7686"/>
    <w:rsid w:val="48157ACC"/>
    <w:rsid w:val="4BB01057"/>
    <w:rsid w:val="4CA30BBC"/>
    <w:rsid w:val="4DC51EBB"/>
    <w:rsid w:val="4E462E2C"/>
    <w:rsid w:val="4EEF186B"/>
    <w:rsid w:val="4F4D689F"/>
    <w:rsid w:val="50EE61B9"/>
    <w:rsid w:val="528B637A"/>
    <w:rsid w:val="52FB0B43"/>
    <w:rsid w:val="532F2191"/>
    <w:rsid w:val="54723E94"/>
    <w:rsid w:val="55ED7BB1"/>
    <w:rsid w:val="59746C51"/>
    <w:rsid w:val="5BD8190D"/>
    <w:rsid w:val="5CB01C28"/>
    <w:rsid w:val="5DF81F64"/>
    <w:rsid w:val="5E980544"/>
    <w:rsid w:val="5EDA046D"/>
    <w:rsid w:val="5F9448BD"/>
    <w:rsid w:val="60AB56E6"/>
    <w:rsid w:val="61534507"/>
    <w:rsid w:val="61FD1D4F"/>
    <w:rsid w:val="68112812"/>
    <w:rsid w:val="69EC427B"/>
    <w:rsid w:val="6A5B7BB9"/>
    <w:rsid w:val="6B7C366B"/>
    <w:rsid w:val="6CFA6E95"/>
    <w:rsid w:val="6F5558EE"/>
    <w:rsid w:val="6FD767CA"/>
    <w:rsid w:val="6FDEDBAA"/>
    <w:rsid w:val="71EF273F"/>
    <w:rsid w:val="72991A9A"/>
    <w:rsid w:val="73B057E9"/>
    <w:rsid w:val="744C48FD"/>
    <w:rsid w:val="75475CD9"/>
    <w:rsid w:val="75B230F2"/>
    <w:rsid w:val="77EA626C"/>
    <w:rsid w:val="77F54A3A"/>
    <w:rsid w:val="78AB3E04"/>
    <w:rsid w:val="793F69B9"/>
    <w:rsid w:val="7A03159E"/>
    <w:rsid w:val="7D8DBA67"/>
    <w:rsid w:val="7DE034F5"/>
    <w:rsid w:val="7F6851CA"/>
    <w:rsid w:val="7FAC50B6"/>
    <w:rsid w:val="9F8FA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3">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Table Paragraph"/>
    <w:basedOn w:val="1"/>
    <w:qFormat/>
    <w:uiPriority w:val="1"/>
    <w:pPr>
      <w:autoSpaceDE w:val="0"/>
      <w:autoSpaceDN w:val="0"/>
      <w:adjustRightIn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29</Pages>
  <Words>8107</Words>
  <Characters>8425</Characters>
  <Lines>0</Lines>
  <Paragraphs>0</Paragraphs>
  <TotalTime>7</TotalTime>
  <ScaleCrop>false</ScaleCrop>
  <LinksUpToDate>false</LinksUpToDate>
  <CharactersWithSpaces>8446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李春朝</dc:creator>
  <cp:lastModifiedBy>lxy</cp:lastModifiedBy>
  <cp:lastPrinted>2024-05-14T22:49:00Z</cp:lastPrinted>
  <dcterms:modified xsi:type="dcterms:W3CDTF">2025-12-11T16:54:15Z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9009FBBF93D74C5EA6D8B6E4BC5F621E_13</vt:lpwstr>
  </property>
</Properties>
</file>