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项目</w:t>
      </w:r>
      <w:r>
        <w:rPr>
          <w:rFonts w:hint="eastAsia" w:ascii="方正小标宋简体" w:hAnsi="方正小标宋简体" w:eastAsia="方正小标宋简体" w:cs="方正小标宋简体"/>
          <w:b w:val="0"/>
          <w:bCs w:val="0"/>
          <w:sz w:val="44"/>
          <w:szCs w:val="44"/>
          <w:lang w:val="en-US" w:eastAsia="zh-CN"/>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jc w:val="both"/>
        <w:textAlignment w:val="auto"/>
        <w:rPr>
          <w:rFonts w:hint="eastAsia" w:ascii="黑体" w:hAnsi="黑体" w:eastAsia="黑体" w:cs="黑体"/>
          <w:bCs/>
          <w:color w:val="auto"/>
          <w:sz w:val="32"/>
          <w:szCs w:val="32"/>
          <w:highlight w:val="none"/>
          <w:lang w:eastAsia="zh-CN"/>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color w:val="auto"/>
          <w:highlight w:val="none"/>
          <w:lang w:eastAsia="zh-CN"/>
        </w:rPr>
      </w:pP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lang w:eastAsia="zh-CN"/>
        </w:rPr>
        <w:t>项目</w:t>
      </w:r>
      <w:r>
        <w:rPr>
          <w:rFonts w:hint="eastAsia" w:ascii="黑体" w:hAnsi="黑体" w:eastAsia="黑体" w:cs="黑体"/>
          <w:bCs/>
          <w:color w:val="auto"/>
          <w:sz w:val="32"/>
          <w:szCs w:val="32"/>
          <w:highlight w:val="none"/>
        </w:rPr>
        <w:t>目</w:t>
      </w:r>
      <w:r>
        <w:rPr>
          <w:rFonts w:hint="eastAsia" w:ascii="黑体" w:hAnsi="黑体" w:eastAsia="黑体" w:cs="黑体"/>
          <w:bCs/>
          <w:color w:val="auto"/>
          <w:sz w:val="32"/>
          <w:szCs w:val="32"/>
          <w:highlight w:val="none"/>
          <w:lang w:eastAsia="zh-CN"/>
        </w:rPr>
        <w:t>标</w:t>
      </w:r>
    </w:p>
    <w:p>
      <w:pPr>
        <w:spacing w:line="560" w:lineRule="exact"/>
        <w:ind w:firstLine="640" w:firstLineChars="200"/>
        <w:rPr>
          <w:rFonts w:hint="eastAsia"/>
          <w:lang w:val="en-US" w:eastAsia="zh-CN"/>
        </w:rPr>
      </w:pPr>
      <w:r>
        <w:rPr>
          <w:rFonts w:hint="eastAsia" w:ascii="仿宋_GB2312" w:hAnsi="仿宋" w:eastAsia="仿宋_GB2312" w:cs="Times New Roman"/>
          <w:sz w:val="32"/>
          <w:szCs w:val="32"/>
          <w:lang w:val="en-US" w:eastAsia="zh-Hans"/>
        </w:rPr>
        <w:t>根据《龙华区文化体育事业发展第十四个五年规划》</w:t>
      </w:r>
      <w:r>
        <w:rPr>
          <w:rFonts w:hint="eastAsia" w:ascii="仿宋_GB2312" w:hAnsi="仿宋" w:eastAsia="仿宋_GB2312" w:cs="Times New Roman"/>
          <w:sz w:val="32"/>
          <w:szCs w:val="32"/>
          <w:lang w:val="en-US" w:eastAsia="zh-CN"/>
        </w:rPr>
        <w:t>要求，十四五时期龙华应</w:t>
      </w:r>
      <w:r>
        <w:rPr>
          <w:rFonts w:hint="eastAsia" w:ascii="仿宋_GB2312" w:eastAsia="仿宋_GB2312"/>
          <w:sz w:val="32"/>
          <w:szCs w:val="32"/>
          <w:lang w:val="en-US" w:eastAsia="zh-Hans"/>
        </w:rPr>
        <w:t>建成高质量文化服务标杆城区</w:t>
      </w:r>
      <w:r>
        <w:rPr>
          <w:rFonts w:hint="default" w:ascii="仿宋_GB2312" w:eastAsia="仿宋_GB2312"/>
          <w:sz w:val="32"/>
          <w:szCs w:val="32"/>
          <w:lang w:eastAsia="zh-Hans"/>
        </w:rPr>
        <w:t>，</w:t>
      </w:r>
      <w:r>
        <w:rPr>
          <w:rFonts w:hint="eastAsia" w:ascii="仿宋_GB2312" w:eastAsia="仿宋_GB2312"/>
          <w:sz w:val="32"/>
          <w:szCs w:val="32"/>
          <w:lang w:val="en-US" w:eastAsia="zh-Hans"/>
        </w:rPr>
        <w:t>塑</w:t>
      </w:r>
      <w:r>
        <w:rPr>
          <w:rFonts w:hint="eastAsia" w:ascii="仿宋_GB2312" w:eastAsia="仿宋_GB2312"/>
          <w:sz w:val="32"/>
          <w:szCs w:val="32"/>
          <w:lang w:val="en-US" w:eastAsia="zh-CN"/>
        </w:rPr>
        <w:t>造</w:t>
      </w:r>
      <w:r>
        <w:rPr>
          <w:rFonts w:hint="eastAsia" w:ascii="仿宋_GB2312" w:eastAsia="仿宋_GB2312"/>
          <w:sz w:val="32"/>
          <w:szCs w:val="32"/>
          <w:lang w:val="en-US" w:eastAsia="zh-Hans"/>
        </w:rPr>
        <w:t>惠民文化活动品牌</w:t>
      </w:r>
      <w:r>
        <w:rPr>
          <w:rFonts w:hint="default" w:ascii="仿宋_GB2312" w:eastAsia="仿宋_GB2312"/>
          <w:sz w:val="32"/>
          <w:szCs w:val="32"/>
          <w:lang w:eastAsia="zh-Hans"/>
        </w:rPr>
        <w:t>，</w:t>
      </w:r>
      <w:r>
        <w:rPr>
          <w:rFonts w:hint="eastAsia" w:ascii="仿宋_GB2312" w:eastAsia="仿宋_GB2312"/>
          <w:bCs/>
          <w:sz w:val="32"/>
          <w:szCs w:val="32"/>
          <w:highlight w:val="none"/>
        </w:rPr>
        <w:t>全力推进品质惠民</w:t>
      </w:r>
      <w:r>
        <w:rPr>
          <w:rFonts w:hint="eastAsia" w:ascii="仿宋_GB2312" w:eastAsia="仿宋_GB2312"/>
          <w:bCs/>
          <w:sz w:val="32"/>
          <w:szCs w:val="32"/>
          <w:highlight w:val="none"/>
          <w:lang w:eastAsia="zh-CN"/>
        </w:rPr>
        <w:t>活动</w:t>
      </w:r>
      <w:r>
        <w:rPr>
          <w:rFonts w:hint="eastAsia" w:ascii="仿宋_GB2312" w:eastAsia="仿宋_GB2312"/>
          <w:bCs/>
          <w:sz w:val="32"/>
          <w:szCs w:val="32"/>
          <w:highlight w:val="none"/>
        </w:rPr>
        <w:t>，持续引进高端精品演出剧目</w:t>
      </w:r>
      <w:r>
        <w:rPr>
          <w:rFonts w:hint="default" w:ascii="仿宋_GB2312" w:eastAsia="仿宋_GB2312"/>
          <w:bCs/>
          <w:sz w:val="32"/>
          <w:szCs w:val="32"/>
          <w:highlight w:val="none"/>
          <w:lang w:eastAsia="zh-Hans"/>
        </w:rPr>
        <w:t>，推进高雅艺术进龙华、进社区，将高品质文化活动送到居民家门口。</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color w:val="auto"/>
          <w:highlight w:val="none"/>
        </w:rPr>
      </w:pP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rPr>
        <w:t>时间安排</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仿宋_GB2312" w:hAnsi="仿宋_GB2312" w:eastAsia="仿宋_GB2312" w:cs="仿宋_GB2312"/>
          <w:color w:val="auto"/>
          <w:sz w:val="32"/>
          <w:szCs w:val="36"/>
          <w:highlight w:val="none"/>
          <w:lang w:val="en-US" w:eastAsia="zh-CN"/>
        </w:rPr>
      </w:pPr>
      <w:r>
        <w:rPr>
          <w:rFonts w:hint="eastAsia" w:ascii="仿宋_GB2312" w:hAnsi="仿宋_GB2312" w:eastAsia="仿宋_GB2312" w:cs="仿宋_GB2312"/>
          <w:color w:val="auto"/>
          <w:sz w:val="32"/>
          <w:szCs w:val="36"/>
          <w:highlight w:val="none"/>
          <w:lang w:val="en-US" w:eastAsia="zh-CN"/>
        </w:rPr>
        <w:t>2024年9月（暂定）</w:t>
      </w:r>
    </w:p>
    <w:p>
      <w:pPr>
        <w:keepNext w:val="0"/>
        <w:keepLines w:val="0"/>
        <w:pageBreakBefore w:val="0"/>
        <w:widowControl/>
        <w:numPr>
          <w:ilvl w:val="0"/>
          <w:numId w:val="1"/>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演出地点</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演出地点：开心麻花剧场</w:t>
      </w:r>
      <w:r>
        <w:rPr>
          <w:rFonts w:hint="eastAsia" w:ascii="仿宋_GB2312" w:hAnsi="仿宋_GB2312" w:eastAsia="仿宋_GB2312" w:cs="仿宋_GB2312"/>
          <w:color w:val="auto"/>
          <w:sz w:val="32"/>
          <w:szCs w:val="36"/>
          <w:highlight w:val="none"/>
          <w:lang w:val="en-US" w:eastAsia="zh-CN"/>
        </w:rPr>
        <w:t>（暂定）</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lang w:eastAsia="zh-CN"/>
        </w:rPr>
        <w:t>项目</w:t>
      </w:r>
      <w:r>
        <w:rPr>
          <w:rFonts w:hint="eastAsia" w:ascii="黑体" w:hAnsi="黑体" w:eastAsia="黑体" w:cs="黑体"/>
          <w:b w:val="0"/>
          <w:bCs/>
          <w:color w:val="auto"/>
          <w:sz w:val="32"/>
          <w:szCs w:val="32"/>
          <w:highlight w:val="none"/>
        </w:rPr>
        <w:t>内容</w:t>
      </w:r>
      <w:r>
        <w:rPr>
          <w:rFonts w:hint="eastAsia" w:ascii="黑体" w:hAnsi="黑体" w:eastAsia="黑体" w:cs="黑体"/>
          <w:b w:val="0"/>
          <w:bCs/>
          <w:color w:val="auto"/>
          <w:sz w:val="32"/>
          <w:szCs w:val="32"/>
          <w:highlight w:val="none"/>
          <w:lang w:val="en-US" w:eastAsia="zh-CN"/>
        </w:rPr>
        <w:t>及要求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活动内容：</w:t>
      </w:r>
      <w:r>
        <w:rPr>
          <w:rFonts w:hint="eastAsia" w:ascii="仿宋_GB2312" w:eastAsia="仿宋_GB2312"/>
          <w:color w:val="auto"/>
          <w:sz w:val="32"/>
          <w:szCs w:val="32"/>
          <w:lang w:val="en-US" w:eastAsia="zh-CN"/>
        </w:rPr>
        <w:t>拟开展</w:t>
      </w:r>
      <w:r>
        <w:rPr>
          <w:rFonts w:hint="eastAsia" w:ascii="仿宋_GB2312" w:hAnsi="仿宋_GB2312" w:eastAsia="仿宋_GB2312" w:cs="仿宋_GB2312"/>
          <w:color w:val="auto"/>
          <w:sz w:val="32"/>
          <w:szCs w:val="32"/>
          <w:highlight w:val="none"/>
          <w:lang w:val="en-US" w:eastAsia="zh-CN"/>
        </w:rPr>
        <w:t>1场《倩女幽魂》题材的粤剧演出活动</w:t>
      </w:r>
      <w:r>
        <w:rPr>
          <w:rFonts w:hint="eastAsia" w:ascii="仿宋_GB2312" w:eastAsia="仿宋_GB2312"/>
          <w:color w:val="auto"/>
          <w:sz w:val="32"/>
          <w:szCs w:val="32"/>
          <w:lang w:eastAsia="zh-CN"/>
        </w:rPr>
        <w:t>，</w:t>
      </w:r>
      <w:r>
        <w:rPr>
          <w:rFonts w:hint="eastAsia" w:ascii="仿宋_GB2312" w:eastAsia="仿宋_GB2312"/>
          <w:color w:val="auto"/>
          <w:sz w:val="32"/>
          <w:szCs w:val="32"/>
        </w:rPr>
        <w:t>为龙华居民带来更高质量的优秀文艺作品，为更多市民群众带来更多高水平高质量的戏剧欣赏活动</w:t>
      </w:r>
      <w:r>
        <w:rPr>
          <w:rFonts w:hint="eastAsia" w:ascii="仿宋_GB2312" w:eastAsia="仿宋_GB2312"/>
          <w:color w:val="auto"/>
          <w:sz w:val="32"/>
          <w:szCs w:val="32"/>
          <w:lang w:eastAsia="zh-CN"/>
        </w:rPr>
        <w:t>。</w:t>
      </w:r>
    </w:p>
    <w:p>
      <w:pPr>
        <w:pStyle w:val="2"/>
        <w:keepNext w:val="0"/>
        <w:keepLines w:val="0"/>
        <w:pageBreakBefore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具体要求</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1.负责剧目排期、</w:t>
      </w:r>
      <w:r>
        <w:rPr>
          <w:rFonts w:hint="eastAsia" w:ascii="仿宋_GB2312" w:hAnsi="仿宋_GB2312" w:eastAsia="仿宋_GB2312" w:cs="仿宋_GB2312"/>
          <w:sz w:val="32"/>
          <w:szCs w:val="32"/>
          <w:lang w:val="en-US" w:eastAsia="zh-Hans"/>
        </w:rPr>
        <w:t>每场</w:t>
      </w:r>
      <w:r>
        <w:rPr>
          <w:rFonts w:hint="eastAsia" w:ascii="仿宋_GB2312" w:hAnsi="仿宋_GB2312" w:eastAsia="仿宋_GB2312" w:cs="仿宋_GB2312"/>
          <w:sz w:val="32"/>
          <w:szCs w:val="32"/>
          <w:lang w:val="en-US" w:eastAsia="zh-CN"/>
        </w:rPr>
        <w:t>不少于50位演职人员邀请、演员接洽等相关活动，确保现场人员的安全，保障活动顺利开展；</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2.负责场地的租赁、预约、现场演出舞台及舞美的设计和搭建；策划具体的执行方案，完成现场执行工作，组织演出活动的开展；</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3.负责演出所需的线上宣传物料、线下活动物料的设计制作，包括但不限于主视觉背景、海报、节目单、门票等；完成演出现场布置、相关物料采购及物料运输等；</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4.负责演出现场所需设备和</w:t>
      </w:r>
      <w:r>
        <w:rPr>
          <w:rFonts w:hint="eastAsia" w:ascii="仿宋_GB2312" w:hAnsi="仿宋_GB2312" w:eastAsia="仿宋_GB2312" w:cs="仿宋_GB2312"/>
          <w:sz w:val="32"/>
          <w:szCs w:val="32"/>
          <w:highlight w:val="none"/>
          <w:lang w:val="en-US" w:eastAsia="zh-Hans"/>
        </w:rPr>
        <w:t>相关</w:t>
      </w:r>
      <w:r>
        <w:rPr>
          <w:rFonts w:hint="eastAsia" w:ascii="仿宋_GB2312" w:hAnsi="仿宋_GB2312" w:eastAsia="仿宋_GB2312" w:cs="仿宋_GB2312"/>
          <w:sz w:val="32"/>
          <w:szCs w:val="32"/>
          <w:highlight w:val="none"/>
          <w:lang w:val="en-US" w:eastAsia="zh-CN"/>
        </w:rPr>
        <w:t>器材的租赁和使用。</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5.负责各剧目演出线上及线下的统筹和组织工作，确保活动顺利开展；</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6.负责所有的活动的媒体宣传及活动存档等；</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7.负责所有</w:t>
      </w:r>
      <w:r>
        <w:rPr>
          <w:rFonts w:hint="eastAsia" w:ascii="仿宋_GB2312" w:hAnsi="仿宋_GB2312" w:eastAsia="仿宋_GB2312" w:cs="仿宋_GB2312"/>
          <w:sz w:val="32"/>
          <w:szCs w:val="32"/>
          <w:lang w:val="en-US" w:eastAsia="zh-Hans"/>
        </w:rPr>
        <w:t>演职人员</w:t>
      </w:r>
      <w:r>
        <w:rPr>
          <w:rFonts w:hint="eastAsia" w:ascii="仿宋_GB2312" w:hAnsi="仿宋_GB2312" w:eastAsia="仿宋_GB2312" w:cs="仿宋_GB2312"/>
          <w:sz w:val="32"/>
          <w:szCs w:val="32"/>
          <w:lang w:val="en-US" w:eastAsia="zh-CN"/>
        </w:rPr>
        <w:t>交通、就餐、住宿；</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8.由于供应商原因造成演出物料</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Hans"/>
        </w:rPr>
        <w:t>演出质量</w:t>
      </w:r>
      <w:r>
        <w:rPr>
          <w:rFonts w:hint="eastAsia" w:ascii="仿宋_GB2312" w:hAnsi="仿宋_GB2312" w:eastAsia="仿宋_GB2312" w:cs="仿宋_GB2312"/>
          <w:sz w:val="32"/>
          <w:szCs w:val="32"/>
          <w:lang w:val="en-US" w:eastAsia="zh-CN"/>
        </w:rPr>
        <w:t>等质量低劣，不能满足甲方要求时，应继续完善相关工作，其费用由乙方承担；</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Hans"/>
        </w:rPr>
        <w:t>本次活动的物料以及图文资料所有权归属</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lang w:val="en-US" w:eastAsia="zh-Hans"/>
        </w:rPr>
        <w:t>龙华区</w:t>
      </w:r>
      <w:r>
        <w:rPr>
          <w:rFonts w:hint="eastAsia" w:ascii="仿宋_GB2312" w:hAnsi="仿宋_GB2312" w:eastAsia="仿宋_GB2312" w:cs="仿宋_GB2312"/>
          <w:sz w:val="32"/>
          <w:szCs w:val="32"/>
          <w:lang w:val="en-US" w:eastAsia="zh-CN"/>
        </w:rPr>
        <w:t>文化广电旅游体育局</w:t>
      </w:r>
      <w:r>
        <w:rPr>
          <w:rFonts w:hint="eastAsia" w:ascii="仿宋_GB2312" w:hAnsi="仿宋_GB2312" w:eastAsia="仿宋_GB2312" w:cs="仿宋_GB2312"/>
          <w:sz w:val="32"/>
          <w:szCs w:val="32"/>
          <w:lang w:val="en-US" w:eastAsia="zh-Hans"/>
        </w:rPr>
        <w:t>所有</w:t>
      </w:r>
      <w:r>
        <w:rPr>
          <w:rFonts w:hint="eastAsia" w:ascii="仿宋_GB2312" w:hAnsi="仿宋_GB2312" w:eastAsia="仿宋_GB2312" w:cs="仿宋_GB2312"/>
          <w:sz w:val="32"/>
          <w:szCs w:val="32"/>
          <w:lang w:eastAsia="zh-Hans"/>
        </w:rPr>
        <w:t>；</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10.</w:t>
      </w:r>
      <w:r>
        <w:rPr>
          <w:rFonts w:hint="eastAsia" w:ascii="仿宋_GB2312" w:hAnsi="仿宋_GB2312" w:eastAsia="仿宋_GB2312" w:cs="仿宋_GB2312"/>
          <w:sz w:val="32"/>
          <w:szCs w:val="32"/>
          <w:lang w:val="en-US" w:eastAsia="zh-Hans"/>
        </w:rPr>
        <w:t>本次活动</w:t>
      </w:r>
      <w:r>
        <w:rPr>
          <w:rFonts w:hint="eastAsia" w:ascii="仿宋_GB2312" w:hAnsi="仿宋_GB2312" w:eastAsia="仿宋_GB2312" w:cs="仿宋_GB2312"/>
          <w:sz w:val="32"/>
          <w:szCs w:val="32"/>
          <w:lang w:val="en-US" w:eastAsia="zh-CN"/>
        </w:rPr>
        <w:t>需由</w:t>
      </w:r>
      <w:r>
        <w:rPr>
          <w:rFonts w:hint="eastAsia" w:ascii="仿宋_GB2312" w:hAnsi="仿宋_GB2312" w:eastAsia="仿宋_GB2312" w:cs="仿宋_GB2312"/>
          <w:sz w:val="32"/>
          <w:szCs w:val="32"/>
          <w:lang w:val="en-US" w:eastAsia="zh-Hans"/>
        </w:rPr>
        <w:t>供应商购买活动保险</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包含各演职人员</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观众</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演出设备等</w:t>
      </w:r>
      <w:r>
        <w:rPr>
          <w:rFonts w:hint="eastAsia" w:ascii="仿宋_GB2312" w:hAnsi="仿宋_GB2312" w:eastAsia="仿宋_GB2312" w:cs="仿宋_GB2312"/>
          <w:sz w:val="32"/>
          <w:szCs w:val="32"/>
          <w:lang w:eastAsia="zh-Hans"/>
        </w:rPr>
        <w:t>；</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 w:eastAsia="仿宋_GB2312" w:cs="仿宋"/>
          <w:color w:val="auto"/>
          <w:sz w:val="32"/>
          <w:szCs w:val="32"/>
          <w:highlight w:val="none"/>
          <w:lang w:val="en-US" w:eastAsia="zh-CN"/>
        </w:rPr>
      </w:pPr>
      <w:r>
        <w:rPr>
          <w:rFonts w:hint="eastAsia" w:ascii="仿宋_GB2312" w:hAnsi="仿宋_GB2312" w:eastAsia="仿宋_GB2312" w:cs="仿宋_GB2312"/>
          <w:sz w:val="32"/>
          <w:szCs w:val="32"/>
          <w:lang w:eastAsia="zh-Hans"/>
        </w:rPr>
        <w:t>11</w:t>
      </w:r>
      <w:r>
        <w:rPr>
          <w:rFonts w:hint="eastAsia" w:ascii="仿宋_GB2312" w:hAnsi="仿宋_GB2312" w:eastAsia="仿宋_GB2312" w:cs="仿宋_GB2312"/>
          <w:sz w:val="32"/>
          <w:szCs w:val="32"/>
          <w:lang w:val="en-US" w:eastAsia="zh-Hans"/>
        </w:rPr>
        <w:t>.供应商负责演职人员安全保护责任</w:t>
      </w:r>
      <w:r>
        <w:rPr>
          <w:rFonts w:hint="eastAsia" w:ascii="仿宋_GB2312" w:hAnsi="仿宋_GB2312" w:eastAsia="仿宋_GB2312" w:cs="仿宋_GB2312"/>
          <w:sz w:val="32"/>
          <w:szCs w:val="32"/>
          <w:lang w:eastAsia="zh-Hans"/>
        </w:rPr>
        <w:t>。</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pStyle w:val="2"/>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26.40万元</w:t>
      </w:r>
      <w:r>
        <w:rPr>
          <w:rFonts w:hint="default" w:ascii="仿宋_GB2312" w:hAnsi="仿宋_GB2312" w:eastAsia="仿宋_GB2312" w:cs="仿宋_GB2312"/>
          <w:color w:val="auto"/>
          <w:sz w:val="32"/>
          <w:szCs w:val="32"/>
          <w:highlight w:val="none"/>
          <w:lang w:val="en-US" w:eastAsia="zh-CN"/>
        </w:rPr>
        <w:t>，其中各单项报价不得超过对应限额</w:t>
      </w:r>
    </w:p>
    <w:tbl>
      <w:tblPr>
        <w:tblStyle w:val="8"/>
        <w:tblW w:w="8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3"/>
        <w:gridCol w:w="1223"/>
        <w:gridCol w:w="1868"/>
        <w:gridCol w:w="951"/>
        <w:gridCol w:w="601"/>
        <w:gridCol w:w="894"/>
        <w:gridCol w:w="2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类别</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单价</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单位</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数量</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eastAsia="zh-CN"/>
              </w:rPr>
            </w:pPr>
            <w:r>
              <w:rPr>
                <w:rFonts w:hint="default" w:ascii="仿宋_GB2312" w:hAnsi="宋体" w:eastAsia="仿宋_GB2312" w:cs="仿宋_GB2312"/>
                <w:i w:val="0"/>
                <w:color w:val="000000"/>
                <w:kern w:val="0"/>
                <w:sz w:val="24"/>
                <w:szCs w:val="24"/>
                <w:u w:val="none"/>
                <w:lang w:val="en-US" w:eastAsia="zh-CN" w:bidi="ar"/>
              </w:rPr>
              <w:t>金额</w:t>
            </w:r>
            <w:r>
              <w:rPr>
                <w:rFonts w:hint="eastAsia" w:ascii="仿宋_GB2312" w:hAnsi="宋体" w:eastAsia="仿宋_GB2312" w:cs="仿宋_GB2312"/>
                <w:i w:val="0"/>
                <w:color w:val="000000"/>
                <w:kern w:val="0"/>
                <w:sz w:val="24"/>
                <w:szCs w:val="24"/>
                <w:u w:val="none"/>
                <w:lang w:val="en-US" w:eastAsia="zh-CN" w:bidi="ar"/>
              </w:rPr>
              <w:t>（元）</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演出费</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210000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包含不少于50位演职人员出演、住宿费、交通费（城际、市内）、道具车、执行工作人员、现场技术人员、餐饮费等演出期间的相关费用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1"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租赁</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包含演出场地租赁费固定20000元、装台及拆台产生的场地时间占用费4000元（以实际为准）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舞台搭建置景</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含舞台搭建、拆装费，负责演出前后装台以及装卸道具等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1"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物料</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场</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包含背景板、海报、节目单、纸质票、工作证等相关费用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保险费</w:t>
            </w:r>
          </w:p>
        </w:tc>
        <w:tc>
          <w:tcPr>
            <w:tcW w:w="1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包含现场所有演出人员保险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47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计</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26</w:t>
            </w:r>
            <w:r>
              <w:rPr>
                <w:rFonts w:hint="eastAsia" w:ascii="仿宋_GB2312" w:hAnsi="宋体" w:eastAsia="仿宋_GB2312" w:cs="仿宋_GB2312"/>
                <w:i w:val="0"/>
                <w:color w:val="000000"/>
                <w:kern w:val="0"/>
                <w:sz w:val="24"/>
                <w:szCs w:val="24"/>
                <w:u w:val="none"/>
                <w:lang w:val="en-US" w:eastAsia="zh-CN" w:bidi="ar"/>
              </w:rPr>
              <w:t>4</w:t>
            </w:r>
            <w:r>
              <w:rPr>
                <w:rFonts w:hint="default" w:ascii="仿宋_GB2312" w:hAnsi="宋体" w:eastAsia="仿宋_GB2312" w:cs="仿宋_GB2312"/>
                <w:i w:val="0"/>
                <w:color w:val="000000"/>
                <w:kern w:val="0"/>
                <w:sz w:val="24"/>
                <w:szCs w:val="24"/>
                <w:u w:val="none"/>
                <w:lang w:val="en-US" w:eastAsia="zh-CN" w:bidi="ar"/>
              </w:rPr>
              <w:t>000</w:t>
            </w:r>
          </w:p>
        </w:tc>
        <w:tc>
          <w:tcPr>
            <w:tcW w:w="2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kern w:val="0"/>
                <w:sz w:val="24"/>
                <w:szCs w:val="24"/>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2"/>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评分权重</w:t>
      </w:r>
    </w:p>
    <w:tbl>
      <w:tblPr>
        <w:tblStyle w:val="8"/>
        <w:tblW w:w="8755"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46"/>
        <w:gridCol w:w="24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30分</w:t>
            </w:r>
          </w:p>
        </w:tc>
      </w:tr>
    </w:tbl>
    <w:p>
      <w:pPr>
        <w:pStyle w:val="12"/>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val="0"/>
          <w:bCs/>
          <w:color w:val="000000"/>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8"/>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3628"/>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69"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82"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同类项目经验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3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具有</w:t>
            </w:r>
            <w:r>
              <w:rPr>
                <w:rFonts w:hint="eastAsia" w:ascii="仿宋_GB2312" w:hAnsi="仿宋_GB2312" w:eastAsia="仿宋_GB2312" w:cs="仿宋_GB2312"/>
                <w:b w:val="0"/>
                <w:bCs/>
                <w:color w:val="auto"/>
                <w:sz w:val="24"/>
                <w:szCs w:val="24"/>
                <w:highlight w:val="none"/>
                <w:lang w:val="en-US" w:eastAsia="zh-CN"/>
              </w:rPr>
              <w:t>承接类似项目</w:t>
            </w:r>
            <w:r>
              <w:rPr>
                <w:rFonts w:hint="eastAsia" w:ascii="仿宋_GB2312" w:hAnsi="仿宋_GB2312" w:eastAsia="仿宋_GB2312" w:cs="仿宋_GB2312"/>
                <w:b w:val="0"/>
                <w:bCs/>
                <w:color w:val="auto"/>
                <w:sz w:val="24"/>
                <w:szCs w:val="24"/>
                <w:highlight w:val="none"/>
                <w:lang w:eastAsia="zh-CN"/>
              </w:rPr>
              <w:t>的丰富经验</w:t>
            </w:r>
            <w:r>
              <w:rPr>
                <w:rFonts w:hint="eastAsia" w:ascii="仿宋_GB2312" w:hAnsi="仿宋_GB2312" w:eastAsia="仿宋_GB2312" w:cs="仿宋_GB2312"/>
                <w:b w:val="0"/>
                <w:bCs/>
                <w:color w:val="auto"/>
                <w:sz w:val="24"/>
                <w:szCs w:val="24"/>
                <w:highlight w:val="none"/>
                <w:lang w:val="en-US" w:eastAsia="zh-CN"/>
              </w:rPr>
              <w:t>，提供至少1个演出类活动合同关键页；</w:t>
            </w:r>
            <w:r>
              <w:rPr>
                <w:rFonts w:hint="eastAsia" w:ascii="仿宋_GB2312" w:hAnsi="仿宋_GB2312" w:eastAsia="仿宋_GB2312" w:cs="仿宋_GB2312"/>
                <w:b w:val="0"/>
                <w:bCs/>
                <w:color w:val="auto"/>
                <w:sz w:val="24"/>
                <w:szCs w:val="24"/>
                <w:highlight w:val="none"/>
              </w:rPr>
              <w:t>每提供一项以往</w:t>
            </w:r>
            <w:r>
              <w:rPr>
                <w:rFonts w:hint="eastAsia" w:ascii="仿宋_GB2312" w:hAnsi="仿宋_GB2312" w:eastAsia="仿宋_GB2312" w:cs="仿宋_GB2312"/>
                <w:b w:val="0"/>
                <w:bCs/>
                <w:color w:val="auto"/>
                <w:sz w:val="24"/>
                <w:szCs w:val="24"/>
                <w:highlight w:val="none"/>
                <w:lang w:eastAsia="zh-CN"/>
              </w:rPr>
              <w:t>同类</w:t>
            </w:r>
            <w:r>
              <w:rPr>
                <w:rFonts w:hint="eastAsia" w:ascii="仿宋_GB2312" w:hAnsi="仿宋_GB2312" w:eastAsia="仿宋_GB2312" w:cs="仿宋_GB2312"/>
                <w:b w:val="0"/>
                <w:bCs/>
                <w:color w:val="auto"/>
                <w:sz w:val="24"/>
                <w:szCs w:val="24"/>
                <w:highlight w:val="none"/>
              </w:rPr>
              <w:t>项目</w:t>
            </w:r>
            <w:r>
              <w:rPr>
                <w:rFonts w:hint="eastAsia" w:ascii="仿宋_GB2312" w:hAnsi="仿宋_GB2312" w:eastAsia="仿宋_GB2312" w:cs="仿宋_GB2312"/>
                <w:b w:val="0"/>
                <w:bCs/>
                <w:color w:val="auto"/>
                <w:sz w:val="24"/>
                <w:szCs w:val="24"/>
                <w:highlight w:val="none"/>
                <w:lang w:val="en-US" w:eastAsia="zh-CN"/>
              </w:rPr>
              <w:t>证明材料</w:t>
            </w:r>
            <w:r>
              <w:rPr>
                <w:rFonts w:hint="eastAsia" w:ascii="仿宋_GB2312" w:hAnsi="仿宋_GB2312" w:eastAsia="仿宋_GB2312" w:cs="仿宋_GB2312"/>
                <w:b w:val="0"/>
                <w:bCs/>
                <w:color w:val="auto"/>
                <w:sz w:val="24"/>
                <w:szCs w:val="24"/>
                <w:highlight w:val="none"/>
              </w:rPr>
              <w:t>得</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本项最高得分为</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rPr>
              <w:t>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提供往期活动合同关键页</w:t>
            </w:r>
            <w:r>
              <w:rPr>
                <w:rFonts w:hint="eastAsia" w:ascii="仿宋_GB2312" w:hAnsi="仿宋_GB2312" w:eastAsia="仿宋_GB2312" w:cs="仿宋_GB2312"/>
                <w:b w:val="0"/>
                <w:bCs/>
                <w:color w:val="auto"/>
                <w:sz w:val="24"/>
                <w:szCs w:val="24"/>
                <w:highlight w:val="none"/>
                <w:lang w:eastAsia="zh-CN"/>
              </w:rPr>
              <w:t>佐证材料。（同个合作方、同个项目续签不累计加分）</w:t>
            </w:r>
            <w:r>
              <w:rPr>
                <w:rFonts w:hint="eastAsia" w:ascii="仿宋_GB2312" w:hAnsi="仿宋_GB2312" w:eastAsia="仿宋_GB2312" w:cs="仿宋_GB2312"/>
                <w:b w:val="0"/>
                <w:bCs/>
                <w:color w:val="auto"/>
                <w:sz w:val="24"/>
                <w:szCs w:val="24"/>
                <w:highlight w:val="none"/>
                <w:lang w:val="en-US" w:eastAsia="zh-CN"/>
              </w:rPr>
              <w:t>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拟安排的项目团队成员情况（</w:t>
            </w:r>
            <w:r>
              <w:rPr>
                <w:rFonts w:hint="eastAsia" w:ascii="仿宋_GB2312" w:hAnsi="仿宋_GB2312" w:eastAsia="仿宋_GB2312" w:cs="仿宋_GB2312"/>
                <w:b w:val="0"/>
                <w:bCs/>
                <w:color w:val="auto"/>
                <w:sz w:val="24"/>
                <w:szCs w:val="24"/>
                <w:highlight w:val="none"/>
                <w:lang w:val="en-US" w:eastAsia="zh-CN"/>
              </w:rPr>
              <w:t>5分）</w:t>
            </w:r>
          </w:p>
        </w:tc>
        <w:tc>
          <w:tcPr>
            <w:tcW w:w="3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1.具备艺术相关专业大专或以上学历的，每提供一个得1分，最高得2分；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2.团队成员参与过艺术类经验的，每提供团队人员参与的项目经验的，得1分，最高得3分。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以上两项同一人可累计得分，两项累计总分最高得5分。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1.提供项目团队成员学位证书、毕业证书（须体现专业类别）扫描件或复印件；提供类似经验合作证明或相关资料，扫描件或复印件。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2.未提供证明材料或者提供的证明材料不符合要求或提供的证明材料不清晰评委无法辨认的，不得分。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诚信评价（</w:t>
            </w:r>
            <w:r>
              <w:rPr>
                <w:rFonts w:hint="eastAsia" w:ascii="仿宋_GB2312" w:hAnsi="仿宋_GB2312" w:eastAsia="仿宋_GB2312" w:cs="仿宋_GB2312"/>
                <w:b w:val="0"/>
                <w:bCs/>
                <w:color w:val="auto"/>
                <w:sz w:val="24"/>
                <w:szCs w:val="24"/>
                <w:highlight w:val="none"/>
                <w:lang w:val="en-US" w:eastAsia="zh-CN"/>
              </w:rPr>
              <w:t>5分</w:t>
            </w:r>
            <w:r>
              <w:rPr>
                <w:rFonts w:hint="eastAsia" w:ascii="仿宋_GB2312" w:hAnsi="仿宋_GB2312" w:eastAsia="仿宋_GB2312" w:cs="仿宋_GB2312"/>
                <w:b w:val="0"/>
                <w:bCs/>
                <w:color w:val="auto"/>
                <w:sz w:val="24"/>
                <w:szCs w:val="24"/>
                <w:highlight w:val="none"/>
                <w:lang w:eastAsia="zh-CN"/>
              </w:rPr>
              <w:t>）</w:t>
            </w:r>
          </w:p>
        </w:tc>
        <w:tc>
          <w:tcPr>
            <w:tcW w:w="3628" w:type="dxa"/>
            <w:noWrap w:val="0"/>
            <w:vAlign w:val="center"/>
          </w:tcPr>
          <w:p>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投标人在参与政府采购活动中不存在诚信相关问题且不在主管部门相关处理措施实施期限内的。</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提供《诚信承诺函》得5分，未提供不得分。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6"/>
                <w:szCs w:val="26"/>
                <w:u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服务承诺书和违约承诺书（5分）</w:t>
            </w:r>
          </w:p>
        </w:tc>
        <w:tc>
          <w:tcPr>
            <w:tcW w:w="362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根据对项目的理解及自身管理经验，提出项目完成的服务承诺与违约承诺。</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提供《服务承诺函》和《违约承诺函》得5分，提供1项得2.5分，未提供不得分。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8"/>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17"/>
        <w:gridCol w:w="3617"/>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53" w:type="dxa"/>
            <w:gridSpan w:val="3"/>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98" w:type="dxa"/>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8"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技术能力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p>
        </w:tc>
        <w:tc>
          <w:tcPr>
            <w:tcW w:w="11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实施方案（20分）</w:t>
            </w:r>
          </w:p>
        </w:tc>
        <w:tc>
          <w:tcPr>
            <w:tcW w:w="3617"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根据项目特点，针对活动定位、活动内容、执行方案、演出资源优势等要点进行项目整体设想和策划，编制实施方案。</w:t>
            </w:r>
          </w:p>
          <w:p>
            <w:pPr>
              <w:pStyle w:val="2"/>
              <w:ind w:left="0" w:leftChars="0" w:firstLine="0" w:firstLineChars="0"/>
              <w:rPr>
                <w:rFonts w:hint="default"/>
                <w:lang w:val="en-US" w:eastAsia="zh-CN"/>
              </w:rPr>
            </w:pPr>
          </w:p>
        </w:tc>
        <w:tc>
          <w:tcPr>
            <w:tcW w:w="349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满足以</w:t>
            </w:r>
            <w:r>
              <w:rPr>
                <w:rFonts w:hint="eastAsia" w:ascii="仿宋_GB2312" w:hAnsi="仿宋_GB2312" w:eastAsia="仿宋_GB2312" w:cs="仿宋_GB2312"/>
                <w:b w:val="0"/>
                <w:bCs/>
                <w:color w:val="auto"/>
                <w:sz w:val="24"/>
                <w:szCs w:val="24"/>
                <w:highlight w:val="none"/>
                <w:lang w:val="en-US" w:eastAsia="zh-CN"/>
              </w:rPr>
              <w:t>上</w:t>
            </w:r>
            <w:r>
              <w:rPr>
                <w:rFonts w:hint="default" w:ascii="仿宋_GB2312" w:hAnsi="仿宋_GB2312" w:eastAsia="仿宋_GB2312" w:cs="仿宋_GB2312"/>
                <w:b w:val="0"/>
                <w:bCs/>
                <w:color w:val="auto"/>
                <w:sz w:val="24"/>
                <w:szCs w:val="24"/>
                <w:highlight w:val="none"/>
                <w:lang w:val="en-US" w:eastAsia="zh-CN"/>
              </w:rPr>
              <w:t>任意一项内容得</w:t>
            </w:r>
            <w:r>
              <w:rPr>
                <w:rFonts w:hint="eastAsia" w:ascii="仿宋_GB2312" w:hAnsi="仿宋_GB2312" w:eastAsia="仿宋_GB2312" w:cs="仿宋_GB2312"/>
                <w:b w:val="0"/>
                <w:bCs/>
                <w:color w:val="auto"/>
                <w:sz w:val="24"/>
                <w:szCs w:val="24"/>
                <w:highlight w:val="none"/>
                <w:lang w:val="en-US" w:eastAsia="zh-CN"/>
              </w:rPr>
              <w:t>3</w:t>
            </w:r>
            <w:r>
              <w:rPr>
                <w:rFonts w:hint="default" w:ascii="仿宋_GB2312" w:hAnsi="仿宋_GB2312" w:eastAsia="仿宋_GB2312" w:cs="仿宋_GB2312"/>
                <w:b w:val="0"/>
                <w:bCs/>
                <w:color w:val="auto"/>
                <w:sz w:val="24"/>
                <w:szCs w:val="24"/>
                <w:highlight w:val="none"/>
                <w:lang w:val="en-US" w:eastAsia="zh-CN"/>
              </w:rPr>
              <w:t>分，最高12分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评分标准：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由评标委员会对实施方案</w:t>
            </w:r>
            <w:r>
              <w:rPr>
                <w:rFonts w:hint="eastAsia" w:ascii="仿宋_GB2312" w:hAnsi="仿宋_GB2312" w:eastAsia="仿宋_GB2312" w:cs="仿宋_GB2312"/>
                <w:b w:val="0"/>
                <w:bCs/>
                <w:color w:val="auto"/>
                <w:sz w:val="24"/>
                <w:szCs w:val="24"/>
                <w:highlight w:val="none"/>
                <w:lang w:val="en-US" w:eastAsia="zh-CN"/>
              </w:rPr>
              <w:t>进一步</w:t>
            </w:r>
            <w:r>
              <w:rPr>
                <w:rFonts w:hint="default" w:ascii="仿宋_GB2312" w:hAnsi="仿宋_GB2312" w:eastAsia="仿宋_GB2312" w:cs="仿宋_GB2312"/>
                <w:b w:val="0"/>
                <w:bCs/>
                <w:color w:val="auto"/>
                <w:sz w:val="24"/>
                <w:szCs w:val="24"/>
                <w:highlight w:val="none"/>
                <w:lang w:val="en-US" w:eastAsia="zh-CN"/>
              </w:rPr>
              <w:t>评审：</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（1）实施方案内容全面具体。</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（2）实施方案内容科学合理。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（3）实施方案内容针对性强。</w:t>
            </w:r>
          </w:p>
          <w:p>
            <w:pPr>
              <w:keepNext w:val="0"/>
              <w:keepLines w:val="0"/>
              <w:pageBreakBefore w:val="0"/>
              <w:kinsoku/>
              <w:wordWrap/>
              <w:overflowPunct/>
              <w:topLinePunct w:val="0"/>
              <w:autoSpaceDE/>
              <w:autoSpaceDN/>
              <w:bidi w:val="0"/>
              <w:spacing w:line="400" w:lineRule="exact"/>
              <w:jc w:val="both"/>
              <w:textAlignment w:val="auto"/>
              <w:rPr>
                <w:rFonts w:hint="default"/>
                <w:lang w:val="en-US" w:eastAsia="zh-CN"/>
              </w:rPr>
            </w:pPr>
            <w:r>
              <w:rPr>
                <w:rFonts w:hint="default" w:ascii="仿宋_GB2312" w:hAnsi="仿宋_GB2312" w:eastAsia="仿宋_GB2312" w:cs="仿宋_GB2312"/>
                <w:b w:val="0"/>
                <w:bCs/>
                <w:color w:val="auto"/>
                <w:sz w:val="24"/>
                <w:szCs w:val="24"/>
                <w:highlight w:val="none"/>
                <w:lang w:val="en-US" w:eastAsia="zh-CN"/>
              </w:rPr>
              <w:t>（4）实施方案内容可操作性强。（5）实施方案内容</w:t>
            </w:r>
            <w:r>
              <w:rPr>
                <w:rFonts w:hint="eastAsia" w:ascii="仿宋_GB2312" w:hAnsi="仿宋_GB2312" w:eastAsia="仿宋_GB2312" w:cs="仿宋_GB2312"/>
                <w:b w:val="0"/>
                <w:bCs/>
                <w:color w:val="auto"/>
                <w:sz w:val="24"/>
                <w:szCs w:val="24"/>
                <w:highlight w:val="none"/>
                <w:lang w:val="en-US" w:eastAsia="zh-CN"/>
              </w:rPr>
              <w:t>演出资源优势性强。</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优评分标准：满足以上五项要求的评价为优，得 8分。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良评分标准：满足以上四项要求的评价为良，得 6分。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中评分标准：满足以上三项要求的评价为中，得 2分。</w:t>
            </w:r>
          </w:p>
          <w:p>
            <w:pPr>
              <w:keepNext w:val="0"/>
              <w:keepLines w:val="0"/>
              <w:pageBreakBefore w:val="0"/>
              <w:kinsoku/>
              <w:wordWrap/>
              <w:overflowPunct/>
              <w:topLinePunct w:val="0"/>
              <w:autoSpaceDE/>
              <w:autoSpaceDN/>
              <w:bidi w:val="0"/>
              <w:spacing w:line="400" w:lineRule="exact"/>
              <w:jc w:val="both"/>
              <w:textAlignment w:val="auto"/>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项目优势化分析、项目重难点及相关的合理化建议（10分）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投标人应根据采购文件服务需求提供项目优势化分析、重点难点分析、应对措施及相关的合理化建议内容包括但不限于：</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（1）项目优势化分析及重点难点分析；</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（2）应对措施；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（3）合理化建议。</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考察对项目工作量、可完成度等重点难点问题的识别和分析能力，并就识别出的重点难点提出可行的应对措施及合理化建议。</w:t>
            </w:r>
            <w:r>
              <w:rPr>
                <w:rFonts w:hint="eastAsia" w:ascii="仿宋_GB2312" w:hAnsi="仿宋_GB2312" w:eastAsia="仿宋_GB2312" w:cs="仿宋_GB2312"/>
                <w:b w:val="0"/>
                <w:bCs/>
                <w:color w:val="auto"/>
                <w:sz w:val="24"/>
                <w:szCs w:val="24"/>
                <w:highlight w:val="none"/>
                <w:lang w:val="en-US" w:eastAsia="zh-CN"/>
              </w:rPr>
              <w:br w:type="textWrapping"/>
            </w:r>
          </w:p>
        </w:tc>
        <w:tc>
          <w:tcPr>
            <w:tcW w:w="3498"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满足以上任意一项内容得2 分，最高 6分。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在此基础上，由评标委员会对实施方案进一步评审：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（1）相关项目优势化分析、重难点分析、应对措施及相关合 理化建议内容全面。</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（2）相关项目优势化分析、重难点分析、应对措施及相关合 理化建议内容具体。</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（3）相关项目优势化分析、重难点分析、应对措施及相关合 理化建议内容科学合理。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（4）相关项目优势化分析、重难点分析、应对措施及相关合 理化建议内容针对性强。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（5）相关项目优势化分析、重难点分析、应对措施及相关合 理化建议内容可操作性强。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4分。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 2分。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1分。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6"/>
                <w:szCs w:val="26"/>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2" w:hRule="atLeast"/>
        </w:trPr>
        <w:tc>
          <w:tcPr>
            <w:tcW w:w="51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质量保障措施及方案（15分）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投标人需针对本项目提供质量（完成时间、安全）保障措施及</w:t>
            </w:r>
            <w:r>
              <w:rPr>
                <w:rFonts w:hint="default" w:ascii="仿宋_GB2312" w:hAnsi="仿宋_GB2312" w:eastAsia="仿宋_GB2312" w:cs="仿宋_GB2312"/>
                <w:b w:val="0"/>
                <w:bCs/>
                <w:color w:val="auto"/>
                <w:sz w:val="24"/>
                <w:szCs w:val="24"/>
                <w:highlight w:val="none"/>
                <w:lang w:val="en-US" w:eastAsia="zh-CN"/>
              </w:rPr>
              <w:t>方案</w:t>
            </w:r>
            <w:r>
              <w:rPr>
                <w:rFonts w:hint="eastAsia" w:ascii="仿宋_GB2312" w:hAnsi="仿宋_GB2312" w:eastAsia="仿宋_GB2312" w:cs="仿宋_GB2312"/>
                <w:b w:val="0"/>
                <w:bCs/>
                <w:color w:val="auto"/>
                <w:sz w:val="24"/>
                <w:szCs w:val="24"/>
                <w:highlight w:val="none"/>
                <w:lang w:val="en-US" w:eastAsia="zh-CN"/>
              </w:rPr>
              <w:t>内容包括但不限于：</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（1）给出分阶段项目时间安排、工作进度；具备详细的完成时间保障措施；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tc>
        <w:tc>
          <w:tcPr>
            <w:tcW w:w="3498"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满足以上任意一项内容得3 分，最高9分。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在此基础上，由评标委员会对实施方案进一步评审：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（1）质量保障措施及方案内容全面。</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（2）质量保障措施及方案内容具体。</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（3）质量保障措施及方案内容科学合理。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（4）质量保障措施及方案内容针对性强。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（5）质量保障措施及方案内容可操作性强。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6分。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 4分。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2分。</w:t>
            </w:r>
          </w:p>
          <w:p>
            <w:pPr>
              <w:keepNext w:val="0"/>
              <w:keepLines w:val="0"/>
              <w:widowControl/>
              <w:suppressLineNumbers w:val="0"/>
              <w:jc w:val="both"/>
              <w:textAlignment w:val="center"/>
              <w:rPr>
                <w:rFonts w:hint="eastAsia" w:ascii="仿宋_GB2312" w:hAnsi="宋体" w:eastAsia="仿宋_GB2312" w:cs="仿宋_GB2312"/>
                <w:i w:val="0"/>
                <w:iCs w:val="0"/>
                <w:color w:val="000000"/>
                <w:kern w:val="2"/>
                <w:sz w:val="26"/>
                <w:szCs w:val="26"/>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pStyle w:val="12"/>
        <w:spacing w:line="560" w:lineRule="exact"/>
        <w:ind w:firstLine="64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2"/>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2"/>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2"/>
        <w:keepNext w:val="0"/>
        <w:keepLines w:val="0"/>
        <w:pageBreakBefore w:val="0"/>
        <w:kinsoku/>
        <w:wordWrap/>
        <w:overflowPunct/>
        <w:topLinePunct w:val="0"/>
        <w:autoSpaceDE/>
        <w:autoSpaceDN/>
        <w:bidi w:val="0"/>
        <w:spacing w:line="560" w:lineRule="exact"/>
        <w:ind w:left="0" w:leftChars="0" w:firstLine="640" w:firstLineChars="0"/>
        <w:textAlignment w:val="auto"/>
        <w:rPr>
          <w:rFonts w:hint="default" w:ascii="仿宋_GB2312" w:hAnsi="仿宋" w:eastAsia="仿宋_GB2312" w:cs="Times New Roman"/>
          <w:color w:val="auto"/>
          <w:sz w:val="32"/>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注：供应商需邮寄</w:t>
      </w:r>
      <w:r>
        <w:rPr>
          <w:rFonts w:hint="eastAsia" w:ascii="仿宋_GB2312" w:hAnsi="仿宋" w:eastAsia="仿宋_GB2312" w:cs="Times New Roman"/>
          <w:b/>
          <w:bCs/>
          <w:color w:val="FF0000"/>
          <w:sz w:val="32"/>
          <w:highlight w:val="none"/>
          <w:lang w:val="en-US" w:eastAsia="zh-CN"/>
        </w:rPr>
        <w:t>7份密封</w:t>
      </w:r>
      <w:r>
        <w:rPr>
          <w:rFonts w:hint="eastAsia" w:ascii="仿宋_GB2312" w:hAnsi="仿宋" w:eastAsia="仿宋_GB2312" w:cs="Times New Roman"/>
          <w:color w:val="auto"/>
          <w:sz w:val="32"/>
          <w:highlight w:val="none"/>
          <w:lang w:val="en-US" w:eastAsia="zh-CN"/>
        </w:rPr>
        <w:t>纸质版投标资料至本单位</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w:t>
      </w:r>
      <w:r>
        <w:rPr>
          <w:rFonts w:hint="eastAsia" w:ascii="仿宋_GB2312" w:hAnsi="仿宋" w:eastAsia="仿宋_GB2312" w:cs="Times New Roman"/>
          <w:color w:val="auto"/>
          <w:kern w:val="2"/>
          <w:sz w:val="32"/>
          <w:szCs w:val="22"/>
          <w:highlight w:val="none"/>
          <w:lang w:val="en-US" w:eastAsia="zh-CN" w:bidi="ar-SA"/>
        </w:rPr>
        <w:t>深圳市龙华区维雅德大厦富康行政办公区</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电话:0755-23338140</w:t>
      </w:r>
    </w:p>
    <w:p>
      <w:pPr>
        <w:pStyle w:val="2"/>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收件人：吴先生</w:t>
      </w:r>
    </w:p>
    <w:p>
      <w:pPr>
        <w:ind w:firstLine="1280" w:firstLineChars="400"/>
        <w:rPr>
          <w:rFonts w:hint="eastAsia" w:ascii="仿宋_GB2312" w:hAnsi="仿宋" w:eastAsia="仿宋_GB2312" w:cs="Times New Roman"/>
          <w:color w:val="auto"/>
          <w:kern w:val="2"/>
          <w:sz w:val="32"/>
          <w:szCs w:val="22"/>
          <w:highlight w:val="none"/>
          <w:lang w:val="en-US" w:eastAsia="zh-CN" w:bidi="ar-SA"/>
        </w:rPr>
      </w:pPr>
      <w:r>
        <w:rPr>
          <w:rFonts w:hint="eastAsia" w:ascii="仿宋_GB2312" w:hAnsi="仿宋" w:eastAsia="仿宋_GB2312" w:cs="Times New Roman"/>
          <w:color w:val="auto"/>
          <w:kern w:val="2"/>
          <w:sz w:val="32"/>
          <w:szCs w:val="22"/>
          <w:highlight w:val="none"/>
          <w:lang w:val="en-US" w:eastAsia="zh-CN" w:bidi="ar-SA"/>
        </w:rPr>
        <w:t>报名截止时间：2024年8月25日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F2227"/>
    <w:multiLevelType w:val="singleLevel"/>
    <w:tmpl w:val="A8BF2227"/>
    <w:lvl w:ilvl="0" w:tentative="0">
      <w:start w:val="2"/>
      <w:numFmt w:val="chineseCounting"/>
      <w:suff w:val="nothing"/>
      <w:lvlText w:val="（%1）"/>
      <w:lvlJc w:val="left"/>
      <w:rPr>
        <w:rFonts w:hint="eastAsia"/>
      </w:rPr>
    </w:lvl>
  </w:abstractNum>
  <w:abstractNum w:abstractNumId="1">
    <w:nsid w:val="2AA0DDCA"/>
    <w:multiLevelType w:val="singleLevel"/>
    <w:tmpl w:val="2AA0DDC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YTk4Yzc0YjVkYjg1ZDU0MWQxYzk3N2U1MjExMjYifQ=="/>
  </w:docVars>
  <w:rsids>
    <w:rsidRoot w:val="00172A27"/>
    <w:rsid w:val="00675481"/>
    <w:rsid w:val="02272B14"/>
    <w:rsid w:val="025365D0"/>
    <w:rsid w:val="041534A1"/>
    <w:rsid w:val="05DB2024"/>
    <w:rsid w:val="091F1C0E"/>
    <w:rsid w:val="0A022361"/>
    <w:rsid w:val="0AB05B36"/>
    <w:rsid w:val="0C9F55B8"/>
    <w:rsid w:val="0D613984"/>
    <w:rsid w:val="0FAE1069"/>
    <w:rsid w:val="128D3B74"/>
    <w:rsid w:val="147249AB"/>
    <w:rsid w:val="152E629B"/>
    <w:rsid w:val="15321C5A"/>
    <w:rsid w:val="16B75644"/>
    <w:rsid w:val="174C70AF"/>
    <w:rsid w:val="18145C05"/>
    <w:rsid w:val="19C65FEC"/>
    <w:rsid w:val="19C72E2A"/>
    <w:rsid w:val="1A1076EF"/>
    <w:rsid w:val="1D701907"/>
    <w:rsid w:val="1D7801E9"/>
    <w:rsid w:val="1EEF0D26"/>
    <w:rsid w:val="1FC3400C"/>
    <w:rsid w:val="20A51EAE"/>
    <w:rsid w:val="20E114E3"/>
    <w:rsid w:val="22737F35"/>
    <w:rsid w:val="24041127"/>
    <w:rsid w:val="242157C3"/>
    <w:rsid w:val="24286ECC"/>
    <w:rsid w:val="251C73F2"/>
    <w:rsid w:val="252444DE"/>
    <w:rsid w:val="25A93EB0"/>
    <w:rsid w:val="25FA0A39"/>
    <w:rsid w:val="291160AF"/>
    <w:rsid w:val="29EF1567"/>
    <w:rsid w:val="2E2218C1"/>
    <w:rsid w:val="2F67789D"/>
    <w:rsid w:val="30253044"/>
    <w:rsid w:val="341E1D1F"/>
    <w:rsid w:val="34820B56"/>
    <w:rsid w:val="34E64EC5"/>
    <w:rsid w:val="357B722D"/>
    <w:rsid w:val="36B75B3C"/>
    <w:rsid w:val="388D2FD0"/>
    <w:rsid w:val="39E22233"/>
    <w:rsid w:val="3BC548C8"/>
    <w:rsid w:val="3CB306F8"/>
    <w:rsid w:val="3E320799"/>
    <w:rsid w:val="3FFF80DF"/>
    <w:rsid w:val="422C6665"/>
    <w:rsid w:val="423852AE"/>
    <w:rsid w:val="424D331F"/>
    <w:rsid w:val="435F10A0"/>
    <w:rsid w:val="438A1650"/>
    <w:rsid w:val="463C1F4C"/>
    <w:rsid w:val="46BA7686"/>
    <w:rsid w:val="47C9688E"/>
    <w:rsid w:val="48157ACC"/>
    <w:rsid w:val="4A694FCE"/>
    <w:rsid w:val="4BDD2160"/>
    <w:rsid w:val="4CA30BBC"/>
    <w:rsid w:val="4EEF186B"/>
    <w:rsid w:val="4F4D689F"/>
    <w:rsid w:val="50EE61B9"/>
    <w:rsid w:val="526C7C62"/>
    <w:rsid w:val="52FB0B43"/>
    <w:rsid w:val="530224EE"/>
    <w:rsid w:val="53193993"/>
    <w:rsid w:val="535B6094"/>
    <w:rsid w:val="546D5EE1"/>
    <w:rsid w:val="54723E94"/>
    <w:rsid w:val="55ED7BB1"/>
    <w:rsid w:val="56FA59E6"/>
    <w:rsid w:val="59746C51"/>
    <w:rsid w:val="5BD8190D"/>
    <w:rsid w:val="5CB01C28"/>
    <w:rsid w:val="5F9448BD"/>
    <w:rsid w:val="61534507"/>
    <w:rsid w:val="61FD1D4F"/>
    <w:rsid w:val="68112812"/>
    <w:rsid w:val="6CFA6E95"/>
    <w:rsid w:val="6FA42D3E"/>
    <w:rsid w:val="6FDEDBAA"/>
    <w:rsid w:val="7070084E"/>
    <w:rsid w:val="71EF273F"/>
    <w:rsid w:val="727B0969"/>
    <w:rsid w:val="72991A9A"/>
    <w:rsid w:val="744C48FD"/>
    <w:rsid w:val="755B5A69"/>
    <w:rsid w:val="75612622"/>
    <w:rsid w:val="75B230F2"/>
    <w:rsid w:val="7736682A"/>
    <w:rsid w:val="77EA626C"/>
    <w:rsid w:val="78AB3E04"/>
    <w:rsid w:val="793F69B9"/>
    <w:rsid w:val="7D5338DB"/>
    <w:rsid w:val="7D8DBA67"/>
    <w:rsid w:val="7DE034F5"/>
    <w:rsid w:val="7FAC50B6"/>
    <w:rsid w:val="BFFF589C"/>
    <w:rsid w:val="EFDF8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6">
    <w:name w:val="Plain Text"/>
    <w:basedOn w:val="1"/>
    <w:unhideWhenUsed/>
    <w:qFormat/>
    <w:uiPriority w:val="99"/>
    <w:rPr>
      <w:rFonts w:ascii="宋体" w:hAnsi="Calibri"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paragraph" w:customStyle="1" w:styleId="12">
    <w:name w:val="USE 1"/>
    <w:basedOn w:val="1"/>
    <w:qFormat/>
    <w:uiPriority w:val="0"/>
    <w:pPr>
      <w:spacing w:line="200" w:lineRule="atLeast"/>
      <w:jc w:val="left"/>
    </w:pPr>
    <w:rPr>
      <w:rFonts w:ascii="宋体" w:hAnsi="宋体"/>
      <w:b/>
      <w:sz w:val="24"/>
      <w:szCs w:val="28"/>
    </w:rPr>
  </w:style>
  <w:style w:type="character" w:customStyle="1" w:styleId="13">
    <w:name w:val="font11"/>
    <w:basedOn w:val="10"/>
    <w:qFormat/>
    <w:uiPriority w:val="0"/>
    <w:rPr>
      <w:rFonts w:hint="default" w:ascii="仿宋_GB2312" w:eastAsia="仿宋_GB2312" w:cs="仿宋_GB2312"/>
      <w:color w:val="000000"/>
      <w:sz w:val="24"/>
      <w:szCs w:val="24"/>
      <w:u w:val="none"/>
    </w:rPr>
  </w:style>
  <w:style w:type="character" w:customStyle="1" w:styleId="14">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2196</Words>
  <Characters>2351</Characters>
  <Lines>0</Lines>
  <Paragraphs>0</Paragraphs>
  <TotalTime>16</TotalTime>
  <ScaleCrop>false</ScaleCrop>
  <LinksUpToDate>false</LinksUpToDate>
  <CharactersWithSpaces>2383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李春朝</dc:creator>
  <cp:lastModifiedBy>lxy</cp:lastModifiedBy>
  <cp:lastPrinted>2024-08-14T23:49:00Z</cp:lastPrinted>
  <dcterms:modified xsi:type="dcterms:W3CDTF">2025-12-11T17:01:47Z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9009FBBF93D74C5EA6D8B6E4BC5F621E_13</vt:lpwstr>
  </property>
</Properties>
</file>