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eastAsia="zh-CN"/>
        </w:rPr>
        <w:t>度</w:t>
      </w:r>
      <w:r>
        <w:rPr>
          <w:rFonts w:hint="eastAsia" w:ascii="方正小标宋简体" w:hAnsi="方正小标宋简体" w:eastAsia="方正小标宋简体" w:cs="方正小标宋简体"/>
          <w:b w:val="0"/>
          <w:bCs w:val="0"/>
          <w:color w:val="auto"/>
          <w:sz w:val="44"/>
          <w:szCs w:val="44"/>
          <w:highlight w:val="none"/>
        </w:rPr>
        <w:t>档案整理</w:t>
      </w:r>
      <w:r>
        <w:rPr>
          <w:rFonts w:hint="eastAsia" w:ascii="方正小标宋简体" w:hAnsi="方正小标宋简体" w:eastAsia="方正小标宋简体" w:cs="方正小标宋简体"/>
          <w:b w:val="0"/>
          <w:bCs w:val="0"/>
          <w:color w:val="auto"/>
          <w:sz w:val="44"/>
          <w:szCs w:val="44"/>
          <w:highlight w:val="none"/>
          <w:lang w:eastAsia="zh-CN"/>
        </w:rPr>
        <w:t>服务</w:t>
      </w:r>
      <w:r>
        <w:rPr>
          <w:rFonts w:hint="eastAsia" w:ascii="方正小标宋简体" w:hAnsi="方正小标宋简体" w:eastAsia="方正小标宋简体" w:cs="方正小标宋简体"/>
          <w:b w:val="0"/>
          <w:bCs w:val="0"/>
          <w:color w:val="auto"/>
          <w:sz w:val="44"/>
          <w:szCs w:val="44"/>
          <w:highlight w:val="none"/>
        </w:rPr>
        <w:t>项目需求书</w:t>
      </w:r>
    </w:p>
    <w:p>
      <w:pPr>
        <w:tabs>
          <w:tab w:val="left" w:pos="1820"/>
        </w:tabs>
        <w:snapToGrid w:val="0"/>
        <w:spacing w:line="560" w:lineRule="exact"/>
        <w:rPr>
          <w:rFonts w:hint="eastAsia" w:ascii="黑体" w:hAnsi="黑体" w:eastAsia="黑体" w:cs="黑体"/>
          <w:bCs/>
          <w:color w:val="auto"/>
          <w:sz w:val="32"/>
          <w:szCs w:val="32"/>
          <w:highlight w:val="none"/>
        </w:rPr>
      </w:pPr>
    </w:p>
    <w:p>
      <w:pPr>
        <w:tabs>
          <w:tab w:val="left" w:pos="1820"/>
        </w:tabs>
        <w:snapToGrid w:val="0"/>
        <w:spacing w:line="560" w:lineRule="exact"/>
        <w:ind w:left="64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一、项目目标</w:t>
      </w:r>
    </w:p>
    <w:p>
      <w:pPr>
        <w:keepNext w:val="0"/>
        <w:keepLines w:val="0"/>
        <w:pageBreakBefore w:val="0"/>
        <w:widowControl w:val="0"/>
        <w:suppressLineNumbers w:val="0"/>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Calibri" w:eastAsia="仿宋_GB2312" w:cs="仿宋_GB2312"/>
          <w:color w:val="auto"/>
          <w:kern w:val="2"/>
          <w:sz w:val="32"/>
          <w:szCs w:val="32"/>
          <w:lang w:val="en-US" w:eastAsia="zh-CN" w:bidi="ar"/>
        </w:rPr>
        <w:t>加强档案管理，有效保护和利用档案，扎实落实档案归档工作，提高档案信息化建设水平，更好地为我局各项工作服务。</w:t>
      </w:r>
    </w:p>
    <w:p>
      <w:pPr>
        <w:widowControl/>
        <w:tabs>
          <w:tab w:val="left" w:pos="1820"/>
        </w:tabs>
        <w:adjustRightInd w:val="0"/>
        <w:snapToGrid w:val="0"/>
        <w:spacing w:line="560" w:lineRule="exact"/>
        <w:ind w:firstLine="640" w:firstLineChars="200"/>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服务时间</w:t>
      </w:r>
    </w:p>
    <w:p>
      <w:pPr>
        <w:spacing w:line="560" w:lineRule="exact"/>
        <w:ind w:firstLine="640" w:firstLineChars="200"/>
        <w:rPr>
          <w:rFonts w:hint="eastAsia"/>
          <w:color w:val="auto"/>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年2月</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日-202</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年2月</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日</w:t>
      </w:r>
    </w:p>
    <w:p>
      <w:pPr>
        <w:pStyle w:val="21"/>
        <w:framePr w:wrap="auto" w:vAnchor="margin" w:hAnchor="text" w:yAlign="inline"/>
        <w:numPr>
          <w:ilvl w:val="0"/>
          <w:numId w:val="1"/>
        </w:numPr>
        <w:tabs>
          <w:tab w:val="left" w:pos="1820"/>
        </w:tabs>
        <w:bidi w:val="0"/>
        <w:spacing w:line="560" w:lineRule="exact"/>
        <w:ind w:left="640" w:leftChars="0" w:right="0" w:rightChars="0"/>
        <w:jc w:val="both"/>
        <w:outlineLvl w:val="1"/>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项目内容及要求</w:t>
      </w:r>
    </w:p>
    <w:p>
      <w:pPr>
        <w:pStyle w:val="21"/>
        <w:framePr w:wrap="auto" w:vAnchor="margin" w:hAnchor="text" w:yAlign="inline"/>
        <w:numPr>
          <w:ilvl w:val="0"/>
          <w:numId w:val="0"/>
        </w:numPr>
        <w:tabs>
          <w:tab w:val="left" w:pos="1820"/>
        </w:tabs>
        <w:bidi w:val="0"/>
        <w:spacing w:line="560" w:lineRule="exact"/>
        <w:ind w:left="640" w:leftChars="0" w:right="0" w:rightChars="0"/>
        <w:jc w:val="both"/>
        <w:outlineLvl w:val="1"/>
        <w:rPr>
          <w:rFonts w:ascii="楷体_GB2312" w:hAnsi="楷体_GB2312" w:eastAsia="楷体_GB2312" w:cs="楷体_GB2312"/>
          <w:color w:val="auto"/>
          <w:sz w:val="32"/>
          <w:szCs w:val="32"/>
          <w:highlight w:val="none"/>
          <w:rtl w:val="0"/>
          <w:lang w:val="zh-TW" w:eastAsia="zh-TW"/>
        </w:rPr>
      </w:pPr>
      <w:r>
        <w:rPr>
          <w:rFonts w:hint="eastAsia" w:ascii="楷体_GB2312" w:hAnsi="楷体_GB2312" w:eastAsia="楷体_GB2312" w:cs="楷体_GB2312"/>
          <w:color w:val="auto"/>
          <w:sz w:val="32"/>
          <w:szCs w:val="32"/>
          <w:highlight w:val="none"/>
          <w:shd w:val="clear" w:color="auto" w:fill="auto"/>
          <w:rtl w:val="0"/>
          <w:lang w:val="zh-TW" w:eastAsia="zh-CN"/>
        </w:rPr>
        <w:t>（一）</w:t>
      </w:r>
      <w:r>
        <w:rPr>
          <w:rFonts w:ascii="楷体_GB2312" w:hAnsi="楷体_GB2312" w:eastAsia="楷体_GB2312" w:cs="楷体_GB2312"/>
          <w:color w:val="auto"/>
          <w:sz w:val="32"/>
          <w:szCs w:val="32"/>
          <w:highlight w:val="none"/>
          <w:shd w:val="clear" w:color="auto" w:fill="auto"/>
          <w:rtl w:val="0"/>
          <w:lang w:val="zh-TW" w:eastAsia="zh-TW"/>
        </w:rPr>
        <w:t>项目内容</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档案整理工作量（预估）：文书档案2300件、专项资金档案120件、业务审批档400件、行政处罚档案20卷、录音录像130组、实物档案6件、档案电子化约46000页、档案目录3项、档案编研资料3项等。</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该项目服务内容包含以下内容：组建团队对我局所有需归档管理的文件进行整理，包含电子化、编目，提供档案管理耗材，进行档案专用防霉驱虫，并提供档案管理咨询及技术指导。工作团队前期需2人配合做分类归纳和整理扫描，后期1人常驻提供档案管理咨询及技术指导。服务期限为12个月。</w:t>
      </w:r>
    </w:p>
    <w:p>
      <w:pPr>
        <w:pStyle w:val="22"/>
        <w:framePr w:wrap="auto" w:vAnchor="margin" w:hAnchor="text" w:yAlign="inline"/>
        <w:numPr>
          <w:ilvl w:val="0"/>
          <w:numId w:val="2"/>
        </w:numPr>
        <w:bidi w:val="0"/>
        <w:spacing w:after="0" w:line="560" w:lineRule="exact"/>
        <w:ind w:left="640" w:leftChars="0" w:right="0" w:rightChars="0"/>
        <w:jc w:val="both"/>
        <w:outlineLvl w:val="1"/>
        <w:rPr>
          <w:rFonts w:ascii="楷体_GB2312" w:hAnsi="楷体_GB2312" w:eastAsia="楷体_GB2312" w:cs="楷体_GB2312"/>
          <w:color w:val="auto"/>
          <w:sz w:val="32"/>
          <w:szCs w:val="32"/>
          <w:highlight w:val="none"/>
          <w:shd w:val="clear" w:color="auto" w:fill="auto"/>
          <w:rtl w:val="0"/>
          <w:lang w:val="zh-TW" w:eastAsia="zh-TW"/>
        </w:rPr>
      </w:pPr>
      <w:r>
        <w:rPr>
          <w:rFonts w:hint="eastAsia" w:ascii="楷体_GB2312" w:hAnsi="楷体_GB2312" w:eastAsia="楷体_GB2312" w:cs="楷体_GB2312"/>
          <w:color w:val="auto"/>
          <w:sz w:val="32"/>
          <w:szCs w:val="32"/>
          <w:highlight w:val="none"/>
          <w:shd w:val="clear" w:color="auto" w:fill="auto"/>
          <w:rtl w:val="0"/>
          <w:lang w:val="zh-TW" w:eastAsia="zh-CN"/>
        </w:rPr>
        <w:t>具体</w:t>
      </w:r>
      <w:r>
        <w:rPr>
          <w:rFonts w:ascii="楷体_GB2312" w:hAnsi="楷体_GB2312" w:eastAsia="楷体_GB2312" w:cs="楷体_GB2312"/>
          <w:color w:val="auto"/>
          <w:sz w:val="32"/>
          <w:szCs w:val="32"/>
          <w:highlight w:val="none"/>
          <w:shd w:val="clear" w:color="auto" w:fill="auto"/>
          <w:rtl w:val="0"/>
          <w:lang w:val="zh-TW" w:eastAsia="zh-TW"/>
        </w:rPr>
        <w:t>要求</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第三方提供的服务应符合《档案服务外包工作规范》（DA/T 68）相关规定。</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1.传统纸质档案应严格遵循《归档文件整理规则》（DA/T22-2015）</w:t>
      </w:r>
      <w:r>
        <w:rPr>
          <w:rFonts w:hint="eastAsia" w:ascii="仿宋_GB2312" w:hAnsi="Calibri" w:eastAsia="仿宋_GB2312" w:cs="仿宋_GB2312"/>
          <w:color w:val="auto"/>
          <w:spacing w:val="0"/>
          <w:w w:val="100"/>
          <w:kern w:val="2"/>
          <w:position w:val="0"/>
          <w:sz w:val="32"/>
          <w:szCs w:val="32"/>
          <w:highlight w:val="none"/>
          <w:u w:val="none"/>
          <w:shd w:val="clear" w:color="auto" w:fill="auto"/>
          <w:vertAlign w:val="baseline"/>
          <w:lang w:val="en-US" w:eastAsia="zh-CN" w:bidi="ar"/>
        </w:rPr>
        <w:t>《深圳市档案馆档案接收标准》标准进行整理</w:t>
      </w:r>
      <w:r>
        <w:rPr>
          <w:rFonts w:hint="eastAsia" w:ascii="仿宋_GB2312" w:hAnsi="Calibri" w:eastAsia="仿宋_GB2312" w:cs="仿宋_GB2312"/>
          <w:color w:val="auto"/>
          <w:kern w:val="2"/>
          <w:sz w:val="32"/>
          <w:szCs w:val="32"/>
          <w:highlight w:val="none"/>
          <w:lang w:val="en-US" w:eastAsia="zh-CN" w:bidi="ar"/>
        </w:rPr>
        <w:t>，需建立对应图像数据，并对原有的档案机读目录按要求进行校对修正，并与档案图像数据挂接建立对应关系，实现快速无误检索。</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2.档案数字化扫描应使用专业扫描仪，按规范分辨率300dpi扫描，并进行去污、图像优化等。</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3.电子档案整理根据《电子文件归档与电子档案管理规范》（GB/T 18894-2016）标准进行整理。</w:t>
      </w:r>
    </w:p>
    <w:p>
      <w:pPr>
        <w:numPr>
          <w:ilvl w:val="0"/>
          <w:numId w:val="1"/>
        </w:numPr>
        <w:tabs>
          <w:tab w:val="left" w:pos="1820"/>
        </w:tabs>
        <w:adjustRightInd w:val="0"/>
        <w:snapToGrid w:val="0"/>
        <w:spacing w:line="560" w:lineRule="exact"/>
        <w:ind w:left="640" w:leftChars="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报价限额</w:t>
      </w:r>
    </w:p>
    <w:p>
      <w:pPr>
        <w:pStyle w:val="2"/>
        <w:ind w:firstLine="640" w:firstLineChars="200"/>
        <w:rPr>
          <w:rFonts w:hint="eastAsia"/>
          <w:highlight w:val="none"/>
        </w:rPr>
      </w:pPr>
      <w:r>
        <w:rPr>
          <w:rFonts w:hint="eastAsia" w:ascii="仿宋_GB2312" w:hAnsi="Calibri" w:eastAsia="仿宋_GB2312" w:cs="仿宋_GB2312"/>
          <w:color w:val="auto"/>
          <w:kern w:val="2"/>
          <w:sz w:val="32"/>
          <w:szCs w:val="32"/>
          <w:highlight w:val="none"/>
          <w:lang w:val="en-US" w:eastAsia="zh-CN" w:bidi="ar"/>
        </w:rPr>
        <w:t>项目报价限额19万元</w:t>
      </w:r>
      <w:r>
        <w:rPr>
          <w:rFonts w:hint="default" w:ascii="仿宋_GB2312" w:hAnsi="Calibri" w:eastAsia="仿宋_GB2312" w:cs="仿宋_GB2312"/>
          <w:color w:val="auto"/>
          <w:kern w:val="2"/>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项目报价表需</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lang w:val="en-US" w:eastAsia="zh-CN"/>
        </w:rPr>
        <w:t>需求项目</w:t>
      </w:r>
      <w:r>
        <w:rPr>
          <w:rFonts w:hint="eastAsia" w:ascii="仿宋_GB2312" w:hAnsi="仿宋_GB2312" w:eastAsia="仿宋_GB2312" w:cs="仿宋_GB2312"/>
          <w:sz w:val="32"/>
          <w:szCs w:val="32"/>
          <w:highlight w:val="none"/>
        </w:rPr>
        <w:t>保持一致</w:t>
      </w:r>
      <w:r>
        <w:rPr>
          <w:rFonts w:hint="eastAsia" w:ascii="仿宋_GB2312" w:hAnsi="Calibri" w:eastAsia="仿宋_GB2312" w:cs="仿宋_GB2312"/>
          <w:color w:val="auto"/>
          <w:kern w:val="2"/>
          <w:sz w:val="32"/>
          <w:szCs w:val="32"/>
          <w:highlight w:val="none"/>
          <w:lang w:val="en-US" w:eastAsia="zh-CN" w:bidi="ar"/>
        </w:rPr>
        <w:t>。</w:t>
      </w:r>
    </w:p>
    <w:tbl>
      <w:tblPr>
        <w:tblStyle w:val="11"/>
        <w:tblpPr w:leftFromText="180" w:rightFromText="180" w:vertAnchor="text" w:horzAnchor="page" w:tblpX="2450" w:tblpY="940"/>
        <w:tblOverlap w:val="never"/>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22"/>
        <w:gridCol w:w="2440"/>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445" w:type="dxa"/>
            <w:gridSpan w:val="4"/>
            <w:noWrap w:val="0"/>
            <w:vAlign w:val="center"/>
          </w:tcPr>
          <w:p>
            <w:pPr>
              <w:spacing w:line="360" w:lineRule="auto"/>
              <w:jc w:val="center"/>
              <w:rPr>
                <w:rFonts w:hint="eastAsia"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bCs/>
                <w:color w:val="auto"/>
                <w:kern w:val="2"/>
                <w:sz w:val="24"/>
                <w:szCs w:val="24"/>
                <w:lang w:val="en-US" w:eastAsia="zh-CN" w:bidi="ar-SA"/>
              </w:rPr>
              <w:t>项目需求书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bCs/>
                <w:color w:val="auto"/>
                <w:kern w:val="2"/>
                <w:sz w:val="24"/>
                <w:szCs w:val="24"/>
                <w:lang w:val="en-US" w:eastAsia="zh-CN" w:bidi="ar-SA"/>
              </w:rPr>
              <w:t>序号</w:t>
            </w:r>
          </w:p>
        </w:tc>
        <w:tc>
          <w:tcPr>
            <w:tcW w:w="172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bCs/>
                <w:color w:val="auto"/>
                <w:kern w:val="2"/>
                <w:sz w:val="24"/>
                <w:szCs w:val="24"/>
                <w:lang w:val="en-US" w:eastAsia="zh-CN" w:bidi="ar-SA"/>
              </w:rPr>
              <w:t>项目</w:t>
            </w:r>
          </w:p>
        </w:tc>
        <w:tc>
          <w:tcPr>
            <w:tcW w:w="24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bCs/>
                <w:color w:val="auto"/>
                <w:kern w:val="2"/>
                <w:sz w:val="24"/>
                <w:szCs w:val="24"/>
                <w:lang w:val="en-US" w:eastAsia="zh-CN" w:bidi="ar-SA"/>
              </w:rPr>
              <w:t>服务类型</w:t>
            </w:r>
          </w:p>
        </w:tc>
        <w:tc>
          <w:tcPr>
            <w:tcW w:w="2538" w:type="dxa"/>
            <w:noWrap w:val="0"/>
            <w:vAlign w:val="center"/>
          </w:tcPr>
          <w:p>
            <w:pPr>
              <w:jc w:val="center"/>
              <w:rPr>
                <w:rFonts w:hint="eastAsia"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bCs/>
                <w:color w:val="auto"/>
                <w:kern w:val="2"/>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1</w:t>
            </w:r>
          </w:p>
        </w:tc>
        <w:tc>
          <w:tcPr>
            <w:tcW w:w="172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档案整理</w:t>
            </w:r>
          </w:p>
        </w:tc>
        <w:tc>
          <w:tcPr>
            <w:tcW w:w="2440" w:type="dxa"/>
            <w:noWrap w:val="0"/>
            <w:vAlign w:val="center"/>
          </w:tcPr>
          <w:p>
            <w:pPr>
              <w:keepNext w:val="0"/>
              <w:keepLines w:val="0"/>
              <w:widowControl/>
              <w:suppressLineNumbers w:val="0"/>
              <w:jc w:val="center"/>
              <w:textAlignment w:val="center"/>
              <w:rPr>
                <w:rFonts w:hint="eastAsia"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文书档案</w:t>
            </w:r>
          </w:p>
        </w:tc>
        <w:tc>
          <w:tcPr>
            <w:tcW w:w="2538" w:type="dxa"/>
            <w:noWrap w:val="0"/>
            <w:vAlign w:val="center"/>
          </w:tcPr>
          <w:p>
            <w:pPr>
              <w:keepNext w:val="0"/>
              <w:keepLines w:val="0"/>
              <w:widowControl/>
              <w:suppressLineNumbers w:val="0"/>
              <w:jc w:val="center"/>
              <w:textAlignment w:val="center"/>
              <w:rPr>
                <w:rFonts w:hint="eastAsia" w:ascii="仿宋_GB2312" w:hAnsi="Times New Roman" w:eastAsia="仿宋_GB2312" w:cs="Times New Roman"/>
                <w:b w:val="0"/>
                <w:bCs w:val="0"/>
                <w:color w:val="auto"/>
                <w:kern w:val="2"/>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23</w:t>
            </w:r>
            <w:r>
              <w:rPr>
                <w:rFonts w:hint="default" w:ascii="仿宋_GB2312" w:hAnsi="宋体" w:eastAsia="仿宋_GB2312" w:cs="仿宋_GB2312"/>
                <w:i w:val="0"/>
                <w:color w:val="auto"/>
                <w:kern w:val="0"/>
                <w:sz w:val="24"/>
                <w:szCs w:val="24"/>
                <w:u w:val="none"/>
                <w:lang w:val="en-US" w:eastAsia="zh-CN" w:bidi="ar"/>
              </w:rPr>
              <w:t>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2</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专项资金档案</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120</w:t>
            </w:r>
            <w:r>
              <w:rPr>
                <w:rFonts w:hint="default" w:ascii="仿宋_GB2312" w:hAnsi="宋体" w:eastAsia="仿宋_GB2312" w:cs="仿宋_GB2312"/>
                <w:i w:val="0"/>
                <w:color w:val="auto"/>
                <w:kern w:val="0"/>
                <w:sz w:val="24"/>
                <w:szCs w:val="24"/>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3</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业务档案</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4</w:t>
            </w:r>
            <w:r>
              <w:rPr>
                <w:rFonts w:hint="default" w:ascii="仿宋_GB2312" w:hAnsi="宋体" w:eastAsia="仿宋_GB2312" w:cs="仿宋_GB2312"/>
                <w:i w:val="0"/>
                <w:color w:val="auto"/>
                <w:kern w:val="0"/>
                <w:sz w:val="24"/>
                <w:szCs w:val="24"/>
                <w:u w:val="none"/>
                <w:lang w:val="en-US" w:eastAsia="zh-CN" w:bidi="ar"/>
              </w:rPr>
              <w:t>0</w:t>
            </w:r>
            <w:r>
              <w:rPr>
                <w:rFonts w:hint="eastAsia" w:ascii="仿宋_GB2312" w:hAnsi="宋体" w:eastAsia="仿宋_GB2312" w:cs="仿宋_GB2312"/>
                <w:i w:val="0"/>
                <w:color w:val="auto"/>
                <w:kern w:val="0"/>
                <w:sz w:val="24"/>
                <w:szCs w:val="24"/>
                <w:u w:val="none"/>
                <w:lang w:val="en-US" w:eastAsia="zh-CN" w:bidi="ar"/>
              </w:rPr>
              <w:t>0</w:t>
            </w:r>
            <w:r>
              <w:rPr>
                <w:rFonts w:hint="default" w:ascii="仿宋_GB2312" w:hAnsi="宋体" w:eastAsia="仿宋_GB2312" w:cs="仿宋_GB2312"/>
                <w:i w:val="0"/>
                <w:color w:val="auto"/>
                <w:kern w:val="0"/>
                <w:sz w:val="24"/>
                <w:szCs w:val="24"/>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4</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行政处罚档案</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20</w:t>
            </w:r>
            <w:r>
              <w:rPr>
                <w:rFonts w:hint="default" w:ascii="仿宋_GB2312" w:hAnsi="宋体" w:eastAsia="仿宋_GB2312" w:cs="仿宋_GB2312"/>
                <w:i w:val="0"/>
                <w:color w:val="auto"/>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5</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宋体" w:eastAsia="仿宋_GB2312" w:cs="仿宋_GB2312"/>
                <w:i w:val="0"/>
                <w:color w:val="auto"/>
                <w:kern w:val="0"/>
                <w:sz w:val="24"/>
                <w:szCs w:val="24"/>
                <w:u w:val="none"/>
                <w:lang w:val="en-US" w:eastAsia="zh-CN" w:bidi="ar"/>
              </w:rPr>
              <w:t>录</w:t>
            </w:r>
            <w:r>
              <w:rPr>
                <w:rFonts w:hint="default" w:ascii="仿宋_GB2312" w:hAnsi="宋体" w:eastAsia="仿宋_GB2312" w:cs="仿宋_GB2312"/>
                <w:i w:val="0"/>
                <w:color w:val="auto"/>
                <w:kern w:val="0"/>
                <w:sz w:val="24"/>
                <w:szCs w:val="24"/>
                <w:u w:val="none"/>
                <w:lang w:val="en-US" w:eastAsia="zh-CN" w:bidi="ar"/>
              </w:rPr>
              <w:t>音录像档案</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US" w:eastAsia="zh-CN" w:bidi="ar-SA"/>
              </w:rPr>
            </w:pPr>
            <w:r>
              <w:rPr>
                <w:rFonts w:hint="eastAsia" w:ascii="仿宋_GB2312" w:hAnsi="宋体" w:eastAsia="仿宋_GB2312" w:cs="仿宋_GB2312"/>
                <w:i w:val="0"/>
                <w:color w:val="auto"/>
                <w:kern w:val="0"/>
                <w:sz w:val="24"/>
                <w:szCs w:val="24"/>
                <w:u w:val="none"/>
                <w:lang w:val="en-US" w:eastAsia="zh-CN" w:bidi="ar"/>
              </w:rPr>
              <w:t>130组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6</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实物档案</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6</w:t>
            </w:r>
            <w:r>
              <w:rPr>
                <w:rFonts w:hint="default" w:ascii="仿宋_GB2312" w:hAnsi="宋体" w:eastAsia="仿宋_GB2312" w:cs="仿宋_GB2312"/>
                <w:i w:val="0"/>
                <w:color w:val="auto"/>
                <w:kern w:val="0"/>
                <w:sz w:val="24"/>
                <w:szCs w:val="24"/>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7</w:t>
            </w:r>
          </w:p>
        </w:tc>
        <w:tc>
          <w:tcPr>
            <w:tcW w:w="172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b w:val="0"/>
                <w:bCs w:val="0"/>
                <w:i w:val="0"/>
                <w:color w:val="auto"/>
                <w:kern w:val="0"/>
                <w:sz w:val="24"/>
                <w:szCs w:val="24"/>
                <w:u w:val="none"/>
                <w:lang w:val="en-US" w:eastAsia="zh-CN" w:bidi="ar"/>
              </w:rPr>
              <w:t>档案电子化</w:t>
            </w: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档案电子化</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约46000</w:t>
            </w:r>
            <w:r>
              <w:rPr>
                <w:rFonts w:hint="default" w:ascii="仿宋_GB2312" w:hAnsi="宋体" w:eastAsia="仿宋_GB2312" w:cs="仿宋_GB2312"/>
                <w:i w:val="0"/>
                <w:color w:val="auto"/>
                <w:kern w:val="0"/>
                <w:sz w:val="24"/>
                <w:szCs w:val="24"/>
                <w:u w:val="none"/>
                <w:lang w:val="en-US" w:eastAsia="zh-CN" w:bidi="ar"/>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8</w:t>
            </w:r>
          </w:p>
        </w:tc>
        <w:tc>
          <w:tcPr>
            <w:tcW w:w="172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档案编目</w:t>
            </w: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档案目录</w:t>
            </w:r>
          </w:p>
        </w:tc>
        <w:tc>
          <w:tcPr>
            <w:tcW w:w="2538"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 w:eastAsia="zh-CN" w:bidi="ar-SA"/>
              </w:rPr>
            </w:pPr>
            <w:r>
              <w:rPr>
                <w:rFonts w:hint="default" w:ascii="仿宋_GB2312" w:hAnsi="宋体" w:eastAsia="仿宋_GB2312" w:cs="仿宋_GB2312"/>
                <w:i w:val="0"/>
                <w:color w:val="auto"/>
                <w:kern w:val="0"/>
                <w:sz w:val="24"/>
                <w:szCs w:val="24"/>
                <w:u w:val="none"/>
                <w:lang w:val="en-US" w:eastAsia="zh-CN" w:bidi="ar"/>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9</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档案编研资料</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eastAsia" w:ascii="仿宋_GB2312" w:hAnsi="宋体" w:eastAsia="仿宋_GB2312" w:cs="仿宋_GB2312"/>
                <w:i w:val="0"/>
                <w:color w:val="auto"/>
                <w:kern w:val="0"/>
                <w:sz w:val="24"/>
                <w:szCs w:val="24"/>
                <w:u w:val="none"/>
                <w:lang w:val="en-US" w:eastAsia="zh-CN" w:bidi="ar"/>
              </w:rPr>
              <w:t>3</w:t>
            </w:r>
            <w:r>
              <w:rPr>
                <w:rFonts w:hint="default" w:ascii="仿宋_GB2312" w:hAnsi="宋体" w:eastAsia="仿宋_GB2312" w:cs="仿宋_GB2312"/>
                <w:i w:val="0"/>
                <w:color w:val="auto"/>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10</w:t>
            </w:r>
          </w:p>
        </w:tc>
        <w:tc>
          <w:tcPr>
            <w:tcW w:w="172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档案管理耗材</w:t>
            </w:r>
          </w:p>
        </w:tc>
        <w:tc>
          <w:tcPr>
            <w:tcW w:w="2440" w:type="dxa"/>
            <w:noWrap w:val="0"/>
            <w:vAlign w:val="center"/>
          </w:tcPr>
          <w:p>
            <w:pPr>
              <w:keepNext w:val="0"/>
              <w:keepLines w:val="0"/>
              <w:widowControl/>
              <w:suppressLineNumbers w:val="0"/>
              <w:jc w:val="center"/>
              <w:textAlignment w:val="center"/>
              <w:rPr>
                <w:rFonts w:hint="default" w:ascii="仿宋_GB2312" w:hAnsi="Times New Roman" w:eastAsia="仿宋_GB2312" w:cs="Times New Roman"/>
                <w:b w:val="0"/>
                <w:bCs w:val="0"/>
                <w:color w:val="auto"/>
                <w:kern w:val="2"/>
                <w:sz w:val="24"/>
                <w:szCs w:val="24"/>
                <w:lang w:val="en-US" w:eastAsia="zh-CN" w:bidi="ar-SA"/>
              </w:rPr>
            </w:pPr>
            <w:r>
              <w:rPr>
                <w:rFonts w:hint="default" w:ascii="仿宋_GB2312" w:hAnsi="宋体" w:eastAsia="仿宋_GB2312" w:cs="仿宋_GB2312"/>
                <w:i w:val="0"/>
                <w:color w:val="auto"/>
                <w:kern w:val="0"/>
                <w:sz w:val="24"/>
                <w:szCs w:val="24"/>
                <w:u w:val="none"/>
                <w:lang w:val="en-US" w:eastAsia="zh-CN" w:bidi="ar"/>
              </w:rPr>
              <w:t>档案</w:t>
            </w:r>
            <w:r>
              <w:rPr>
                <w:rFonts w:hint="eastAsia" w:ascii="仿宋_GB2312" w:hAnsi="宋体" w:eastAsia="仿宋_GB2312" w:cs="仿宋_GB2312"/>
                <w:i w:val="0"/>
                <w:color w:val="auto"/>
                <w:kern w:val="0"/>
                <w:sz w:val="24"/>
                <w:szCs w:val="24"/>
                <w:u w:val="none"/>
                <w:lang w:val="en-US" w:eastAsia="zh-CN" w:bidi="ar"/>
              </w:rPr>
              <w:t>耗材费</w:t>
            </w:r>
          </w:p>
        </w:tc>
        <w:tc>
          <w:tcPr>
            <w:tcW w:w="2538" w:type="dxa"/>
            <w:noWrap w:val="0"/>
            <w:vAlign w:val="center"/>
          </w:tcPr>
          <w:p>
            <w:pPr>
              <w:keepNext w:val="0"/>
              <w:keepLines w:val="0"/>
              <w:widowControl/>
              <w:suppressLineNumbers w:val="0"/>
              <w:jc w:val="center"/>
              <w:textAlignment w:val="center"/>
              <w:rPr>
                <w:rFonts w:hint="default" w:ascii="Calibri" w:hAnsi="Calibri" w:eastAsia="宋体" w:cs="Times New Roman"/>
                <w:color w:val="auto"/>
                <w:kern w:val="2"/>
                <w:sz w:val="24"/>
                <w:szCs w:val="24"/>
                <w:vertAlign w:val="baseline"/>
                <w:lang w:val="en" w:eastAsia="zh-CN" w:bidi="ar-SA"/>
              </w:rPr>
            </w:pPr>
            <w:r>
              <w:rPr>
                <w:rFonts w:hint="default" w:ascii="仿宋_GB2312" w:hAnsi="宋体" w:eastAsia="仿宋_GB2312" w:cs="仿宋_GB2312"/>
                <w:i w:val="0"/>
                <w:color w:val="auto"/>
                <w:kern w:val="0"/>
                <w:sz w:val="24"/>
                <w:szCs w:val="24"/>
                <w:u w:val="none"/>
                <w:lang w:val="en-US" w:eastAsia="zh-CN" w:bidi="ar"/>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11</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档案专用防霉驱虫费</w:t>
            </w:r>
          </w:p>
        </w:tc>
        <w:tc>
          <w:tcPr>
            <w:tcW w:w="2538"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12</w:t>
            </w:r>
          </w:p>
        </w:tc>
        <w:tc>
          <w:tcPr>
            <w:tcW w:w="172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val="0"/>
                <w:bCs w:val="0"/>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档案管理咨询</w:t>
            </w:r>
          </w:p>
        </w:tc>
        <w:tc>
          <w:tcPr>
            <w:tcW w:w="244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档案咨询指导费</w:t>
            </w:r>
          </w:p>
        </w:tc>
        <w:tc>
          <w:tcPr>
            <w:tcW w:w="2538"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5"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仿宋_GB2312" w:hAnsi="Times New Roman" w:eastAsia="仿宋_GB2312" w:cs="Times New Roman"/>
                <w:b/>
                <w:bCs/>
                <w:color w:val="auto"/>
                <w:kern w:val="2"/>
                <w:sz w:val="24"/>
                <w:szCs w:val="24"/>
                <w:lang w:val="en-US" w:eastAsia="zh-CN" w:bidi="ar-SA"/>
              </w:rPr>
            </w:pPr>
            <w:r>
              <w:rPr>
                <w:rFonts w:hint="eastAsia" w:ascii="仿宋_GB2312" w:hAnsi="Times New Roman" w:eastAsia="仿宋_GB2312" w:cs="Times New Roman"/>
                <w:b w:val="0"/>
                <w:bCs w:val="0"/>
                <w:color w:val="auto"/>
                <w:kern w:val="2"/>
                <w:sz w:val="24"/>
                <w:szCs w:val="24"/>
                <w:lang w:val="en-US" w:eastAsia="zh-CN" w:bidi="ar-SA"/>
              </w:rPr>
              <w:t>13</w:t>
            </w:r>
          </w:p>
        </w:tc>
        <w:tc>
          <w:tcPr>
            <w:tcW w:w="172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Times New Roman" w:eastAsia="仿宋_GB2312" w:cs="Times New Roman"/>
                <w:b/>
                <w:bCs/>
                <w:color w:val="auto"/>
                <w:kern w:val="2"/>
                <w:sz w:val="24"/>
                <w:szCs w:val="24"/>
                <w:lang w:val="en-US" w:eastAsia="zh-CN" w:bidi="ar-SA"/>
              </w:rPr>
            </w:pPr>
          </w:p>
        </w:tc>
        <w:tc>
          <w:tcPr>
            <w:tcW w:w="244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档案技术指导费</w:t>
            </w:r>
          </w:p>
        </w:tc>
        <w:tc>
          <w:tcPr>
            <w:tcW w:w="2538"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45" w:type="dxa"/>
            <w:gridSpan w:val="4"/>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投标价格：</w:t>
            </w:r>
            <w:r>
              <w:rPr>
                <w:rFonts w:hint="eastAsia" w:ascii="仿宋_GB2312" w:hAnsi="仿宋_GB2312" w:eastAsia="仿宋_GB2312" w:cs="仿宋_GB2312"/>
                <w:b w:val="0"/>
                <w:bCs w:val="0"/>
                <w:i w:val="0"/>
                <w:iCs w:val="0"/>
                <w:color w:val="000000"/>
                <w:kern w:val="0"/>
                <w:sz w:val="24"/>
                <w:szCs w:val="24"/>
                <w:u w:val="single"/>
                <w:lang w:val="en-US" w:eastAsia="zh-CN" w:bidi="ar"/>
              </w:rPr>
              <w:t xml:space="preserve">             </w:t>
            </w:r>
            <w:r>
              <w:rPr>
                <w:rFonts w:hint="eastAsia" w:ascii="仿宋_GB2312" w:hAnsi="仿宋_GB2312" w:eastAsia="仿宋_GB2312" w:cs="仿宋_GB2312"/>
                <w:b w:val="0"/>
                <w:bCs w:val="0"/>
                <w:i w:val="0"/>
                <w:iCs w:val="0"/>
                <w:color w:val="000000"/>
                <w:kern w:val="0"/>
                <w:sz w:val="24"/>
                <w:szCs w:val="24"/>
                <w:u w:val="none"/>
                <w:lang w:val="en-US" w:eastAsia="zh-CN" w:bidi="ar"/>
              </w:rPr>
              <w:t>万元（以万元为单位，并最多保留两位小数）</w:t>
            </w:r>
          </w:p>
        </w:tc>
      </w:tr>
    </w:tbl>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黑体" w:hAnsi="黑体" w:eastAsia="黑体" w:cs="黑体"/>
          <w:bCs/>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w:t>
      </w:r>
      <w:r>
        <w:rPr>
          <w:rFonts w:hint="eastAsia" w:ascii="黑体" w:hAnsi="黑体" w:eastAsia="黑体" w:cs="黑体"/>
          <w:color w:val="auto"/>
          <w:sz w:val="32"/>
          <w:szCs w:val="32"/>
          <w:highlight w:val="none"/>
        </w:rPr>
        <w:t>供应商的资质要求</w:t>
      </w:r>
    </w:p>
    <w:p>
      <w:pPr>
        <w:pStyle w:val="2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2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w:t>
      </w:r>
      <w:bookmarkStart w:id="1" w:name="_GoBack"/>
      <w:bookmarkEnd w:id="1"/>
      <w:r>
        <w:rPr>
          <w:rFonts w:hint="eastAsia" w:ascii="仿宋_GB2312" w:hAnsi="仿宋" w:eastAsia="仿宋_GB2312" w:cs="仿宋"/>
          <w:sz w:val="32"/>
          <w:szCs w:val="32"/>
        </w:rPr>
        <w:t>以及不存在被有关部门禁止参与政府采购活动且在有效期内的情况;</w:t>
      </w:r>
    </w:p>
    <w:p>
      <w:pPr>
        <w:pStyle w:val="25"/>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六、选定供应商方法</w:t>
      </w:r>
    </w:p>
    <w:p>
      <w:pPr>
        <w:tabs>
          <w:tab w:val="left" w:pos="1820"/>
        </w:tabs>
        <w:adjustRightInd w:val="0"/>
        <w:snapToGrid w:val="0"/>
        <w:spacing w:line="560" w:lineRule="exact"/>
        <w:ind w:firstLine="640" w:firstLineChars="200"/>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综合评分法</w:t>
      </w:r>
    </w:p>
    <w:p>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七、评分要求</w:t>
      </w:r>
    </w:p>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81"/>
        <w:gridCol w:w="21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73"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评分内容</w:t>
            </w:r>
          </w:p>
        </w:tc>
        <w:tc>
          <w:tcPr>
            <w:tcW w:w="2281"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部分</w:t>
            </w:r>
          </w:p>
        </w:tc>
        <w:tc>
          <w:tcPr>
            <w:tcW w:w="2145"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技术</w:t>
            </w:r>
            <w:r>
              <w:rPr>
                <w:rFonts w:hint="eastAsia" w:ascii="仿宋_GB2312" w:hAnsi="仿宋_GB2312" w:eastAsia="仿宋_GB2312" w:cs="仿宋_GB2312"/>
                <w:b w:val="0"/>
                <w:bCs/>
                <w:color w:val="auto"/>
                <w:sz w:val="24"/>
                <w:szCs w:val="24"/>
                <w:highlight w:val="none"/>
                <w:lang w:eastAsia="zh-CN"/>
              </w:rPr>
              <w:t>部分</w:t>
            </w:r>
          </w:p>
        </w:tc>
        <w:tc>
          <w:tcPr>
            <w:tcW w:w="2160" w:type="dxa"/>
            <w:noWrap w:val="0"/>
            <w:vAlign w:val="center"/>
          </w:tcPr>
          <w:p>
            <w:pPr>
              <w:pStyle w:val="20"/>
              <w:spacing w:line="560" w:lineRule="exact"/>
              <w:jc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73"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分值</w:t>
            </w:r>
          </w:p>
        </w:tc>
        <w:tc>
          <w:tcPr>
            <w:tcW w:w="2281"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145"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65</w:t>
            </w:r>
            <w:r>
              <w:rPr>
                <w:rFonts w:hint="eastAsia" w:ascii="仿宋_GB2312" w:hAnsi="仿宋_GB2312" w:eastAsia="仿宋_GB2312" w:cs="仿宋_GB2312"/>
                <w:b w:val="0"/>
                <w:bCs/>
                <w:color w:val="auto"/>
                <w:sz w:val="24"/>
                <w:szCs w:val="24"/>
                <w:highlight w:val="none"/>
              </w:rPr>
              <w:t>分</w:t>
            </w:r>
          </w:p>
        </w:tc>
        <w:tc>
          <w:tcPr>
            <w:tcW w:w="2160"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15</w:t>
            </w:r>
            <w:r>
              <w:rPr>
                <w:rFonts w:hint="eastAsia" w:ascii="仿宋_GB2312" w:hAnsi="仿宋_GB2312" w:eastAsia="仿宋_GB2312" w:cs="仿宋_GB2312"/>
                <w:b w:val="0"/>
                <w:bCs/>
                <w:color w:val="auto"/>
                <w:sz w:val="24"/>
                <w:szCs w:val="24"/>
                <w:highlight w:val="none"/>
              </w:rPr>
              <w:t>分</w:t>
            </w:r>
          </w:p>
        </w:tc>
      </w:tr>
    </w:tbl>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670"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670"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6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同类项目经验</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670" w:type="dxa"/>
            <w:noWrap w:val="0"/>
            <w:vAlign w:val="top"/>
          </w:tcPr>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highlight w:val="none"/>
                <w:lang w:val="en-US" w:eastAsia="zh-CN"/>
              </w:rPr>
              <w:t>人自2022年1月1日至本项目投</w:t>
            </w:r>
            <w:r>
              <w:rPr>
                <w:rFonts w:hint="eastAsia" w:ascii="仿宋_GB2312" w:hAnsi="仿宋_GB2312" w:eastAsia="仿宋_GB2312" w:cs="仿宋_GB2312"/>
                <w:color w:val="auto"/>
                <w:sz w:val="24"/>
                <w:szCs w:val="24"/>
                <w:highlight w:val="none"/>
                <w:lang w:val="en-US" w:eastAsia="zh-CN"/>
              </w:rPr>
              <w:t>标截止日（以合同签订日期为准），每提供一项档案整理同类业</w:t>
            </w:r>
            <w:r>
              <w:rPr>
                <w:rFonts w:hint="eastAsia" w:ascii="仿宋_GB2312" w:hAnsi="仿宋_GB2312" w:eastAsia="仿宋_GB2312" w:cs="仿宋_GB2312"/>
                <w:sz w:val="24"/>
                <w:szCs w:val="24"/>
                <w:highlight w:val="none"/>
                <w:lang w:val="en-US" w:eastAsia="zh-CN"/>
              </w:rPr>
              <w:t>绩得5分，</w:t>
            </w:r>
            <w:r>
              <w:rPr>
                <w:rFonts w:hint="eastAsia" w:ascii="仿宋_GB2312" w:hAnsi="仿宋_GB2312" w:eastAsia="仿宋_GB2312" w:cs="仿宋_GB2312"/>
                <w:sz w:val="24"/>
                <w:szCs w:val="24"/>
                <w:highlight w:val="none"/>
                <w:lang w:eastAsia="zh-CN"/>
              </w:rPr>
              <w:t>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lang w:eastAsia="zh-CN"/>
              </w:rPr>
              <w:t>分</w:t>
            </w:r>
            <w:r>
              <w:rPr>
                <w:rFonts w:hint="eastAsia" w:ascii="仿宋_GB2312" w:hAnsi="仿宋_GB2312" w:eastAsia="仿宋_GB2312" w:cs="仿宋_GB2312"/>
                <w:sz w:val="24"/>
                <w:szCs w:val="24"/>
                <w:highlight w:val="none"/>
                <w:lang w:val="en-US" w:eastAsia="zh-CN"/>
              </w:rPr>
              <w:t>。</w:t>
            </w:r>
          </w:p>
          <w:p>
            <w:pPr>
              <w:topLinePunct/>
              <w:snapToGrid w:val="0"/>
              <w:jc w:val="both"/>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）评审依据：</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每项业绩按以下要求提供完整准确的证明文件</w:t>
            </w:r>
            <w:r>
              <w:rPr>
                <w:rFonts w:hint="eastAsia" w:ascii="仿宋_GB2312" w:hAnsi="仿宋_GB2312" w:eastAsia="仿宋_GB2312" w:cs="仿宋_GB2312"/>
                <w:sz w:val="24"/>
                <w:szCs w:val="24"/>
                <w:lang w:eastAsia="zh-CN"/>
              </w:rPr>
              <w:t>（中标通知书、合同关键页），一个合同计算一个业绩，一年一签的续签合同只计算一个业绩：</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拟安排项目团队成员情况</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670" w:type="dxa"/>
            <w:noWrap w:val="0"/>
            <w:vAlign w:val="center"/>
          </w:tcPr>
          <w:p>
            <w:pPr>
              <w:topLinePunct/>
              <w:snapToGrid w:val="0"/>
              <w:jc w:val="both"/>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（一）评审内容：</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highlight w:val="none"/>
                <w:lang w:eastAsia="zh-CN"/>
              </w:rPr>
              <w:t>拟</w:t>
            </w:r>
            <w:r>
              <w:rPr>
                <w:rFonts w:hint="eastAsia" w:ascii="仿宋_GB2312" w:hAnsi="仿宋_GB2312" w:eastAsia="仿宋_GB2312" w:cs="仿宋_GB2312"/>
                <w:sz w:val="24"/>
                <w:szCs w:val="24"/>
                <w:lang w:val="en-US" w:eastAsia="zh-CN"/>
              </w:rPr>
              <w:t>派本项目的服务人员情况：</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1.具有本科或者以上学历，每提供1个得1.5分，本项最高得3分；</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2.具有档案管理初级及以上职称（助理馆员或以上），每提供1个得2分，本项最高得2分。</w:t>
            </w:r>
          </w:p>
          <w:p>
            <w:pPr>
              <w:topLinePunct/>
              <w:snapToGrid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以上同一人可重复的分。</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）评审依据：</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1.提供人员学历证书，同时提供学信网查询记录截图。</w:t>
            </w:r>
          </w:p>
          <w:p>
            <w:pPr>
              <w:topLinePunct/>
              <w:snapToGrid w:val="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提供项目团队成员的相关资格证书的复印件或扫描件，且须提供项目负责人近1个月（截至投标之日前1个月）由投标人为其缴交的载有社保部门公章的社保缴交证明材料，如开标日上一个月的社保材料因社保部门原因暂时无法取得，则可以往前顺延一个月；不提供不得分。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项目完成（服务期满）</w:t>
            </w:r>
          </w:p>
          <w:p>
            <w:pPr>
              <w:spacing w:line="560" w:lineRule="exact"/>
              <w:jc w:val="center"/>
              <w:rPr>
                <w:rFonts w:hint="eastAsia"/>
                <w:lang w:eastAsia="zh-CN"/>
              </w:rPr>
            </w:pPr>
            <w:r>
              <w:rPr>
                <w:rFonts w:hint="eastAsia" w:ascii="仿宋_GB2312" w:hAnsi="仿宋_GB2312" w:eastAsia="仿宋_GB2312" w:cs="仿宋_GB2312"/>
                <w:sz w:val="24"/>
                <w:szCs w:val="24"/>
                <w:highlight w:val="none"/>
                <w:lang w:val="en-US" w:eastAsia="zh-CN"/>
              </w:rPr>
              <w:t>后的服务承诺（5分）</w:t>
            </w:r>
          </w:p>
        </w:tc>
        <w:tc>
          <w:tcPr>
            <w:tcW w:w="6670" w:type="dxa"/>
            <w:noWrap w:val="0"/>
            <w:vAlign w:val="center"/>
          </w:tcPr>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1.项目成果资料完整移交；</w:t>
            </w:r>
          </w:p>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2.服务期满后必要技术支持。</w:t>
            </w:r>
          </w:p>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trPr>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（30分）</w:t>
            </w:r>
          </w:p>
        </w:tc>
        <w:tc>
          <w:tcPr>
            <w:tcW w:w="6670" w:type="dxa"/>
            <w:noWrap w:val="0"/>
            <w:vAlign w:val="top"/>
          </w:tcPr>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考察</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内容：</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投标人须提供项目方案包括：</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1.档案管理的整体设想及策划；</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bidi="ar-SA"/>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2.</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项目工期安排；</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t>档案</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管理运作</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标准；</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人员安排与培训方案。</w:t>
            </w:r>
          </w:p>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满足以上任意一项要求得5分，最高得20分，在此基础上。</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根据各供应商的具体响应内容按照量化的评审因素指标进一步评审，设定优、良、中、差四个评分标准：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1.优：项目实施方案内容全面、具体、针对性强、科学合理、可操作性强得10分；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2.良：项目实施方案内容较丰富、较具体、针对性较强、较科学合理、可操作性较强得7分；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3.中：项目实施方案</w:t>
            </w:r>
            <w:r>
              <w:rPr>
                <w:rFonts w:hint="eastAsia" w:ascii="仿宋_GB2312" w:hAnsi="仿宋_GB2312" w:eastAsia="仿宋_GB2312" w:cs="仿宋_GB2312"/>
                <w:color w:val="auto"/>
                <w:sz w:val="24"/>
                <w:szCs w:val="24"/>
                <w:highlight w:val="none"/>
                <w:lang w:val="en-US" w:eastAsia="zh-CN"/>
              </w:rPr>
              <w:t>内容、针对性、可操作性一般</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得5分；</w:t>
            </w:r>
          </w:p>
          <w:p>
            <w:pPr>
              <w:spacing w:line="0" w:lineRule="atLeas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keepNext w:val="0"/>
              <w:keepLines w:val="0"/>
              <w:pageBreakBefore w:val="0"/>
              <w:widowControl w:val="0"/>
              <w:snapToGrid/>
              <w:spacing w:line="276"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spacing w:line="560" w:lineRule="exact"/>
              <w:jc w:val="center"/>
              <w:rPr>
                <w:rFonts w:hint="eastAsia"/>
                <w:lang w:eastAsia="zh-CN"/>
              </w:rPr>
            </w:pPr>
            <w:r>
              <w:rPr>
                <w:rFonts w:hint="eastAsia" w:ascii="仿宋_GB2312" w:hAnsi="仿宋_GB2312" w:eastAsia="仿宋_GB2312" w:cs="仿宋_GB2312"/>
                <w:color w:val="auto"/>
                <w:sz w:val="24"/>
                <w:szCs w:val="24"/>
                <w:highlight w:val="none"/>
                <w:lang w:val="en-US" w:eastAsia="zh-CN"/>
              </w:rPr>
              <w:t>（20分</w:t>
            </w:r>
            <w:r>
              <w:rPr>
                <w:rFonts w:hint="eastAsia" w:ascii="仿宋_GB2312" w:hAnsi="仿宋_GB2312" w:eastAsia="仿宋_GB2312" w:cs="仿宋_GB2312"/>
                <w:sz w:val="24"/>
                <w:szCs w:val="24"/>
                <w:vertAlign w:val="baseline"/>
                <w:lang w:val="en-US" w:eastAsia="zh-CN"/>
              </w:rPr>
              <w:t>）</w:t>
            </w:r>
          </w:p>
        </w:tc>
        <w:tc>
          <w:tcPr>
            <w:tcW w:w="6670"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考察对项目工作量、可完成度等重点难点问题的识别和分析能力，并就识别出的重点难点提出可行的应对措施及合理化建议。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包括但不限于以下内容：</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1.详细阐述本项目存在的重难点问题；</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2.根据项目重难点，详细阐述对应的应对措施；</w:t>
            </w:r>
          </w:p>
          <w:p>
            <w:pPr>
              <w:topLinePunct/>
              <w:snapToGrid w:val="0"/>
              <w:jc w:val="left"/>
              <w:rPr>
                <w:rFonts w:hint="eastAsia" w:ascii="仿宋_GB2312" w:hAnsi="仿宋_GB2312" w:eastAsia="仿宋_GB2312" w:cs="仿宋_GB2312"/>
                <w:b/>
                <w:bCs/>
                <w:sz w:val="24"/>
                <w:szCs w:val="24"/>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3.向招标方提出项目实施及与其他建设项目协调的具体建议。</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满足以上任意一项要求得4分，最高得12分，在此基础上。根据各供应商的具体响应内容按照量化的评审因素指标进一步评审，设定优、良、中、差四个评分标准：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1.优：以上项目重点难点分析、应对措施及相关的合理化建议的三点内容全面具体、针对性强、可操作性强，加8分；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2.良：以上项目重点难点分析、应对措施及相关的合理化建议的三点内容较丰富、针对性较强、可操作性较强，加5分；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3.中：以上项目重点难点分析、应对措施及相关的合理化建议的三点内容完整性、针对性、可操作性均一般，加2分；</w:t>
            </w:r>
          </w:p>
          <w:p>
            <w:pPr>
              <w:spacing w:line="0" w:lineRule="atLeast"/>
              <w:jc w:val="left"/>
              <w:rPr>
                <w:rFonts w:hint="eastAsia"/>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安全</w:t>
            </w:r>
          </w:p>
          <w:p>
            <w:pPr>
              <w:spacing w:line="56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保密</w:t>
            </w:r>
          </w:p>
          <w:p>
            <w:pPr>
              <w:spacing w:line="5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（15分）</w:t>
            </w:r>
          </w:p>
        </w:tc>
        <w:tc>
          <w:tcPr>
            <w:tcW w:w="6670"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投标人须提供项目</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方案</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包括：</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CN" w:eastAsia="zh-TW"/>
              </w:rPr>
              <w:t>档案实体安全</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CN" w:eastAsia="zh-TW"/>
              </w:rPr>
              <w:t>信息安全保密</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w:t>
            </w:r>
          </w:p>
          <w:p>
            <w:pPr>
              <w:topLinePunct/>
              <w:snapToGrid w:val="0"/>
              <w:jc w:val="left"/>
              <w:rPr>
                <w:rFonts w:hint="default" w:ascii="仿宋_GB2312" w:hAnsi="仿宋_GB2312" w:eastAsia="仿宋_GB2312" w:cs="仿宋_GB2312"/>
                <w:b/>
                <w:bCs/>
                <w:sz w:val="24"/>
                <w:szCs w:val="24"/>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CN" w:eastAsia="zh-TW"/>
              </w:rPr>
              <w:t>现场安全保障管理措施方案</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满足以上任意一项要求得3分，最高得9分，在此基础上。根据各供应商的具体响应内容按照量化的评审因素指标进一步评审，设定优、良、中、差四个评分标准：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1.优：安全保密的三点内容全面具体、针对性强、可操作性强，加6分；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2.良：安全保密的三点内容较丰富、针对性较强、可操作性较强，加4分；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3.中：安全保密的三点内容完整性、针对性、可操作性均一般，加2分；</w:t>
            </w:r>
          </w:p>
          <w:p>
            <w:pPr>
              <w:spacing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4.差：其它情况不得分。</w:t>
            </w:r>
          </w:p>
        </w:tc>
      </w:tr>
    </w:tbl>
    <w:p>
      <w:pPr>
        <w:pStyle w:val="20"/>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w:t>
      </w:r>
      <w:r>
        <w:rPr>
          <w:rFonts w:hint="eastAsia" w:ascii="仿宋_GB2312" w:hAnsi="仿宋" w:eastAsia="仿宋_GB2312" w:cs="Times New Roman"/>
          <w:sz w:val="32"/>
          <w:lang w:eastAsia="zh-CN"/>
        </w:rPr>
        <w:t>、劳务派遣经营许可证</w:t>
      </w:r>
      <w:r>
        <w:rPr>
          <w:rFonts w:hint="eastAsia" w:ascii="仿宋_GB2312" w:hAnsi="仿宋" w:eastAsia="仿宋_GB2312" w:cs="Times New Roman"/>
          <w:sz w:val="32"/>
        </w:rPr>
        <w:t>；</w:t>
      </w:r>
    </w:p>
    <w:p>
      <w:pPr>
        <w:spacing w:line="560" w:lineRule="exact"/>
        <w:ind w:firstLine="640" w:firstLineChars="200"/>
        <w:rPr>
          <w:sz w:val="32"/>
          <w:szCs w:val="32"/>
        </w:rPr>
      </w:pPr>
      <w:r>
        <w:rPr>
          <w:rFonts w:hint="eastAsia" w:ascii="仿宋_GB2312" w:hAnsi="仿宋" w:eastAsia="仿宋_GB2312" w:cs="Times New Roman"/>
          <w:sz w:val="32"/>
          <w:szCs w:val="32"/>
        </w:rPr>
        <w:t>2.法定代表人身份证复印件；</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default" w:ascii="仿宋_GB2312" w:hAnsi="仿宋" w:eastAsia="仿宋_GB2312" w:cs="Times New Roman"/>
          <w:color w:val="000000"/>
          <w:sz w:val="32"/>
          <w:highlight w:val="none"/>
          <w:lang w:val="en-US" w:eastAsia="zh-CN"/>
        </w:rPr>
      </w:pPr>
      <w:r>
        <w:rPr>
          <w:rFonts w:hint="eastAsia" w:ascii="仿宋_GB2312" w:hAnsi="仿宋" w:eastAsia="仿宋_GB2312" w:cs="Times New Roman"/>
          <w:color w:val="000000"/>
          <w:sz w:val="32"/>
          <w:highlight w:val="none"/>
          <w:lang w:val="en-US" w:eastAsia="zh-CN"/>
        </w:rPr>
        <w:t>5.诚信承诺书（详见附件1）；</w:t>
      </w:r>
    </w:p>
    <w:p>
      <w:pPr>
        <w:pStyle w:val="6"/>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6"/>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并在封面备注“2026年度档案整理项目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24"/>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2"/>
        <w:rPr>
          <w:rFonts w:hint="eastAsia" w:ascii="仿宋_GB2312" w:hAnsi="仿宋" w:eastAsia="仿宋_GB2312" w:cs="Times New Roman"/>
          <w:sz w:val="32"/>
          <w:szCs w:val="22"/>
        </w:rPr>
      </w:pPr>
    </w:p>
    <w:p>
      <w:pPr>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rPr>
          <w:rFonts w:hint="eastAsia"/>
        </w:rPr>
      </w:pPr>
    </w:p>
    <w:p>
      <w:pPr>
        <w:pStyle w:val="2"/>
        <w:rPr>
          <w:rFonts w:hint="eastAsia"/>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
        <w:rPr>
          <w:rFonts w:hint="default"/>
          <w:lang w:val="en-US" w:eastAsia="zh-CN"/>
        </w:rPr>
      </w:pPr>
    </w:p>
    <w:p>
      <w:pPr>
        <w:pStyle w:val="2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6"/>
        <w:keepNext w:val="0"/>
        <w:keepLines w:val="0"/>
        <w:pageBreakBefore w:val="0"/>
        <w:widowControl w:val="0"/>
        <w:kinsoku/>
        <w:wordWrap/>
        <w:overflowPunct/>
        <w:topLinePunct w:val="0"/>
        <w:autoSpaceDE/>
        <w:autoSpaceDN/>
        <w:bidi w:val="0"/>
        <w:adjustRightInd/>
        <w:snapToGrid/>
        <w:spacing w:after="0" w:line="40" w:lineRule="exact"/>
        <w:ind w:left="0" w:leftChars="0" w:right="0" w:rightChars="0" w:firstLine="0" w:firstLineChars="0"/>
        <w:textAlignment w:val="auto"/>
        <w:rPr>
          <w:rFonts w:hint="eastAsia" w:ascii="仿宋_GB2312" w:hAnsi="等线" w:eastAsia="仿宋_GB2312" w:cs="Times New Roman"/>
          <w:color w:val="auto"/>
          <w:kern w:val="2"/>
          <w:sz w:val="32"/>
          <w:szCs w:val="32"/>
          <w:highlight w:val="none"/>
          <w:lang w:val="en-US" w:eastAsia="zh-CN" w:bidi="ar-SA"/>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BAA9"/>
    <w:multiLevelType w:val="singleLevel"/>
    <w:tmpl w:val="BFFABAA9"/>
    <w:lvl w:ilvl="0" w:tentative="0">
      <w:start w:val="3"/>
      <w:numFmt w:val="chineseCounting"/>
      <w:suff w:val="nothing"/>
      <w:lvlText w:val="%1、"/>
      <w:lvlJc w:val="left"/>
      <w:rPr>
        <w:rFonts w:hint="eastAsia"/>
      </w:rPr>
    </w:lvl>
  </w:abstractNum>
  <w:abstractNum w:abstractNumId="1">
    <w:nsid w:val="F39E26B2"/>
    <w:multiLevelType w:val="singleLevel"/>
    <w:tmpl w:val="F39E2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jQ0MzE1ZGNmMzIyODZiYWRlNjFiOTAxNjNjNjAifQ=="/>
  </w:docVars>
  <w:rsids>
    <w:rsidRoot w:val="0074615D"/>
    <w:rsid w:val="002153FD"/>
    <w:rsid w:val="003B0B55"/>
    <w:rsid w:val="004C2C40"/>
    <w:rsid w:val="0074615D"/>
    <w:rsid w:val="008C14FF"/>
    <w:rsid w:val="00A92247"/>
    <w:rsid w:val="00B55928"/>
    <w:rsid w:val="00F44A48"/>
    <w:rsid w:val="02A14404"/>
    <w:rsid w:val="02ED4ABC"/>
    <w:rsid w:val="037261DA"/>
    <w:rsid w:val="03BA7C4F"/>
    <w:rsid w:val="04F94B0A"/>
    <w:rsid w:val="04FF4024"/>
    <w:rsid w:val="05701B1B"/>
    <w:rsid w:val="06272FC8"/>
    <w:rsid w:val="07E6528B"/>
    <w:rsid w:val="082A6214"/>
    <w:rsid w:val="0B1A5ABE"/>
    <w:rsid w:val="0D4A4E59"/>
    <w:rsid w:val="0DD23D4A"/>
    <w:rsid w:val="0E336732"/>
    <w:rsid w:val="10152737"/>
    <w:rsid w:val="13662464"/>
    <w:rsid w:val="15DE511D"/>
    <w:rsid w:val="17115D70"/>
    <w:rsid w:val="180C63B2"/>
    <w:rsid w:val="18462EE2"/>
    <w:rsid w:val="1D23268B"/>
    <w:rsid w:val="1DEA08D0"/>
    <w:rsid w:val="1F3E85E6"/>
    <w:rsid w:val="1FA45CB2"/>
    <w:rsid w:val="1FED356F"/>
    <w:rsid w:val="1FFD2B14"/>
    <w:rsid w:val="235D47F0"/>
    <w:rsid w:val="236849F0"/>
    <w:rsid w:val="238B4897"/>
    <w:rsid w:val="25FF5BF4"/>
    <w:rsid w:val="264E265F"/>
    <w:rsid w:val="2704160A"/>
    <w:rsid w:val="2AAD1FBB"/>
    <w:rsid w:val="2B3A4917"/>
    <w:rsid w:val="2B99610C"/>
    <w:rsid w:val="2BC813F8"/>
    <w:rsid w:val="2BCA72ED"/>
    <w:rsid w:val="2CBBB084"/>
    <w:rsid w:val="321111A9"/>
    <w:rsid w:val="337FBBD0"/>
    <w:rsid w:val="34185F52"/>
    <w:rsid w:val="348113C1"/>
    <w:rsid w:val="35A47850"/>
    <w:rsid w:val="361735D6"/>
    <w:rsid w:val="389D7E6F"/>
    <w:rsid w:val="395170EE"/>
    <w:rsid w:val="395C4529"/>
    <w:rsid w:val="3BBFA75F"/>
    <w:rsid w:val="3BCF32C9"/>
    <w:rsid w:val="3BFFDE6F"/>
    <w:rsid w:val="3C4115E4"/>
    <w:rsid w:val="3C6B36A0"/>
    <w:rsid w:val="3CC41D19"/>
    <w:rsid w:val="3DBD16A1"/>
    <w:rsid w:val="3DDD7E2A"/>
    <w:rsid w:val="3F1F1C2A"/>
    <w:rsid w:val="3FF35B40"/>
    <w:rsid w:val="3FFF9BDC"/>
    <w:rsid w:val="406412D2"/>
    <w:rsid w:val="407BB429"/>
    <w:rsid w:val="408D7917"/>
    <w:rsid w:val="42126DD2"/>
    <w:rsid w:val="46190247"/>
    <w:rsid w:val="46E56473"/>
    <w:rsid w:val="47271AF0"/>
    <w:rsid w:val="47AC489C"/>
    <w:rsid w:val="4902618C"/>
    <w:rsid w:val="4A274EC8"/>
    <w:rsid w:val="4C484939"/>
    <w:rsid w:val="4C5A74AA"/>
    <w:rsid w:val="4C8C268C"/>
    <w:rsid w:val="4CF107F4"/>
    <w:rsid w:val="4D5C222A"/>
    <w:rsid w:val="5118124A"/>
    <w:rsid w:val="548036DC"/>
    <w:rsid w:val="557B8E9C"/>
    <w:rsid w:val="55AB2248"/>
    <w:rsid w:val="56F52114"/>
    <w:rsid w:val="57097A1B"/>
    <w:rsid w:val="57B811C8"/>
    <w:rsid w:val="58AA5BB8"/>
    <w:rsid w:val="5AB61E7E"/>
    <w:rsid w:val="5BBF0E3A"/>
    <w:rsid w:val="5BF31B69"/>
    <w:rsid w:val="5BFF0F1D"/>
    <w:rsid w:val="5BFF387A"/>
    <w:rsid w:val="5EDF531A"/>
    <w:rsid w:val="5F9F34E6"/>
    <w:rsid w:val="5FFE6D40"/>
    <w:rsid w:val="617C5F6F"/>
    <w:rsid w:val="626369F4"/>
    <w:rsid w:val="637EFB69"/>
    <w:rsid w:val="638D15C2"/>
    <w:rsid w:val="65AE3591"/>
    <w:rsid w:val="65C632AB"/>
    <w:rsid w:val="6784413C"/>
    <w:rsid w:val="679C9D28"/>
    <w:rsid w:val="6AEB0FDA"/>
    <w:rsid w:val="6BBCDB43"/>
    <w:rsid w:val="6BDF2477"/>
    <w:rsid w:val="6BF41069"/>
    <w:rsid w:val="6C7B1A39"/>
    <w:rsid w:val="6CDCEA28"/>
    <w:rsid w:val="6CEE0D82"/>
    <w:rsid w:val="6CFEA0E7"/>
    <w:rsid w:val="6DE24AAE"/>
    <w:rsid w:val="6DFE90D3"/>
    <w:rsid w:val="6EA474E2"/>
    <w:rsid w:val="6EFD88AD"/>
    <w:rsid w:val="6FBC55A2"/>
    <w:rsid w:val="6FEB733A"/>
    <w:rsid w:val="6FF63296"/>
    <w:rsid w:val="708F3F5B"/>
    <w:rsid w:val="724D226A"/>
    <w:rsid w:val="725463B1"/>
    <w:rsid w:val="73783C1A"/>
    <w:rsid w:val="74D416AE"/>
    <w:rsid w:val="7773A6BE"/>
    <w:rsid w:val="778F212E"/>
    <w:rsid w:val="77EFA773"/>
    <w:rsid w:val="78EF13F3"/>
    <w:rsid w:val="7A6CC0A7"/>
    <w:rsid w:val="7AB13CAF"/>
    <w:rsid w:val="7BB35B7F"/>
    <w:rsid w:val="7BB37C70"/>
    <w:rsid w:val="7D7F690F"/>
    <w:rsid w:val="7D932127"/>
    <w:rsid w:val="7D9C4C8E"/>
    <w:rsid w:val="7D9FB900"/>
    <w:rsid w:val="7DCB037F"/>
    <w:rsid w:val="7DFC565D"/>
    <w:rsid w:val="7EFF3A6E"/>
    <w:rsid w:val="7F3AE1DF"/>
    <w:rsid w:val="7F3F0F87"/>
    <w:rsid w:val="7F6712BB"/>
    <w:rsid w:val="7F7BB7A2"/>
    <w:rsid w:val="7F7F6980"/>
    <w:rsid w:val="7FCFF390"/>
    <w:rsid w:val="7FEF9AF8"/>
    <w:rsid w:val="8BFE5F38"/>
    <w:rsid w:val="97B4F105"/>
    <w:rsid w:val="9DF870B0"/>
    <w:rsid w:val="9FEF4DDA"/>
    <w:rsid w:val="9FEFCC54"/>
    <w:rsid w:val="AAEA6B78"/>
    <w:rsid w:val="B7DD58C9"/>
    <w:rsid w:val="BD5160A8"/>
    <w:rsid w:val="BFB775D3"/>
    <w:rsid w:val="BFBBE81B"/>
    <w:rsid w:val="BFEE6C6D"/>
    <w:rsid w:val="BFFDE4D7"/>
    <w:rsid w:val="CDEEC7EA"/>
    <w:rsid w:val="CFE9CBA6"/>
    <w:rsid w:val="D1F7873C"/>
    <w:rsid w:val="D3FECFAB"/>
    <w:rsid w:val="D7E79960"/>
    <w:rsid w:val="D99F03D5"/>
    <w:rsid w:val="D9B6FDB6"/>
    <w:rsid w:val="DABFEA76"/>
    <w:rsid w:val="DBFC8B90"/>
    <w:rsid w:val="DE92D635"/>
    <w:rsid w:val="DEED65E6"/>
    <w:rsid w:val="DF5736EE"/>
    <w:rsid w:val="DFAB115F"/>
    <w:rsid w:val="DFB31674"/>
    <w:rsid w:val="E877C0D6"/>
    <w:rsid w:val="EB7F01B3"/>
    <w:rsid w:val="EBBDED0C"/>
    <w:rsid w:val="ECCF8D27"/>
    <w:rsid w:val="EDDFBA8F"/>
    <w:rsid w:val="EF7F04BB"/>
    <w:rsid w:val="EFCF7777"/>
    <w:rsid w:val="EFF7F102"/>
    <w:rsid w:val="F1FF8A48"/>
    <w:rsid w:val="F2BF9C83"/>
    <w:rsid w:val="F35EFA2E"/>
    <w:rsid w:val="F3DBB808"/>
    <w:rsid w:val="F3F6A00C"/>
    <w:rsid w:val="F7ADF9AD"/>
    <w:rsid w:val="F95F4F63"/>
    <w:rsid w:val="FAC7B370"/>
    <w:rsid w:val="FAF3D235"/>
    <w:rsid w:val="FDFFB3FE"/>
    <w:rsid w:val="FE7FB55E"/>
    <w:rsid w:val="FEF833E0"/>
    <w:rsid w:val="FEFB2584"/>
    <w:rsid w:val="FF9FACFC"/>
    <w:rsid w:val="FFA6F40E"/>
    <w:rsid w:val="FFB16BCF"/>
    <w:rsid w:val="FFDB21AB"/>
    <w:rsid w:val="FFFF58CC"/>
    <w:rsid w:val="FFFF7A9E"/>
    <w:rsid w:val="FFFFC3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5">
    <w:name w:val="Normal Indent"/>
    <w:basedOn w:val="1"/>
    <w:qFormat/>
    <w:uiPriority w:val="0"/>
    <w:pPr>
      <w:ind w:firstLine="420"/>
    </w:pPr>
    <w:rPr>
      <w:szCs w:val="20"/>
    </w:rPr>
  </w:style>
  <w:style w:type="paragraph" w:styleId="6">
    <w:name w:val="Block Text"/>
    <w:basedOn w:val="1"/>
    <w:qFormat/>
    <w:uiPriority w:val="0"/>
    <w:pPr>
      <w:tabs>
        <w:tab w:val="left" w:pos="426"/>
      </w:tabs>
      <w:spacing w:after="120"/>
      <w:ind w:left="1440" w:leftChars="700" w:right="1440" w:rightChars="7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qFormat/>
    <w:uiPriority w:val="0"/>
    <w:pPr>
      <w:ind w:firstLine="420" w:firstLineChars="100"/>
    </w:pPr>
    <w:rPr>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000000"/>
      <w:u w:val="none"/>
    </w:rPr>
  </w:style>
  <w:style w:type="character" w:styleId="14">
    <w:name w:val="Emphasis"/>
    <w:basedOn w:val="12"/>
    <w:qFormat/>
    <w:uiPriority w:val="0"/>
    <w:rPr>
      <w:sz w:val="22"/>
      <w:szCs w:val="22"/>
    </w:rPr>
  </w:style>
  <w:style w:type="character" w:styleId="15">
    <w:name w:val="Hyperlink"/>
    <w:basedOn w:val="12"/>
    <w:qFormat/>
    <w:uiPriority w:val="0"/>
    <w:rPr>
      <w:color w:val="000000"/>
      <w:u w:val="none"/>
    </w:rPr>
  </w:style>
  <w:style w:type="character" w:customStyle="1" w:styleId="16">
    <w:name w:val="treeicon"/>
    <w:basedOn w:val="12"/>
    <w:qFormat/>
    <w:uiPriority w:val="0"/>
  </w:style>
  <w:style w:type="character" w:customStyle="1" w:styleId="17">
    <w:name w:val="hover48"/>
    <w:basedOn w:val="12"/>
    <w:qFormat/>
    <w:uiPriority w:val="0"/>
    <w:rPr>
      <w:color w:val="FFFFFF"/>
      <w:shd w:val="clear" w:color="auto" w:fill="1091DB"/>
    </w:rPr>
  </w:style>
  <w:style w:type="character" w:customStyle="1" w:styleId="18">
    <w:name w:val="hover49"/>
    <w:basedOn w:val="12"/>
    <w:qFormat/>
    <w:uiPriority w:val="0"/>
    <w:rPr>
      <w:color w:val="FFFFFF"/>
      <w:shd w:val="clear" w:color="auto" w:fill="1091DB"/>
    </w:rPr>
  </w:style>
  <w:style w:type="character" w:customStyle="1" w:styleId="19">
    <w:name w:val="hover50"/>
    <w:basedOn w:val="12"/>
    <w:qFormat/>
    <w:uiPriority w:val="0"/>
    <w:rPr>
      <w:sz w:val="21"/>
      <w:szCs w:val="21"/>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正文 A"/>
    <w:next w:val="2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22">
    <w:name w:val="文本块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6"/>
      </w:tabs>
      <w:suppressAutoHyphens w:val="0"/>
      <w:bidi w:val="0"/>
      <w:spacing w:before="0" w:beforeAutospacing="0" w:after="120" w:afterAutospacing="0" w:line="240" w:lineRule="auto"/>
      <w:ind w:left="1440" w:right="144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23">
    <w:name w:val="Table Paragraph"/>
    <w:basedOn w:val="1"/>
    <w:qFormat/>
    <w:uiPriority w:val="1"/>
    <w:pPr>
      <w:spacing w:before="43"/>
    </w:pPr>
  </w:style>
  <w:style w:type="paragraph" w:customStyle="1" w:styleId="24">
    <w:name w:val="l正文"/>
    <w:basedOn w:val="1"/>
    <w:qFormat/>
    <w:uiPriority w:val="0"/>
    <w:pPr>
      <w:spacing w:line="300" w:lineRule="auto"/>
      <w:ind w:firstLine="200" w:firstLineChars="200"/>
      <w:jc w:val="left"/>
    </w:pPr>
    <w:rPr>
      <w:rFonts w:ascii="楷体_GB2312" w:hAnsi="Times" w:eastAsia="楷体_GB2312" w:cs="等线"/>
      <w:sz w:val="24"/>
    </w:rPr>
  </w:style>
  <w:style w:type="paragraph" w:styleId="25">
    <w:name w:val="List Paragraph"/>
    <w:basedOn w:val="26"/>
    <w:qFormat/>
    <w:uiPriority w:val="34"/>
    <w:pPr>
      <w:ind w:firstLine="420" w:firstLineChars="200"/>
    </w:pPr>
  </w:style>
  <w:style w:type="paragraph" w:customStyle="1" w:styleId="26">
    <w:name w:val="星耀正文"/>
    <w:basedOn w:val="1"/>
    <w:qFormat/>
    <w:uiPriority w:val="3"/>
    <w:pPr>
      <w:ind w:firstLine="422" w:firstLineChars="200"/>
    </w:pPr>
    <w:rPr>
      <w:rFonts w:ascii="宋体" w:hAnsi="宋体" w:eastAsia="仿宋_GB2312"/>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Words>
  <Characters>1414</Characters>
  <Lines>11</Lines>
  <Paragraphs>3</Paragraphs>
  <TotalTime>14</TotalTime>
  <ScaleCrop>false</ScaleCrop>
  <LinksUpToDate>false</LinksUpToDate>
  <CharactersWithSpaces>1658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2021-07-08T00:59:00Z</dcterms:created>
  <dc:creator>006</dc:creator>
  <cp:lastModifiedBy>lxy</cp:lastModifiedBy>
  <cp:lastPrinted>2024-12-18T09:02:00Z</cp:lastPrinted>
  <dcterms:modified xsi:type="dcterms:W3CDTF">2025-12-24T17:59:03Z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ACF7D11C106E41156FB84B692399D45A</vt:lpwstr>
  </property>
</Properties>
</file>