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560" w:lineRule="exact"/>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深圳市龙华区文化广电旅游体育局</w:t>
      </w:r>
    </w:p>
    <w:p>
      <w:pPr>
        <w:pStyle w:val="3"/>
        <w:spacing w:before="0" w:after="0" w:line="560" w:lineRule="exact"/>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2026年福利慰问项目需求书</w:t>
      </w:r>
    </w:p>
    <w:p>
      <w:pPr>
        <w:tabs>
          <w:tab w:val="left" w:pos="1820"/>
        </w:tabs>
        <w:snapToGrid w:val="0"/>
        <w:spacing w:line="560" w:lineRule="exact"/>
        <w:rPr>
          <w:rFonts w:hint="eastAsia" w:ascii="黑体" w:hAnsi="黑体" w:eastAsia="黑体" w:cs="黑体"/>
          <w:bCs/>
          <w:color w:val="auto"/>
          <w:sz w:val="32"/>
          <w:szCs w:val="32"/>
          <w:highlight w:val="none"/>
        </w:rPr>
      </w:pPr>
    </w:p>
    <w:p>
      <w:pPr>
        <w:tabs>
          <w:tab w:val="left" w:pos="1820"/>
        </w:tabs>
        <w:snapToGrid w:val="0"/>
        <w:spacing w:line="560" w:lineRule="exact"/>
        <w:ind w:left="640"/>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一、项目目标</w:t>
      </w:r>
    </w:p>
    <w:p>
      <w:pPr>
        <w:keepNext w:val="0"/>
        <w:keepLines w:val="0"/>
        <w:pageBreakBefore w:val="0"/>
        <w:widowControl w:val="0"/>
        <w:numPr>
          <w:ilvl w:val="0"/>
          <w:numId w:val="0"/>
        </w:numPr>
        <w:suppressLineNumbers w:val="0"/>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color w:val="auto"/>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为提升职工关怀，拟采购相关服务，包括设计、制作、配送及后续服务保障等。</w:t>
      </w:r>
    </w:p>
    <w:p>
      <w:pPr>
        <w:widowControl/>
        <w:numPr>
          <w:ilvl w:val="0"/>
          <w:numId w:val="1"/>
        </w:numPr>
        <w:tabs>
          <w:tab w:val="left" w:pos="1820"/>
        </w:tabs>
        <w:adjustRightInd w:val="0"/>
        <w:snapToGrid w:val="0"/>
        <w:spacing w:line="560" w:lineRule="exact"/>
        <w:ind w:firstLine="640" w:firstLineChars="200"/>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服务时间</w:t>
      </w:r>
    </w:p>
    <w:p>
      <w:pPr>
        <w:keepNext w:val="0"/>
        <w:keepLines w:val="0"/>
        <w:pageBreakBefore w:val="0"/>
        <w:widowControl w:val="0"/>
        <w:suppressLineNumbers w:val="0"/>
        <w:kinsoku w:val="0"/>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color w:val="auto"/>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2026年</w:t>
      </w:r>
    </w:p>
    <w:p>
      <w:pPr>
        <w:pStyle w:val="21"/>
        <w:framePr w:wrap="auto" w:vAnchor="margin" w:hAnchor="text" w:yAlign="inline"/>
        <w:numPr>
          <w:ilvl w:val="0"/>
          <w:numId w:val="2"/>
        </w:numPr>
        <w:tabs>
          <w:tab w:val="left" w:pos="1820"/>
        </w:tabs>
        <w:bidi w:val="0"/>
        <w:spacing w:line="560" w:lineRule="exact"/>
        <w:ind w:left="640" w:leftChars="0" w:right="0" w:rightChars="0"/>
        <w:jc w:val="both"/>
        <w:outlineLvl w:val="1"/>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项目内容及要求</w:t>
      </w:r>
    </w:p>
    <w:p>
      <w:pPr>
        <w:pStyle w:val="21"/>
        <w:framePr w:wrap="auto" w:vAnchor="margin" w:hAnchor="text" w:yAlign="inline"/>
        <w:numPr>
          <w:ilvl w:val="0"/>
          <w:numId w:val="0"/>
        </w:numPr>
        <w:tabs>
          <w:tab w:val="left" w:pos="1820"/>
        </w:tabs>
        <w:bidi w:val="0"/>
        <w:spacing w:line="560" w:lineRule="exact"/>
        <w:ind w:left="640" w:leftChars="0" w:right="0" w:rightChars="0"/>
        <w:jc w:val="both"/>
        <w:outlineLvl w:val="1"/>
        <w:rPr>
          <w:rFonts w:ascii="楷体_GB2312" w:hAnsi="楷体_GB2312" w:eastAsia="楷体_GB2312" w:cs="楷体_GB2312"/>
          <w:color w:val="auto"/>
          <w:sz w:val="32"/>
          <w:szCs w:val="32"/>
          <w:highlight w:val="none"/>
          <w:rtl w:val="0"/>
          <w:lang w:val="zh-TW" w:eastAsia="zh-TW"/>
        </w:rPr>
      </w:pPr>
      <w:r>
        <w:rPr>
          <w:rFonts w:hint="eastAsia" w:ascii="楷体_GB2312" w:hAnsi="楷体_GB2312" w:eastAsia="楷体_GB2312" w:cs="楷体_GB2312"/>
          <w:color w:val="auto"/>
          <w:sz w:val="32"/>
          <w:szCs w:val="32"/>
          <w:highlight w:val="none"/>
          <w:shd w:val="clear" w:color="auto" w:fill="auto"/>
          <w:rtl w:val="0"/>
          <w:lang w:val="zh-TW" w:eastAsia="zh-CN"/>
        </w:rPr>
        <w:t>（一）</w:t>
      </w:r>
      <w:r>
        <w:rPr>
          <w:rFonts w:ascii="楷体_GB2312" w:hAnsi="楷体_GB2312" w:eastAsia="楷体_GB2312" w:cs="楷体_GB2312"/>
          <w:color w:val="auto"/>
          <w:sz w:val="32"/>
          <w:szCs w:val="32"/>
          <w:highlight w:val="none"/>
          <w:shd w:val="clear" w:color="auto" w:fill="auto"/>
          <w:rtl w:val="0"/>
          <w:lang w:val="zh-TW" w:eastAsia="zh-TW"/>
        </w:rPr>
        <w:t>项目内容</w:t>
      </w:r>
    </w:p>
    <w:p>
      <w:pPr>
        <w:widowControl/>
        <w:tabs>
          <w:tab w:val="left" w:pos="1820"/>
        </w:tabs>
        <w:adjustRightInd w:val="0"/>
        <w:snapToGrid w:val="0"/>
        <w:spacing w:line="560" w:lineRule="exact"/>
        <w:ind w:firstLine="640" w:firstLineChars="200"/>
        <w:rPr>
          <w:rFonts w:hint="eastAsia"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为我局工会成员及退休人员提供约201份生日蛋糕券及400份观影券，其中生日蛋糕券面额为500元；观影券上半年（201份）、下半年（199份）共发放两次，面额均为400元。</w:t>
      </w:r>
    </w:p>
    <w:p>
      <w:pPr>
        <w:widowControl/>
        <w:tabs>
          <w:tab w:val="left" w:pos="1820"/>
        </w:tabs>
        <w:adjustRightInd w:val="0"/>
        <w:snapToGrid w:val="0"/>
        <w:spacing w:line="560" w:lineRule="exact"/>
        <w:ind w:firstLine="640" w:firstLineChars="200"/>
        <w:rPr>
          <w:rFonts w:hint="eastAsia"/>
          <w:lang w:val="en-US" w:eastAsia="zh-CN"/>
        </w:rPr>
      </w:pPr>
      <w:r>
        <w:rPr>
          <w:rFonts w:hint="eastAsia" w:ascii="仿宋_GB2312" w:hAnsi="Calibri" w:eastAsia="仿宋_GB2312" w:cs="仿宋_GB2312"/>
          <w:color w:val="auto"/>
          <w:kern w:val="2"/>
          <w:sz w:val="32"/>
          <w:szCs w:val="32"/>
          <w:highlight w:val="none"/>
          <w:lang w:val="en-US" w:eastAsia="zh-CN" w:bidi="ar"/>
        </w:rPr>
        <w:t>生日蛋糕券及观影券最终采购份数以实际发放人数及金额为准。</w:t>
      </w:r>
    </w:p>
    <w:p>
      <w:pPr>
        <w:pStyle w:val="22"/>
        <w:framePr w:wrap="auto" w:vAnchor="margin" w:hAnchor="text" w:yAlign="inline"/>
        <w:numPr>
          <w:ilvl w:val="0"/>
          <w:numId w:val="3"/>
        </w:numPr>
        <w:bidi w:val="0"/>
        <w:spacing w:after="0" w:line="560" w:lineRule="exact"/>
        <w:ind w:left="640" w:leftChars="0" w:right="0" w:rightChars="0"/>
        <w:jc w:val="both"/>
        <w:outlineLvl w:val="1"/>
        <w:rPr>
          <w:rFonts w:ascii="楷体_GB2312" w:hAnsi="楷体_GB2312" w:eastAsia="楷体_GB2312" w:cs="楷体_GB2312"/>
          <w:color w:val="auto"/>
          <w:sz w:val="32"/>
          <w:szCs w:val="32"/>
          <w:highlight w:val="none"/>
          <w:shd w:val="clear" w:color="auto" w:fill="auto"/>
          <w:rtl w:val="0"/>
          <w:lang w:val="zh-TW" w:eastAsia="zh-TW"/>
        </w:rPr>
      </w:pPr>
      <w:r>
        <w:rPr>
          <w:rFonts w:hint="eastAsia" w:ascii="楷体_GB2312" w:hAnsi="楷体_GB2312" w:eastAsia="楷体_GB2312" w:cs="楷体_GB2312"/>
          <w:color w:val="auto"/>
          <w:sz w:val="32"/>
          <w:szCs w:val="32"/>
          <w:highlight w:val="none"/>
          <w:shd w:val="clear" w:color="auto" w:fill="auto"/>
          <w:rtl w:val="0"/>
          <w:lang w:val="zh-TW" w:eastAsia="zh-CN"/>
        </w:rPr>
        <w:t>具体</w:t>
      </w:r>
      <w:r>
        <w:rPr>
          <w:rFonts w:ascii="楷体_GB2312" w:hAnsi="楷体_GB2312" w:eastAsia="楷体_GB2312" w:cs="楷体_GB2312"/>
          <w:color w:val="auto"/>
          <w:sz w:val="32"/>
          <w:szCs w:val="32"/>
          <w:highlight w:val="none"/>
          <w:shd w:val="clear" w:color="auto" w:fill="auto"/>
          <w:rtl w:val="0"/>
          <w:lang w:val="zh-TW" w:eastAsia="zh-TW"/>
        </w:rPr>
        <w:t>要求</w:t>
      </w:r>
    </w:p>
    <w:p>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1"/>
        <w:rPr>
          <w:rFonts w:hint="eastAsia"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pPr>
      <w:r>
        <w:rPr>
          <w:rFonts w:hint="eastAsia"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t>1.供应商提供的物品必须符合国家规定的质量标准，如采购人发现供应商提供的物品存在质量问题，有权要求供应商更换为符合质量标准的物品；如因供应商提供的物品不符合质量标准而导致采购人遭受损失或人身伤害，采购人有权要求供应商给予赔偿。</w:t>
      </w:r>
    </w:p>
    <w:p>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1"/>
        <w:rPr>
          <w:rFonts w:hint="eastAsia"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pPr>
      <w:r>
        <w:rPr>
          <w:rFonts w:hint="eastAsia"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t>2.供应商提供可多次消费的蛋糕券及观影券，有效期限原则上自发放之日起2年内有效，提供免费延期服务。</w:t>
      </w:r>
    </w:p>
    <w:p>
      <w:pPr>
        <w:pStyle w:val="22"/>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1"/>
        <w:rPr>
          <w:rFonts w:hint="default"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pPr>
      <w:r>
        <w:rPr>
          <w:rFonts w:hint="eastAsia" w:ascii="仿宋_GB2312" w:hAnsi="Calibri" w:eastAsia="仿宋_GB2312" w:cs="仿宋_GB2312"/>
          <w:color w:val="auto"/>
          <w:spacing w:val="0"/>
          <w:w w:val="100"/>
          <w:kern w:val="2"/>
          <w:position w:val="0"/>
          <w:sz w:val="32"/>
          <w:szCs w:val="32"/>
          <w:highlight w:val="none"/>
          <w:u w:val="none"/>
          <w:shd w:val="clear"/>
          <w:vertAlign w:val="baseline"/>
          <w:rtl w:val="0"/>
          <w:lang w:val="en-US" w:eastAsia="zh-CN" w:bidi="ar"/>
        </w:rPr>
        <w:t>3.持券人有权在供应商旗下的任何实体门店（包括加盟店及合作商家）使用本券，用于购买蛋糕或兑换观影券，并无购买次数与数量的限制。</w:t>
      </w:r>
    </w:p>
    <w:p>
      <w:pPr>
        <w:numPr>
          <w:ilvl w:val="0"/>
          <w:numId w:val="2"/>
        </w:numPr>
        <w:tabs>
          <w:tab w:val="left" w:pos="1820"/>
        </w:tabs>
        <w:adjustRightInd w:val="0"/>
        <w:snapToGrid w:val="0"/>
        <w:spacing w:line="560" w:lineRule="exact"/>
        <w:ind w:left="640" w:leftChars="0" w:firstLine="0" w:firstLineChars="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报价限额</w:t>
      </w:r>
    </w:p>
    <w:p>
      <w:pPr>
        <w:spacing w:line="560" w:lineRule="exact"/>
        <w:ind w:firstLine="640" w:firstLineChars="200"/>
        <w:rPr>
          <w:rFonts w:hint="default" w:ascii="仿宋_GB2312" w:hAnsi="Calibri" w:eastAsia="仿宋_GB2312" w:cs="仿宋_GB2312"/>
          <w:color w:val="auto"/>
          <w:kern w:val="2"/>
          <w:sz w:val="32"/>
          <w:szCs w:val="32"/>
          <w:highlight w:val="none"/>
          <w:lang w:val="en-US" w:eastAsia="zh-CN" w:bidi="ar"/>
        </w:rPr>
      </w:pPr>
      <w:r>
        <w:rPr>
          <w:rFonts w:hint="eastAsia" w:ascii="仿宋_GB2312" w:hAnsi="Calibri" w:eastAsia="仿宋_GB2312" w:cs="仿宋_GB2312"/>
          <w:color w:val="auto"/>
          <w:kern w:val="2"/>
          <w:sz w:val="32"/>
          <w:szCs w:val="32"/>
          <w:highlight w:val="none"/>
          <w:lang w:val="en-US" w:eastAsia="zh-CN" w:bidi="ar"/>
        </w:rPr>
        <w:t>限额26.05万元，供应商报价表需与下表保持一致，最终采购份数以实际发放人数及金额为准。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265" w:type="dxa"/>
            <w:vAlign w:val="center"/>
          </w:tcPr>
          <w:p>
            <w:pPr>
              <w:pStyle w:val="2"/>
              <w:jc w:val="center"/>
              <w:rPr>
                <w:rFonts w:hint="default"/>
                <w:vertAlign w:val="baseline"/>
                <w:lang w:val="en-US" w:eastAsia="zh-CN"/>
              </w:rPr>
            </w:pPr>
            <w:r>
              <w:rPr>
                <w:rFonts w:hint="eastAsia"/>
                <w:vertAlign w:val="baseline"/>
                <w:lang w:val="en-US" w:eastAsia="zh-CN"/>
              </w:rPr>
              <w:t>项目</w:t>
            </w:r>
          </w:p>
        </w:tc>
        <w:tc>
          <w:tcPr>
            <w:tcW w:w="6796" w:type="dxa"/>
            <w:vAlign w:val="center"/>
          </w:tcPr>
          <w:p>
            <w:pPr>
              <w:pStyle w:val="2"/>
              <w:jc w:val="center"/>
              <w:rPr>
                <w:rFonts w:hint="default"/>
                <w:vertAlign w:val="baseline"/>
                <w:lang w:val="en-US" w:eastAsia="zh-CN"/>
              </w:rPr>
            </w:pPr>
            <w:r>
              <w:rPr>
                <w:rFonts w:hint="eastAsia"/>
                <w:vertAlign w:val="baseline"/>
                <w:lang w:val="en-US" w:eastAsia="zh-CN"/>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265" w:type="dxa"/>
            <w:vAlign w:val="center"/>
          </w:tcPr>
          <w:p>
            <w:pPr>
              <w:pStyle w:val="2"/>
              <w:jc w:val="center"/>
              <w:rPr>
                <w:rFonts w:hint="default"/>
                <w:vertAlign w:val="baseline"/>
                <w:lang w:val="en-US" w:eastAsia="zh-CN"/>
              </w:rPr>
            </w:pPr>
            <w:r>
              <w:rPr>
                <w:rFonts w:hint="eastAsia"/>
                <w:vertAlign w:val="baseline"/>
                <w:lang w:val="en-US" w:eastAsia="zh-CN"/>
              </w:rPr>
              <w:t>生日蛋糕券</w:t>
            </w:r>
          </w:p>
        </w:tc>
        <w:tc>
          <w:tcPr>
            <w:tcW w:w="6796" w:type="dxa"/>
            <w:vAlign w:val="center"/>
          </w:tcPr>
          <w:p>
            <w:pPr>
              <w:pStyle w:val="2"/>
              <w:jc w:val="center"/>
              <w:rPr>
                <w:rFonts w:hint="default"/>
                <w:vertAlign w:val="baseline"/>
                <w:lang w:val="en-US" w:eastAsia="zh-CN"/>
              </w:rPr>
            </w:pPr>
            <w:r>
              <w:rPr>
                <w:rFonts w:hint="eastAsia"/>
                <w:vertAlign w:val="baseli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65" w:type="dxa"/>
            <w:vAlign w:val="center"/>
          </w:tcPr>
          <w:p>
            <w:pPr>
              <w:pStyle w:val="2"/>
              <w:jc w:val="center"/>
              <w:rPr>
                <w:rFonts w:hint="default"/>
                <w:vertAlign w:val="baseline"/>
                <w:lang w:val="en-US" w:eastAsia="zh-CN"/>
              </w:rPr>
            </w:pPr>
            <w:r>
              <w:rPr>
                <w:rFonts w:hint="eastAsia"/>
                <w:vertAlign w:val="baseline"/>
                <w:lang w:val="en-US" w:eastAsia="zh-CN"/>
              </w:rPr>
              <w:t>观影券（上半年）</w:t>
            </w:r>
          </w:p>
        </w:tc>
        <w:tc>
          <w:tcPr>
            <w:tcW w:w="6796" w:type="dxa"/>
            <w:vAlign w:val="center"/>
          </w:tcPr>
          <w:p>
            <w:pPr>
              <w:pStyle w:val="2"/>
              <w:jc w:val="center"/>
              <w:rPr>
                <w:rFonts w:hint="default"/>
                <w:vertAlign w:val="baseline"/>
                <w:lang w:val="en-US" w:eastAsia="zh-CN"/>
              </w:rPr>
            </w:pPr>
            <w:r>
              <w:rPr>
                <w:rFonts w:hint="eastAsia"/>
                <w:vertAlign w:val="baseli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65" w:type="dxa"/>
            <w:vAlign w:val="center"/>
          </w:tcPr>
          <w:p>
            <w:pPr>
              <w:pStyle w:val="2"/>
              <w:jc w:val="center"/>
              <w:rPr>
                <w:rFonts w:hint="eastAsia" w:ascii="等线" w:hAnsi="等线" w:eastAsia="等线" w:cs="Times New Roman"/>
                <w:kern w:val="2"/>
                <w:sz w:val="21"/>
                <w:szCs w:val="22"/>
                <w:vertAlign w:val="baseline"/>
                <w:lang w:val="en-US" w:eastAsia="zh-CN" w:bidi="ar-SA"/>
              </w:rPr>
            </w:pPr>
            <w:r>
              <w:rPr>
                <w:rFonts w:hint="eastAsia"/>
                <w:vertAlign w:val="baseline"/>
                <w:lang w:val="en-US" w:eastAsia="zh-CN"/>
              </w:rPr>
              <w:t>观影券（下半年）</w:t>
            </w:r>
          </w:p>
        </w:tc>
        <w:tc>
          <w:tcPr>
            <w:tcW w:w="6796" w:type="dxa"/>
            <w:vAlign w:val="center"/>
          </w:tcPr>
          <w:p>
            <w:pPr>
              <w:pStyle w:val="2"/>
              <w:jc w:val="center"/>
              <w:rPr>
                <w:rFonts w:hint="default" w:ascii="等线" w:hAnsi="等线" w:eastAsia="等线" w:cs="Times New Roman"/>
                <w:kern w:val="2"/>
                <w:sz w:val="21"/>
                <w:szCs w:val="22"/>
                <w:vertAlign w:val="baseline"/>
                <w:lang w:val="en-US" w:eastAsia="zh-CN" w:bidi="ar-SA"/>
              </w:rPr>
            </w:pPr>
            <w:r>
              <w:rPr>
                <w:rFonts w:hint="eastAsia"/>
                <w:vertAlign w:val="baseline"/>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61" w:type="dxa"/>
            <w:gridSpan w:val="2"/>
            <w:vAlign w:val="center"/>
          </w:tcPr>
          <w:p>
            <w:pPr>
              <w:pStyle w:val="2"/>
              <w:jc w:val="center"/>
              <w:rPr>
                <w:rFonts w:hint="eastAsia"/>
                <w:vertAlign w:val="baseline"/>
                <w:lang w:val="en-US" w:eastAsia="zh-CN"/>
              </w:rPr>
            </w:pPr>
            <w:r>
              <w:rPr>
                <w:rFonts w:hint="eastAsia" w:ascii="宋体" w:hAnsi="宋体" w:eastAsia="宋体" w:cs="宋体"/>
                <w:i w:val="0"/>
                <w:color w:val="000000"/>
                <w:kern w:val="0"/>
                <w:sz w:val="21"/>
                <w:szCs w:val="21"/>
                <w:u w:val="none"/>
                <w:lang w:val="en-US" w:eastAsia="zh-CN" w:bidi="ar"/>
              </w:rPr>
              <w:t xml:space="preserve">供应商最终报价： </w:t>
            </w:r>
            <w:r>
              <w:rPr>
                <w:rFonts w:hint="eastAsia" w:ascii="宋体" w:hAnsi="宋体" w:eastAsia="宋体" w:cs="宋体"/>
                <w:i w:val="0"/>
                <w:color w:val="000000"/>
                <w:kern w:val="0"/>
                <w:sz w:val="21"/>
                <w:szCs w:val="21"/>
                <w:u w:val="single"/>
                <w:lang w:val="en-US" w:eastAsia="zh-CN" w:bidi="ar"/>
              </w:rPr>
              <w:t xml:space="preserve">                 </w:t>
            </w:r>
            <w:r>
              <w:rPr>
                <w:rFonts w:hint="eastAsia" w:ascii="宋体" w:hAnsi="宋体" w:eastAsia="宋体" w:cs="宋体"/>
                <w:i w:val="0"/>
                <w:color w:val="000000"/>
                <w:kern w:val="0"/>
                <w:sz w:val="21"/>
                <w:szCs w:val="21"/>
                <w:u w:val="none"/>
                <w:lang w:val="en-US" w:eastAsia="zh-CN" w:bidi="ar"/>
              </w:rPr>
              <w:t>万元（（以万元为单位，并最多保留两位小数）</w:t>
            </w:r>
          </w:p>
        </w:tc>
      </w:tr>
    </w:tbl>
    <w:p>
      <w:pPr>
        <w:pStyle w:val="2"/>
        <w:rPr>
          <w:rFonts w:hint="eastAsia"/>
          <w:lang w:val="en-US" w:eastAsia="zh-CN"/>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w:t>
      </w:r>
      <w:r>
        <w:rPr>
          <w:rFonts w:hint="eastAsia" w:ascii="黑体" w:hAnsi="黑体" w:eastAsia="黑体" w:cs="黑体"/>
          <w:color w:val="auto"/>
          <w:sz w:val="32"/>
          <w:szCs w:val="32"/>
          <w:highlight w:val="none"/>
        </w:rPr>
        <w:t>供应商的资质要求</w:t>
      </w:r>
    </w:p>
    <w:p>
      <w:pPr>
        <w:pStyle w:val="2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25"/>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bookmarkStart w:id="3" w:name="_GoBack"/>
      <w:bookmarkEnd w:id="3"/>
    </w:p>
    <w:p>
      <w:pPr>
        <w:pStyle w:val="25"/>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六、选定供应商方法</w:t>
      </w:r>
    </w:p>
    <w:p>
      <w:pPr>
        <w:tabs>
          <w:tab w:val="left" w:pos="1820"/>
        </w:tabs>
        <w:adjustRightInd w:val="0"/>
        <w:snapToGrid w:val="0"/>
        <w:spacing w:line="560" w:lineRule="exact"/>
        <w:ind w:firstLine="640" w:firstLineChars="200"/>
        <w:rPr>
          <w:rFonts w:hint="eastAsia" w:ascii="仿宋_GB2312" w:hAnsi="仿宋" w:eastAsia="仿宋_GB2312"/>
          <w:color w:val="auto"/>
          <w:sz w:val="32"/>
          <w:highlight w:val="none"/>
        </w:rPr>
      </w:pPr>
      <w:r>
        <w:rPr>
          <w:rFonts w:hint="eastAsia" w:ascii="仿宋_GB2312" w:hAnsi="仿宋" w:eastAsia="仿宋_GB2312"/>
          <w:color w:val="auto"/>
          <w:sz w:val="32"/>
          <w:highlight w:val="none"/>
        </w:rPr>
        <w:t>综合评分法</w:t>
      </w:r>
    </w:p>
    <w:p>
      <w:pPr>
        <w:spacing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七、评分要求</w:t>
      </w:r>
    </w:p>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（二）评分权重</w:t>
      </w:r>
    </w:p>
    <w:tbl>
      <w:tblPr>
        <w:tblStyle w:val="10"/>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2281"/>
        <w:gridCol w:w="214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73"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评分内容</w:t>
            </w:r>
          </w:p>
        </w:tc>
        <w:tc>
          <w:tcPr>
            <w:tcW w:w="2281"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部分</w:t>
            </w:r>
          </w:p>
        </w:tc>
        <w:tc>
          <w:tcPr>
            <w:tcW w:w="2145"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技术</w:t>
            </w:r>
            <w:r>
              <w:rPr>
                <w:rFonts w:hint="eastAsia" w:ascii="仿宋_GB2312" w:hAnsi="仿宋_GB2312" w:eastAsia="仿宋_GB2312" w:cs="仿宋_GB2312"/>
                <w:b w:val="0"/>
                <w:bCs/>
                <w:color w:val="auto"/>
                <w:sz w:val="24"/>
                <w:szCs w:val="24"/>
                <w:highlight w:val="none"/>
                <w:lang w:eastAsia="zh-CN"/>
              </w:rPr>
              <w:t>部分</w:t>
            </w:r>
          </w:p>
        </w:tc>
        <w:tc>
          <w:tcPr>
            <w:tcW w:w="2160" w:type="dxa"/>
            <w:noWrap w:val="0"/>
            <w:vAlign w:val="center"/>
          </w:tcPr>
          <w:p>
            <w:pPr>
              <w:pStyle w:val="20"/>
              <w:spacing w:line="560" w:lineRule="exact"/>
              <w:jc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173"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分值</w:t>
            </w:r>
          </w:p>
        </w:tc>
        <w:tc>
          <w:tcPr>
            <w:tcW w:w="2281"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30</w:t>
            </w:r>
            <w:r>
              <w:rPr>
                <w:rFonts w:hint="eastAsia" w:ascii="仿宋_GB2312" w:hAnsi="仿宋_GB2312" w:eastAsia="仿宋_GB2312" w:cs="仿宋_GB2312"/>
                <w:b w:val="0"/>
                <w:bCs/>
                <w:color w:val="auto"/>
                <w:sz w:val="24"/>
                <w:szCs w:val="24"/>
                <w:highlight w:val="none"/>
              </w:rPr>
              <w:t>分</w:t>
            </w:r>
          </w:p>
        </w:tc>
        <w:tc>
          <w:tcPr>
            <w:tcW w:w="2145"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55</w:t>
            </w:r>
            <w:r>
              <w:rPr>
                <w:rFonts w:hint="eastAsia" w:ascii="仿宋_GB2312" w:hAnsi="仿宋_GB2312" w:eastAsia="仿宋_GB2312" w:cs="仿宋_GB2312"/>
                <w:b w:val="0"/>
                <w:bCs/>
                <w:color w:val="auto"/>
                <w:sz w:val="24"/>
                <w:szCs w:val="24"/>
                <w:highlight w:val="none"/>
              </w:rPr>
              <w:t>分</w:t>
            </w:r>
          </w:p>
        </w:tc>
        <w:tc>
          <w:tcPr>
            <w:tcW w:w="2160" w:type="dxa"/>
            <w:noWrap w:val="0"/>
            <w:vAlign w:val="center"/>
          </w:tcPr>
          <w:p>
            <w:pPr>
              <w:pStyle w:val="20"/>
              <w:spacing w:line="560" w:lineRule="exact"/>
              <w:jc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15</w:t>
            </w:r>
            <w:r>
              <w:rPr>
                <w:rFonts w:hint="eastAsia" w:ascii="仿宋_GB2312" w:hAnsi="仿宋_GB2312" w:eastAsia="仿宋_GB2312" w:cs="仿宋_GB2312"/>
                <w:b w:val="0"/>
                <w:bCs/>
                <w:color w:val="auto"/>
                <w:sz w:val="24"/>
                <w:szCs w:val="24"/>
                <w:highlight w:val="none"/>
              </w:rPr>
              <w:t>分</w:t>
            </w:r>
          </w:p>
        </w:tc>
      </w:tr>
    </w:tbl>
    <w:p>
      <w:pPr>
        <w:pStyle w:val="20"/>
        <w:spacing w:line="560" w:lineRule="exact"/>
        <w:ind w:firstLine="640" w:firstLineChars="200"/>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670"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670"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2"/>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6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同类项目经验</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670" w:type="dxa"/>
            <w:noWrap w:val="0"/>
            <w:vAlign w:val="top"/>
          </w:tcPr>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highlight w:val="none"/>
                <w:lang w:val="en-US" w:eastAsia="zh-CN"/>
              </w:rPr>
              <w:t>人自2022年1月1日至本项目投</w:t>
            </w:r>
            <w:r>
              <w:rPr>
                <w:rFonts w:hint="eastAsia" w:ascii="仿宋_GB2312" w:hAnsi="仿宋_GB2312" w:eastAsia="仿宋_GB2312" w:cs="仿宋_GB2312"/>
                <w:color w:val="auto"/>
                <w:sz w:val="24"/>
                <w:szCs w:val="24"/>
                <w:highlight w:val="none"/>
                <w:lang w:val="en-US" w:eastAsia="zh-CN"/>
              </w:rPr>
              <w:t>标截止日（以合同签订日期为准），每提供一项具有相关福利采购业绩（如蛋糕券、电影券）</w:t>
            </w:r>
            <w:r>
              <w:rPr>
                <w:rFonts w:hint="eastAsia" w:ascii="仿宋_GB2312" w:hAnsi="仿宋_GB2312" w:eastAsia="仿宋_GB2312" w:cs="仿宋_GB2312"/>
                <w:sz w:val="24"/>
                <w:szCs w:val="24"/>
                <w:highlight w:val="none"/>
                <w:lang w:val="en-US" w:eastAsia="zh-CN"/>
              </w:rPr>
              <w:t>得5分，</w:t>
            </w:r>
            <w:r>
              <w:rPr>
                <w:rFonts w:hint="eastAsia" w:ascii="仿宋_GB2312" w:hAnsi="仿宋_GB2312" w:eastAsia="仿宋_GB2312" w:cs="仿宋_GB2312"/>
                <w:sz w:val="24"/>
                <w:szCs w:val="24"/>
                <w:highlight w:val="none"/>
                <w:lang w:eastAsia="zh-CN"/>
              </w:rPr>
              <w:t>最高得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lang w:eastAsia="zh-CN"/>
              </w:rPr>
              <w:t>分</w:t>
            </w:r>
            <w:r>
              <w:rPr>
                <w:rFonts w:hint="eastAsia" w:ascii="仿宋_GB2312" w:hAnsi="仿宋_GB2312" w:eastAsia="仿宋_GB2312" w:cs="仿宋_GB2312"/>
                <w:sz w:val="24"/>
                <w:szCs w:val="24"/>
                <w:highlight w:val="none"/>
                <w:lang w:val="en-US" w:eastAsia="zh-CN"/>
              </w:rPr>
              <w:t>。</w:t>
            </w:r>
          </w:p>
          <w:p>
            <w:pPr>
              <w:topLinePunct/>
              <w:snapToGrid w:val="0"/>
              <w:jc w:val="both"/>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）评审依据：</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lang w:eastAsia="zh-CN"/>
              </w:rPr>
              <w:t>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每项业绩按以下要求提供完整准确的证明文件</w:t>
            </w:r>
            <w:r>
              <w:rPr>
                <w:rFonts w:hint="eastAsia" w:ascii="仿宋_GB2312" w:hAnsi="仿宋_GB2312" w:eastAsia="仿宋_GB2312" w:cs="仿宋_GB2312"/>
                <w:sz w:val="24"/>
                <w:szCs w:val="24"/>
                <w:lang w:eastAsia="zh-CN"/>
              </w:rPr>
              <w:t>（中标通知书、合同关键页），一个合同计算一个业绩，一年一签的续签合同只计算一个业绩：</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资格认证情况（10分）</w:t>
            </w:r>
          </w:p>
        </w:tc>
        <w:tc>
          <w:tcPr>
            <w:tcW w:w="6670" w:type="dxa"/>
            <w:noWrap w:val="0"/>
            <w:vAlign w:val="center"/>
          </w:tcPr>
          <w:p>
            <w:pPr>
              <w:topLinePunct/>
              <w:snapToGrid w:val="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val="en-US" w:eastAsia="zh-CN"/>
              </w:rPr>
              <w:t>质量管理体系认证证书</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环境管理体系认证证书</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职业健康安全管理体系认证证书</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供应链安全管理体系认证证书</w:t>
            </w:r>
            <w:r>
              <w:rPr>
                <w:rFonts w:hint="eastAsia" w:ascii="仿宋_GB2312" w:hAnsi="仿宋_GB2312" w:eastAsia="仿宋_GB2312" w:cs="仿宋_GB2312"/>
                <w:sz w:val="24"/>
                <w:szCs w:val="24"/>
                <w:highlight w:val="none"/>
              </w:rPr>
              <w:t>，每提供一个得2.5分，最高10分。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拟安排项目团队成员情况</w:t>
            </w:r>
          </w:p>
          <w:p>
            <w:pPr>
              <w:spacing w:line="560" w:lineRule="exact"/>
              <w:jc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lang w:val="en-US" w:eastAsia="zh-CN"/>
              </w:rPr>
              <w:t>（5分）</w:t>
            </w:r>
          </w:p>
        </w:tc>
        <w:tc>
          <w:tcPr>
            <w:tcW w:w="6670" w:type="dxa"/>
            <w:noWrap w:val="0"/>
            <w:vAlign w:val="center"/>
          </w:tcPr>
          <w:p>
            <w:pPr>
              <w:topLinePunct/>
              <w:snapToGrid w:val="0"/>
              <w:jc w:val="both"/>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（一）评审内容：</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highlight w:val="none"/>
                <w:lang w:eastAsia="zh-CN"/>
              </w:rPr>
              <w:t>拟</w:t>
            </w:r>
            <w:r>
              <w:rPr>
                <w:rFonts w:hint="eastAsia" w:ascii="仿宋_GB2312" w:hAnsi="仿宋_GB2312" w:eastAsia="仿宋_GB2312" w:cs="仿宋_GB2312"/>
                <w:sz w:val="24"/>
                <w:szCs w:val="24"/>
                <w:lang w:val="en-US" w:eastAsia="zh-CN"/>
              </w:rPr>
              <w:t>派本项目的服务人员情况：</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1.具有本科或者以上学历，每提供1个得2分，本项最高得2分；</w:t>
            </w:r>
          </w:p>
          <w:p>
            <w:pPr>
              <w:topLinePunct/>
              <w:snapToGrid w:val="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2.具有相关同类项目的服务经验（如提供蛋糕券、电影券），每提供1个得3分，本项最高得3分。</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lang w:val="en-US" w:eastAsia="zh-CN"/>
              </w:rPr>
              <w:t>二</w:t>
            </w:r>
            <w:r>
              <w:rPr>
                <w:rFonts w:hint="eastAsia" w:ascii="仿宋_GB2312" w:hAnsi="仿宋_GB2312" w:eastAsia="仿宋_GB2312" w:cs="仿宋_GB2312"/>
                <w:b/>
                <w:bCs/>
                <w:sz w:val="24"/>
                <w:szCs w:val="24"/>
                <w:highlight w:val="none"/>
                <w:lang w:eastAsia="zh-CN"/>
              </w:rPr>
              <w:t>）评审依据：</w:t>
            </w:r>
          </w:p>
          <w:p>
            <w:pPr>
              <w:topLinePunct/>
              <w:snapToGrid w:val="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1.提供人员学历证书，同时提供学信网查询记录截图。</w:t>
            </w:r>
          </w:p>
          <w:p>
            <w:pPr>
              <w:topLinePunct/>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2.提供项目团队成员的经验证明</w:t>
            </w:r>
            <w:r>
              <w:rPr>
                <w:rFonts w:hint="eastAsia" w:ascii="仿宋_GB2312" w:hAnsi="仿宋_GB2312" w:eastAsia="仿宋_GB2312" w:cs="仿宋_GB2312"/>
                <w:sz w:val="24"/>
                <w:szCs w:val="24"/>
                <w:lang w:val="en-US" w:eastAsia="zh-CN"/>
              </w:rPr>
              <w:t>（需提供合同复印件等）</w:t>
            </w:r>
            <w:r>
              <w:rPr>
                <w:rFonts w:hint="eastAsia" w:ascii="仿宋_GB2312" w:hAnsi="仿宋_GB2312" w:eastAsia="仿宋_GB2312" w:cs="仿宋_GB2312"/>
                <w:sz w:val="24"/>
                <w:szCs w:val="24"/>
                <w:highlight w:val="none"/>
                <w:lang w:val="en-US" w:eastAsia="zh-CN"/>
              </w:rPr>
              <w:t>，且须提供项目团队成员近1个月（截至投标之日前1个月）由投标人为其缴交的载有社保部门公章的社保缴交证明材料，如开标日上一个月的社保材料因社保部门原因暂时无法取得，则可以往前顺延一个月；不提供不得分。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项目完成（服务期满）</w:t>
            </w:r>
          </w:p>
          <w:p>
            <w:pPr>
              <w:spacing w:line="560" w:lineRule="exact"/>
              <w:jc w:val="center"/>
              <w:rPr>
                <w:rFonts w:hint="eastAsia"/>
                <w:lang w:eastAsia="zh-CN"/>
              </w:rPr>
            </w:pPr>
            <w:r>
              <w:rPr>
                <w:rFonts w:hint="eastAsia" w:ascii="仿宋_GB2312" w:hAnsi="仿宋_GB2312" w:eastAsia="仿宋_GB2312" w:cs="仿宋_GB2312"/>
                <w:sz w:val="24"/>
                <w:szCs w:val="24"/>
                <w:highlight w:val="none"/>
                <w:lang w:val="en-US" w:eastAsia="zh-CN"/>
              </w:rPr>
              <w:t>后的服务承诺（5分）</w:t>
            </w:r>
          </w:p>
        </w:tc>
        <w:tc>
          <w:tcPr>
            <w:tcW w:w="6670" w:type="dxa"/>
            <w:noWrap w:val="0"/>
            <w:vAlign w:val="center"/>
          </w:tcPr>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p>
          <w:p>
            <w:pPr>
              <w:numPr>
                <w:ilvl w:val="0"/>
                <w:numId w:val="4"/>
              </w:num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服务期满后必要技术支持；</w:t>
            </w:r>
          </w:p>
          <w:p>
            <w:pPr>
              <w:numPr>
                <w:ilvl w:val="0"/>
                <w:numId w:val="4"/>
              </w:num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auto"/>
                <w:sz w:val="24"/>
                <w:szCs w:val="24"/>
                <w:highlight w:val="none"/>
                <w:lang w:val="en-US" w:eastAsia="zh-CN"/>
              </w:rPr>
              <w:t>服务期满后的售后服务保障。</w:t>
            </w:r>
          </w:p>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trPr>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部分</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（35分）</w:t>
            </w:r>
          </w:p>
        </w:tc>
        <w:tc>
          <w:tcPr>
            <w:tcW w:w="6670" w:type="dxa"/>
            <w:noWrap w:val="0"/>
            <w:vAlign w:val="top"/>
          </w:tcPr>
          <w:p>
            <w:pPr>
              <w:topLinePunct/>
              <w:snapToGrid w:val="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考察</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内容：</w:t>
            </w:r>
          </w:p>
          <w:p>
            <w:p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pP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rPr>
              <w:t>投标人须提供项目方案包括：</w:t>
            </w:r>
          </w:p>
          <w:p>
            <w:pPr>
              <w:numPr>
                <w:ilvl w:val="0"/>
                <w:numId w:val="5"/>
              </w:num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仿宋_GB2312" w:hAnsi="仿宋_GB2312" w:eastAsia="仿宋_GB2312" w:cs="仿宋_GB2312"/>
                <w:b w:val="0"/>
                <w:bCs/>
                <w:i w:val="0"/>
                <w:iCs w:val="0"/>
                <w:caps w:val="0"/>
                <w:smallCaps w:val="0"/>
                <w:strike w:val="0"/>
                <w:dstrike w:val="0"/>
                <w:vanish w:val="0"/>
                <w:color w:val="auto"/>
                <w:spacing w:val="0"/>
                <w:w w:val="100"/>
                <w:kern w:val="2"/>
                <w:position w:val="0"/>
                <w:sz w:val="24"/>
                <w:szCs w:val="24"/>
                <w:highlight w:val="none"/>
                <w:u w:val="none" w:color="000000"/>
                <w:shd w:val="clear" w:color="auto" w:fill="auto"/>
                <w:vertAlign w:val="baseline"/>
                <w:rtl w:val="0"/>
                <w:lang w:val="en-US" w:eastAsia="zh-CN" w:bidi="ar-SA"/>
              </w:rPr>
              <w:t>生日蛋糕券、观影券面的定制设计；</w:t>
            </w:r>
          </w:p>
          <w:p>
            <w:pPr>
              <w:numPr>
                <w:ilvl w:val="0"/>
                <w:numId w:val="5"/>
              </w:num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生日蛋糕券、</w:t>
            </w:r>
            <w:r>
              <w:rPr>
                <w:rFonts w:hint="eastAsia" w:ascii="仿宋_GB2312" w:hAnsi="仿宋_GB2312" w:eastAsia="仿宋_GB2312" w:cs="仿宋_GB2312"/>
                <w:b w:val="0"/>
                <w:bCs/>
                <w:i w:val="0"/>
                <w:iCs w:val="0"/>
                <w:caps w:val="0"/>
                <w:smallCaps w:val="0"/>
                <w:strike w:val="0"/>
                <w:dstrike w:val="0"/>
                <w:vanish w:val="0"/>
                <w:color w:val="auto"/>
                <w:spacing w:val="0"/>
                <w:w w:val="100"/>
                <w:kern w:val="2"/>
                <w:position w:val="0"/>
                <w:sz w:val="24"/>
                <w:szCs w:val="24"/>
                <w:highlight w:val="none"/>
                <w:u w:val="none" w:color="000000"/>
                <w:shd w:val="clear" w:color="auto" w:fill="auto"/>
                <w:vertAlign w:val="baseline"/>
                <w:rtl w:val="0"/>
                <w:lang w:val="en-US" w:eastAsia="zh-CN" w:bidi="ar-SA"/>
              </w:rPr>
              <w:t>观影券</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的兑换细则说明、使用方法、产品种类及款式选择丰富度；</w:t>
            </w:r>
          </w:p>
          <w:p>
            <w:pPr>
              <w:numPr>
                <w:ilvl w:val="0"/>
                <w:numId w:val="0"/>
              </w:num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3.质量保证措施及安全措施</w:t>
            </w:r>
            <w:r>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t>；</w:t>
            </w:r>
          </w:p>
          <w:p>
            <w:pPr>
              <w:numPr>
                <w:ilvl w:val="0"/>
                <w:numId w:val="0"/>
              </w:numPr>
              <w:spacing w:line="0" w:lineRule="atLeast"/>
              <w:jc w:val="left"/>
              <w:rPr>
                <w:rFonts w:hint="default"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TW" w:bidi="ar-SA"/>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bidi="ar-SA"/>
              </w:rPr>
              <w:t>4.售后服务方案。</w:t>
            </w:r>
          </w:p>
          <w:p>
            <w:pPr>
              <w:topLinePunct/>
              <w:snapToGrid w:val="0"/>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满足以上任意一项要求得5分，最高得20分，在此基础上。</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zh-TW" w:eastAsia="zh-CN"/>
              </w:rPr>
              <w:t>根据各供应商的具体响应内容按照量化的评审因素指标进一步评审，设定优、良、中、差四个评分标准：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1.优：项目实施方案内容全面、具体、针对性强、科学合理、可操作性强得15分；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2.良：项目实施方案内容较丰富、较具体、针对性较强、较科学合理、可操作性较强得10分；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3.中：项目实施方案</w:t>
            </w:r>
            <w:r>
              <w:rPr>
                <w:rFonts w:hint="eastAsia" w:ascii="仿宋_GB2312" w:hAnsi="仿宋_GB2312" w:eastAsia="仿宋_GB2312" w:cs="仿宋_GB2312"/>
                <w:color w:val="auto"/>
                <w:sz w:val="24"/>
                <w:szCs w:val="24"/>
                <w:highlight w:val="none"/>
                <w:lang w:val="en-US" w:eastAsia="zh-CN"/>
              </w:rPr>
              <w:t>内容、针对性、可操作性一般</w:t>
            </w: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得5分；</w:t>
            </w:r>
          </w:p>
          <w:p>
            <w:pPr>
              <w:spacing w:line="0" w:lineRule="atLeas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both"/>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keepNext w:val="0"/>
              <w:keepLines w:val="0"/>
              <w:pageBreakBefore w:val="0"/>
              <w:widowControl w:val="0"/>
              <w:snapToGrid/>
              <w:spacing w:line="276" w:lineRule="auto"/>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spacing w:line="560" w:lineRule="exact"/>
              <w:jc w:val="center"/>
              <w:rPr>
                <w:rFonts w:hint="eastAsia"/>
                <w:lang w:eastAsia="zh-CN"/>
              </w:rPr>
            </w:pPr>
            <w:r>
              <w:rPr>
                <w:rFonts w:hint="eastAsia" w:ascii="仿宋_GB2312" w:hAnsi="仿宋_GB2312" w:eastAsia="仿宋_GB2312" w:cs="仿宋_GB2312"/>
                <w:color w:val="auto"/>
                <w:sz w:val="24"/>
                <w:szCs w:val="24"/>
                <w:highlight w:val="none"/>
                <w:lang w:val="en-US" w:eastAsia="zh-CN"/>
              </w:rPr>
              <w:t>（20分</w:t>
            </w:r>
            <w:r>
              <w:rPr>
                <w:rFonts w:hint="eastAsia" w:ascii="仿宋_GB2312" w:hAnsi="仿宋_GB2312" w:eastAsia="仿宋_GB2312" w:cs="仿宋_GB2312"/>
                <w:sz w:val="24"/>
                <w:szCs w:val="24"/>
                <w:vertAlign w:val="baseline"/>
                <w:lang w:val="en-US" w:eastAsia="zh-CN"/>
              </w:rPr>
              <w:t>）</w:t>
            </w:r>
          </w:p>
        </w:tc>
        <w:tc>
          <w:tcPr>
            <w:tcW w:w="6670"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考察对项目重点难点问题的识别和分析能力，并就识别出的重点难点提出可行的应对措施及合理化建议。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包括但不限于以下内容：</w:t>
            </w:r>
          </w:p>
          <w:p>
            <w:pPr>
              <w:topLinePunct/>
              <w:snapToGrid w:val="0"/>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bookmarkStart w:id="0" w:name="OLE_LINK2"/>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1.详细阐述本项目存在的重难点问题；</w:t>
            </w:r>
          </w:p>
          <w:p>
            <w:pPr>
              <w:topLinePunct/>
              <w:snapToGrid w:val="0"/>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2.根据项目重难点，详细阐述对应的应对措施；</w:t>
            </w:r>
          </w:p>
          <w:p>
            <w:pPr>
              <w:topLinePunct/>
              <w:snapToGrid w:val="0"/>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3.向招标方提出项目实施的其他具体工作建议。</w:t>
            </w:r>
          </w:p>
          <w:bookmarkEnd w:id="0"/>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满足以上任意一项要求得4分，最高得12分，在此基础上。根据各供应商的具体响应内容按照量化的评审因素指标进一步评审，设定优、良、中、差四个评分标准：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1.优：以上项目重点难点分析、应对措施及相关的合理化建议的三点内容全面具体、针对性强、可操作性强，加8分；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2.良：以上项目重点难点分析、应对措施及相关的合理化建议的三点内容较丰富、针对性较强、可操作性较强，加5分；</w:t>
            </w:r>
          </w:p>
          <w:p>
            <w:pPr>
              <w:spacing w:line="0" w:lineRule="atLeast"/>
              <w:jc w:val="left"/>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3.中：以上项目重点难点分析、应对措施及相关的合理化建议的三点内容完整性、针对性、可操作性均一般，加2分；</w:t>
            </w:r>
          </w:p>
          <w:p>
            <w:pPr>
              <w:spacing w:line="0" w:lineRule="atLeast"/>
              <w:jc w:val="left"/>
              <w:rPr>
                <w:rFonts w:hint="eastAsia"/>
                <w:lang w:val="en-US" w:eastAsia="zh-CN"/>
              </w:rPr>
            </w:pPr>
            <w:r>
              <w:rPr>
                <w:rFonts w:hint="eastAsia" w:ascii="仿宋_GB2312" w:hAnsi="仿宋_GB2312" w:eastAsia="仿宋_GB2312" w:cs="仿宋_GB2312"/>
                <w:b w:val="0"/>
                <w:bCs/>
                <w:i w:val="0"/>
                <w:iCs w:val="0"/>
                <w:caps w:val="0"/>
                <w:smallCaps w:val="0"/>
                <w:strike w:val="0"/>
                <w:dstrike w:val="0"/>
                <w:outline w:val="0"/>
                <w:emboss w:val="0"/>
                <w:imprint w:val="0"/>
                <w:vanish w:val="0"/>
                <w:color w:val="auto"/>
                <w:spacing w:val="0"/>
                <w:w w:val="100"/>
                <w:kern w:val="2"/>
                <w:position w:val="0"/>
                <w:sz w:val="24"/>
                <w:szCs w:val="24"/>
                <w:highlight w:val="none"/>
                <w:u w:val="none" w:color="000000"/>
                <w:shd w:val="clear" w:color="auto" w:fill="auto"/>
                <w:vertAlign w:val="baseline"/>
                <w:rtl w:val="0"/>
                <w:lang w:val="en-US" w:eastAsia="zh-CN"/>
              </w:rPr>
              <w:t>4.差：其它情况不得分。</w:t>
            </w:r>
          </w:p>
        </w:tc>
      </w:tr>
    </w:tbl>
    <w:p>
      <w:pPr>
        <w:pStyle w:val="20"/>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w:t>
      </w:r>
    </w:p>
    <w:p>
      <w:pPr>
        <w:spacing w:line="560" w:lineRule="exact"/>
        <w:ind w:firstLine="640" w:firstLineChars="200"/>
        <w:rPr>
          <w:sz w:val="32"/>
          <w:szCs w:val="32"/>
        </w:rPr>
      </w:pPr>
      <w:r>
        <w:rPr>
          <w:rFonts w:hint="eastAsia" w:ascii="仿宋_GB2312" w:hAnsi="仿宋" w:eastAsia="仿宋_GB2312" w:cs="Times New Roman"/>
          <w:sz w:val="32"/>
          <w:szCs w:val="32"/>
        </w:rPr>
        <w:t>2.法定代表人身份证复印件；</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default" w:ascii="仿宋_GB2312" w:hAnsi="仿宋" w:eastAsia="仿宋_GB2312" w:cs="Times New Roman"/>
          <w:color w:val="000000"/>
          <w:sz w:val="32"/>
          <w:highlight w:val="none"/>
          <w:lang w:val="en-US" w:eastAsia="zh-CN"/>
        </w:rPr>
      </w:pPr>
      <w:r>
        <w:rPr>
          <w:rFonts w:hint="eastAsia" w:ascii="仿宋_GB2312" w:hAnsi="仿宋" w:eastAsia="仿宋_GB2312" w:cs="Times New Roman"/>
          <w:color w:val="000000"/>
          <w:sz w:val="32"/>
          <w:highlight w:val="none"/>
          <w:lang w:val="en-US" w:eastAsia="zh-CN"/>
        </w:rPr>
        <w:t>5.诚信承诺书（详见附件1）；</w:t>
      </w:r>
    </w:p>
    <w:p>
      <w:pPr>
        <w:pStyle w:val="6"/>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6"/>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bookmarkStart w:id="1" w:name="OLE_LINK3"/>
      <w:r>
        <w:rPr>
          <w:rFonts w:hint="eastAsia" w:ascii="仿宋_GB2312" w:hAnsi="仿宋" w:eastAsia="仿宋_GB2312" w:cs="Times New Roman"/>
          <w:sz w:val="32"/>
          <w:lang w:val="en-US" w:eastAsia="zh-CN"/>
        </w:rPr>
        <w:t>深圳市龙华区文化广电旅游体育局</w:t>
      </w:r>
      <w:r>
        <w:rPr>
          <w:rFonts w:hint="eastAsia" w:ascii="仿宋_GB2312" w:hAnsi="仿宋" w:eastAsia="仿宋_GB2312"/>
          <w:sz w:val="32"/>
        </w:rPr>
        <w:t>2026年福利慰问</w:t>
      </w:r>
      <w:bookmarkEnd w:id="1"/>
      <w:r>
        <w:rPr>
          <w:rFonts w:hint="eastAsia" w:ascii="仿宋_GB2312" w:hAnsi="仿宋_GB2312" w:eastAsia="仿宋_GB2312" w:cs="仿宋_GB2312"/>
          <w:color w:val="000000"/>
          <w:kern w:val="0"/>
          <w:sz w:val="32"/>
          <w:szCs w:val="32"/>
          <w:lang w:val="en-US" w:eastAsia="zh-CN"/>
        </w:rPr>
        <w:t>+公司全称+日期+联系人+联系方式”。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2"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2"/>
    </w:p>
    <w:p>
      <w:pPr>
        <w:pStyle w:val="24"/>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0755-23338140</w:t>
      </w:r>
    </w:p>
    <w:p>
      <w:pPr>
        <w:pStyle w:val="2"/>
        <w:rPr>
          <w:rFonts w:hint="eastAsia" w:ascii="仿宋_GB2312" w:hAnsi="仿宋" w:eastAsia="仿宋_GB2312" w:cs="Times New Roman"/>
          <w:sz w:val="32"/>
          <w:szCs w:val="22"/>
        </w:rPr>
      </w:pPr>
    </w:p>
    <w:p>
      <w:pPr>
        <w:pStyle w:val="24"/>
        <w:spacing w:line="560" w:lineRule="exact"/>
        <w:ind w:firstLine="0" w:firstLineChars="0"/>
        <w:rPr>
          <w:rFonts w:hint="eastAsia" w:ascii="黑体" w:hAnsi="黑体" w:eastAsia="黑体" w:cs="黑体"/>
          <w:color w:val="000000"/>
          <w:sz w:val="32"/>
          <w:szCs w:val="32"/>
          <w:lang w:eastAsia="zh-CN"/>
        </w:rPr>
      </w:pPr>
    </w:p>
    <w:p>
      <w:pPr>
        <w:pStyle w:val="24"/>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2"/>
        <w:rPr>
          <w:rFonts w:hint="default"/>
          <w:lang w:val="en-US" w:eastAsia="zh-CN"/>
        </w:rPr>
      </w:pPr>
    </w:p>
    <w:p>
      <w:pPr>
        <w:pStyle w:val="2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6"/>
        <w:keepNext w:val="0"/>
        <w:keepLines w:val="0"/>
        <w:pageBreakBefore w:val="0"/>
        <w:widowControl w:val="0"/>
        <w:kinsoku/>
        <w:wordWrap/>
        <w:overflowPunct/>
        <w:topLinePunct w:val="0"/>
        <w:autoSpaceDE/>
        <w:autoSpaceDN/>
        <w:bidi w:val="0"/>
        <w:adjustRightInd/>
        <w:snapToGrid/>
        <w:spacing w:after="0" w:line="40" w:lineRule="exact"/>
        <w:ind w:left="0" w:leftChars="0" w:right="0" w:rightChars="0" w:firstLine="0" w:firstLineChars="0"/>
        <w:textAlignment w:val="auto"/>
        <w:rPr>
          <w:rFonts w:hint="eastAsia" w:ascii="仿宋_GB2312" w:hAnsi="等线" w:eastAsia="仿宋_GB2312" w:cs="Times New Roman"/>
          <w:color w:val="auto"/>
          <w:kern w:val="2"/>
          <w:sz w:val="32"/>
          <w:szCs w:val="32"/>
          <w:highlight w:val="none"/>
          <w:lang w:val="en-US" w:eastAsia="zh-CN" w:bidi="ar-SA"/>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F6F54"/>
    <w:multiLevelType w:val="singleLevel"/>
    <w:tmpl w:val="B6BF6F54"/>
    <w:lvl w:ilvl="0" w:tentative="0">
      <w:start w:val="1"/>
      <w:numFmt w:val="decimal"/>
      <w:lvlText w:val="%1."/>
      <w:lvlJc w:val="left"/>
      <w:pPr>
        <w:tabs>
          <w:tab w:val="left" w:pos="312"/>
        </w:tabs>
      </w:pPr>
    </w:lvl>
  </w:abstractNum>
  <w:abstractNum w:abstractNumId="1">
    <w:nsid w:val="BB461149"/>
    <w:multiLevelType w:val="singleLevel"/>
    <w:tmpl w:val="BB461149"/>
    <w:lvl w:ilvl="0" w:tentative="0">
      <w:start w:val="2"/>
      <w:numFmt w:val="chineseCounting"/>
      <w:suff w:val="nothing"/>
      <w:lvlText w:val="%1、"/>
      <w:lvlJc w:val="left"/>
      <w:rPr>
        <w:rFonts w:hint="eastAsia"/>
      </w:rPr>
    </w:lvl>
  </w:abstractNum>
  <w:abstractNum w:abstractNumId="2">
    <w:nsid w:val="BFFABAA9"/>
    <w:multiLevelType w:val="singleLevel"/>
    <w:tmpl w:val="BFFABAA9"/>
    <w:lvl w:ilvl="0" w:tentative="0">
      <w:start w:val="3"/>
      <w:numFmt w:val="chineseCounting"/>
      <w:suff w:val="nothing"/>
      <w:lvlText w:val="%1、"/>
      <w:lvlJc w:val="left"/>
      <w:rPr>
        <w:rFonts w:hint="eastAsia"/>
      </w:rPr>
    </w:lvl>
  </w:abstractNum>
  <w:abstractNum w:abstractNumId="3">
    <w:nsid w:val="F39E26B2"/>
    <w:multiLevelType w:val="singleLevel"/>
    <w:tmpl w:val="F39E26B2"/>
    <w:lvl w:ilvl="0" w:tentative="0">
      <w:start w:val="2"/>
      <w:numFmt w:val="chineseCounting"/>
      <w:suff w:val="nothing"/>
      <w:lvlText w:val="（%1）"/>
      <w:lvlJc w:val="left"/>
      <w:rPr>
        <w:rFonts w:hint="eastAsia"/>
      </w:rPr>
    </w:lvl>
  </w:abstractNum>
  <w:abstractNum w:abstractNumId="4">
    <w:nsid w:val="4491152C"/>
    <w:multiLevelType w:val="singleLevel"/>
    <w:tmpl w:val="4491152C"/>
    <w:lvl w:ilvl="0" w:tentative="0">
      <w:start w:val="1"/>
      <w:numFmt w:val="decimal"/>
      <w:lvlText w:val="%1."/>
      <w:lvlJc w:val="left"/>
      <w:pPr>
        <w:tabs>
          <w:tab w:val="left" w:pos="312"/>
        </w:tabs>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74615D"/>
    <w:rsid w:val="002153FD"/>
    <w:rsid w:val="003B0B55"/>
    <w:rsid w:val="004C2C40"/>
    <w:rsid w:val="0074615D"/>
    <w:rsid w:val="007470CC"/>
    <w:rsid w:val="008C14FF"/>
    <w:rsid w:val="00A92247"/>
    <w:rsid w:val="00B55928"/>
    <w:rsid w:val="00F44A48"/>
    <w:rsid w:val="01C16D6E"/>
    <w:rsid w:val="02A14404"/>
    <w:rsid w:val="02ED4ABC"/>
    <w:rsid w:val="037261DA"/>
    <w:rsid w:val="03BA7C4F"/>
    <w:rsid w:val="03E873F5"/>
    <w:rsid w:val="04F94B0A"/>
    <w:rsid w:val="04FF4024"/>
    <w:rsid w:val="05701B1B"/>
    <w:rsid w:val="06272FC8"/>
    <w:rsid w:val="07E6528B"/>
    <w:rsid w:val="082A6214"/>
    <w:rsid w:val="0A1B7A08"/>
    <w:rsid w:val="0B1A5ABE"/>
    <w:rsid w:val="0D4A4E59"/>
    <w:rsid w:val="0DD23D4A"/>
    <w:rsid w:val="0E336732"/>
    <w:rsid w:val="0ECF65AC"/>
    <w:rsid w:val="10152737"/>
    <w:rsid w:val="13662464"/>
    <w:rsid w:val="151D6E4A"/>
    <w:rsid w:val="15BA6B35"/>
    <w:rsid w:val="15DE511D"/>
    <w:rsid w:val="17115D70"/>
    <w:rsid w:val="180C63B2"/>
    <w:rsid w:val="18462EE2"/>
    <w:rsid w:val="195E3EAE"/>
    <w:rsid w:val="1C7C07DE"/>
    <w:rsid w:val="1D23268B"/>
    <w:rsid w:val="1DEA08D0"/>
    <w:rsid w:val="1E98119D"/>
    <w:rsid w:val="1F3E85E6"/>
    <w:rsid w:val="1FA45CB2"/>
    <w:rsid w:val="1FED356F"/>
    <w:rsid w:val="1FFD2B14"/>
    <w:rsid w:val="20E22BD6"/>
    <w:rsid w:val="235D47F0"/>
    <w:rsid w:val="236849F0"/>
    <w:rsid w:val="238B4897"/>
    <w:rsid w:val="25FF5BF4"/>
    <w:rsid w:val="264E265F"/>
    <w:rsid w:val="2704160A"/>
    <w:rsid w:val="2AAD1FBB"/>
    <w:rsid w:val="2B3A4917"/>
    <w:rsid w:val="2B99610C"/>
    <w:rsid w:val="2BC813F8"/>
    <w:rsid w:val="2BCA72ED"/>
    <w:rsid w:val="2C475230"/>
    <w:rsid w:val="2CBBB084"/>
    <w:rsid w:val="2E0A1A19"/>
    <w:rsid w:val="2FC762FB"/>
    <w:rsid w:val="30BA5A7F"/>
    <w:rsid w:val="321111A9"/>
    <w:rsid w:val="337FBBD0"/>
    <w:rsid w:val="34185F52"/>
    <w:rsid w:val="348113C1"/>
    <w:rsid w:val="35A47850"/>
    <w:rsid w:val="361735D6"/>
    <w:rsid w:val="37C069BF"/>
    <w:rsid w:val="389D7E6F"/>
    <w:rsid w:val="395170EE"/>
    <w:rsid w:val="395C4529"/>
    <w:rsid w:val="3B434DB8"/>
    <w:rsid w:val="3BBFA75F"/>
    <w:rsid w:val="3BCF32C9"/>
    <w:rsid w:val="3BFFDE6F"/>
    <w:rsid w:val="3C4115E4"/>
    <w:rsid w:val="3C6B36A0"/>
    <w:rsid w:val="3CC41D19"/>
    <w:rsid w:val="3DBD16A1"/>
    <w:rsid w:val="3DDD7E2A"/>
    <w:rsid w:val="3F1F1C2A"/>
    <w:rsid w:val="3FF35B40"/>
    <w:rsid w:val="3FFF9BDC"/>
    <w:rsid w:val="406412D2"/>
    <w:rsid w:val="407BB429"/>
    <w:rsid w:val="408D7917"/>
    <w:rsid w:val="42126DD2"/>
    <w:rsid w:val="46190247"/>
    <w:rsid w:val="46E56473"/>
    <w:rsid w:val="47271AF0"/>
    <w:rsid w:val="47AC489C"/>
    <w:rsid w:val="4902618C"/>
    <w:rsid w:val="49A837D5"/>
    <w:rsid w:val="4A274EC8"/>
    <w:rsid w:val="4A3B0ADD"/>
    <w:rsid w:val="4C2B7286"/>
    <w:rsid w:val="4C484939"/>
    <w:rsid w:val="4C5A74AA"/>
    <w:rsid w:val="4C8C268C"/>
    <w:rsid w:val="4CF107F4"/>
    <w:rsid w:val="4D5C222A"/>
    <w:rsid w:val="5048546D"/>
    <w:rsid w:val="5118124A"/>
    <w:rsid w:val="54691D09"/>
    <w:rsid w:val="548036DC"/>
    <w:rsid w:val="557B8E9C"/>
    <w:rsid w:val="55AB2248"/>
    <w:rsid w:val="56D0597B"/>
    <w:rsid w:val="56F52114"/>
    <w:rsid w:val="57097A1B"/>
    <w:rsid w:val="57B811C8"/>
    <w:rsid w:val="58AA5BB8"/>
    <w:rsid w:val="59C339B2"/>
    <w:rsid w:val="5AB61E7E"/>
    <w:rsid w:val="5BBF0E3A"/>
    <w:rsid w:val="5BF31B69"/>
    <w:rsid w:val="5BFF0F1D"/>
    <w:rsid w:val="5BFF387A"/>
    <w:rsid w:val="5D6E1929"/>
    <w:rsid w:val="5EDF531A"/>
    <w:rsid w:val="5F9F34E6"/>
    <w:rsid w:val="5FFE6D40"/>
    <w:rsid w:val="617C5F6F"/>
    <w:rsid w:val="626369F4"/>
    <w:rsid w:val="637EFB69"/>
    <w:rsid w:val="638D15C2"/>
    <w:rsid w:val="64FA2A38"/>
    <w:rsid w:val="653B6D24"/>
    <w:rsid w:val="65AE3591"/>
    <w:rsid w:val="65C632AB"/>
    <w:rsid w:val="6784413C"/>
    <w:rsid w:val="679C9D28"/>
    <w:rsid w:val="690774BF"/>
    <w:rsid w:val="69E84DCE"/>
    <w:rsid w:val="6AEB0FDA"/>
    <w:rsid w:val="6BBCDB43"/>
    <w:rsid w:val="6BDF2477"/>
    <w:rsid w:val="6BF41069"/>
    <w:rsid w:val="6C7B1A39"/>
    <w:rsid w:val="6CDCEA28"/>
    <w:rsid w:val="6CEE0D82"/>
    <w:rsid w:val="6CFEA0E7"/>
    <w:rsid w:val="6D1D2712"/>
    <w:rsid w:val="6D5D0BE7"/>
    <w:rsid w:val="6DE24AAE"/>
    <w:rsid w:val="6DFE90D3"/>
    <w:rsid w:val="6E2C05BA"/>
    <w:rsid w:val="6EA474E2"/>
    <w:rsid w:val="6EFD88AD"/>
    <w:rsid w:val="6FBC55A2"/>
    <w:rsid w:val="6FEB733A"/>
    <w:rsid w:val="6FF63296"/>
    <w:rsid w:val="708F3F5B"/>
    <w:rsid w:val="70BC3B81"/>
    <w:rsid w:val="724D226A"/>
    <w:rsid w:val="725463B1"/>
    <w:rsid w:val="72780225"/>
    <w:rsid w:val="73783C1A"/>
    <w:rsid w:val="73CFA02B"/>
    <w:rsid w:val="74D416AE"/>
    <w:rsid w:val="7773A6BE"/>
    <w:rsid w:val="778F212E"/>
    <w:rsid w:val="77EFA773"/>
    <w:rsid w:val="78EF13F3"/>
    <w:rsid w:val="7A6CC0A7"/>
    <w:rsid w:val="7AB13CAF"/>
    <w:rsid w:val="7BB35B7F"/>
    <w:rsid w:val="7D7F690F"/>
    <w:rsid w:val="7D932127"/>
    <w:rsid w:val="7D9C4C8E"/>
    <w:rsid w:val="7D9FB900"/>
    <w:rsid w:val="7DCB037F"/>
    <w:rsid w:val="7DFC565D"/>
    <w:rsid w:val="7EFF3A6E"/>
    <w:rsid w:val="7F3AE1DF"/>
    <w:rsid w:val="7F3F0F87"/>
    <w:rsid w:val="7F7BB7A2"/>
    <w:rsid w:val="7F7F6980"/>
    <w:rsid w:val="7FCFF390"/>
    <w:rsid w:val="7FEF9AF8"/>
    <w:rsid w:val="8BFE5F38"/>
    <w:rsid w:val="97B4F105"/>
    <w:rsid w:val="9DF870B0"/>
    <w:rsid w:val="9FEF4DDA"/>
    <w:rsid w:val="AAEA6B78"/>
    <w:rsid w:val="B7DD58C9"/>
    <w:rsid w:val="BAF75427"/>
    <w:rsid w:val="BD5160A8"/>
    <w:rsid w:val="BFB775D3"/>
    <w:rsid w:val="BFBBE81B"/>
    <w:rsid w:val="BFEE6C6D"/>
    <w:rsid w:val="BFFDE4D7"/>
    <w:rsid w:val="CDEEC7EA"/>
    <w:rsid w:val="CFE9CBA6"/>
    <w:rsid w:val="D1F7873C"/>
    <w:rsid w:val="D3FECFAB"/>
    <w:rsid w:val="D7E79960"/>
    <w:rsid w:val="D99F03D5"/>
    <w:rsid w:val="D9B6FDB6"/>
    <w:rsid w:val="DABFEA76"/>
    <w:rsid w:val="DBFC8B90"/>
    <w:rsid w:val="DE92D635"/>
    <w:rsid w:val="DEED65E6"/>
    <w:rsid w:val="DF5736EE"/>
    <w:rsid w:val="DFAB115F"/>
    <w:rsid w:val="DFB31674"/>
    <w:rsid w:val="E877C0D6"/>
    <w:rsid w:val="EB7F01B3"/>
    <w:rsid w:val="EBBDED0C"/>
    <w:rsid w:val="ECCF8D27"/>
    <w:rsid w:val="EDDFBA8F"/>
    <w:rsid w:val="EF7F04BB"/>
    <w:rsid w:val="EFCF7777"/>
    <w:rsid w:val="EFF7F102"/>
    <w:rsid w:val="F1FF8A48"/>
    <w:rsid w:val="F2BF9C83"/>
    <w:rsid w:val="F35EFA2E"/>
    <w:rsid w:val="F3DBB808"/>
    <w:rsid w:val="F3F6A00C"/>
    <w:rsid w:val="F7ADF9AD"/>
    <w:rsid w:val="F95F4F63"/>
    <w:rsid w:val="FAC7B370"/>
    <w:rsid w:val="FAF3D235"/>
    <w:rsid w:val="FDFFB3FE"/>
    <w:rsid w:val="FE7FB55E"/>
    <w:rsid w:val="FEF833E0"/>
    <w:rsid w:val="FEFB2584"/>
    <w:rsid w:val="FF9FACFC"/>
    <w:rsid w:val="FFA6F40E"/>
    <w:rsid w:val="FFB16BCF"/>
    <w:rsid w:val="FFDB21AB"/>
    <w:rsid w:val="FFFF58CC"/>
    <w:rsid w:val="FFFF7A9E"/>
    <w:rsid w:val="FFFFC3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5">
    <w:name w:val="Normal Indent"/>
    <w:basedOn w:val="1"/>
    <w:qFormat/>
    <w:uiPriority w:val="0"/>
    <w:pPr>
      <w:ind w:firstLine="420"/>
    </w:pPr>
    <w:rPr>
      <w:szCs w:val="20"/>
    </w:rPr>
  </w:style>
  <w:style w:type="paragraph" w:styleId="6">
    <w:name w:val="Block Text"/>
    <w:basedOn w:val="1"/>
    <w:qFormat/>
    <w:uiPriority w:val="0"/>
    <w:pPr>
      <w:tabs>
        <w:tab w:val="left" w:pos="426"/>
      </w:tabs>
      <w:spacing w:after="120"/>
      <w:ind w:left="1440" w:leftChars="700" w:right="1440" w:rightChars="7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2"/>
    <w:qFormat/>
    <w:uiPriority w:val="0"/>
    <w:pPr>
      <w:ind w:firstLine="420" w:firstLineChars="100"/>
    </w:pPr>
    <w:rPr>
      <w:sz w:val="20"/>
      <w:szCs w:val="20"/>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000000"/>
      <w:u w:val="none"/>
    </w:rPr>
  </w:style>
  <w:style w:type="character" w:styleId="14">
    <w:name w:val="Emphasis"/>
    <w:basedOn w:val="12"/>
    <w:qFormat/>
    <w:uiPriority w:val="0"/>
    <w:rPr>
      <w:sz w:val="22"/>
      <w:szCs w:val="22"/>
    </w:rPr>
  </w:style>
  <w:style w:type="character" w:styleId="15">
    <w:name w:val="Hyperlink"/>
    <w:basedOn w:val="12"/>
    <w:qFormat/>
    <w:uiPriority w:val="0"/>
    <w:rPr>
      <w:color w:val="000000"/>
      <w:u w:val="none"/>
    </w:rPr>
  </w:style>
  <w:style w:type="character" w:customStyle="1" w:styleId="16">
    <w:name w:val="treeicon"/>
    <w:basedOn w:val="12"/>
    <w:qFormat/>
    <w:uiPriority w:val="0"/>
  </w:style>
  <w:style w:type="character" w:customStyle="1" w:styleId="17">
    <w:name w:val="hover48"/>
    <w:basedOn w:val="12"/>
    <w:qFormat/>
    <w:uiPriority w:val="0"/>
    <w:rPr>
      <w:color w:val="FFFFFF"/>
      <w:shd w:val="clear" w:color="auto" w:fill="1091DB"/>
    </w:rPr>
  </w:style>
  <w:style w:type="character" w:customStyle="1" w:styleId="18">
    <w:name w:val="hover49"/>
    <w:basedOn w:val="12"/>
    <w:qFormat/>
    <w:uiPriority w:val="0"/>
    <w:rPr>
      <w:color w:val="FFFFFF"/>
      <w:shd w:val="clear" w:color="auto" w:fill="1091DB"/>
    </w:rPr>
  </w:style>
  <w:style w:type="character" w:customStyle="1" w:styleId="19">
    <w:name w:val="hover50"/>
    <w:basedOn w:val="12"/>
    <w:qFormat/>
    <w:uiPriority w:val="0"/>
    <w:rPr>
      <w:sz w:val="21"/>
      <w:szCs w:val="21"/>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正文 A"/>
    <w:next w:val="2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22">
    <w:name w:val="文本块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426"/>
      </w:tabs>
      <w:suppressAutoHyphens w:val="0"/>
      <w:bidi w:val="0"/>
      <w:spacing w:before="0" w:beforeAutospacing="0" w:after="120" w:afterAutospacing="0" w:line="240" w:lineRule="auto"/>
      <w:ind w:left="1440" w:right="1440" w:firstLine="0"/>
      <w:jc w:val="both"/>
      <w:outlineLvl w:val="9"/>
    </w:pPr>
    <w:rPr>
      <w:rFonts w:ascii="等线" w:hAnsi="等线" w:eastAsia="等线" w:cs="等线"/>
      <w:color w:val="000000"/>
      <w:spacing w:val="0"/>
      <w:w w:val="100"/>
      <w:kern w:val="2"/>
      <w:position w:val="0"/>
      <w:sz w:val="21"/>
      <w:szCs w:val="21"/>
      <w:u w:val="none" w:color="000000"/>
      <w:shd w:val="clear" w:color="auto" w:fill="auto"/>
      <w:vertAlign w:val="baseline"/>
      <w:lang w:val="en-US"/>
    </w:rPr>
  </w:style>
  <w:style w:type="paragraph" w:customStyle="1" w:styleId="23">
    <w:name w:val="Table Paragraph"/>
    <w:basedOn w:val="1"/>
    <w:qFormat/>
    <w:uiPriority w:val="1"/>
    <w:pPr>
      <w:spacing w:before="43"/>
    </w:pPr>
  </w:style>
  <w:style w:type="paragraph" w:customStyle="1" w:styleId="24">
    <w:name w:val="l正文"/>
    <w:basedOn w:val="1"/>
    <w:qFormat/>
    <w:uiPriority w:val="0"/>
    <w:pPr>
      <w:spacing w:line="300" w:lineRule="auto"/>
      <w:ind w:firstLine="200" w:firstLineChars="200"/>
      <w:jc w:val="left"/>
    </w:pPr>
    <w:rPr>
      <w:rFonts w:ascii="楷体_GB2312" w:hAnsi="Times" w:eastAsia="楷体_GB2312" w:cs="等线"/>
      <w:sz w:val="24"/>
    </w:rPr>
  </w:style>
  <w:style w:type="paragraph" w:styleId="25">
    <w:name w:val="List Paragraph"/>
    <w:basedOn w:val="26"/>
    <w:qFormat/>
    <w:uiPriority w:val="34"/>
    <w:pPr>
      <w:ind w:firstLine="420" w:firstLineChars="200"/>
    </w:pPr>
  </w:style>
  <w:style w:type="paragraph" w:customStyle="1" w:styleId="26">
    <w:name w:val="星耀正文"/>
    <w:basedOn w:val="1"/>
    <w:qFormat/>
    <w:uiPriority w:val="3"/>
    <w:pPr>
      <w:ind w:firstLine="422" w:firstLineChars="200"/>
    </w:pPr>
    <w:rPr>
      <w:rFonts w:ascii="宋体" w:hAnsi="宋体" w:eastAsia="仿宋_GB2312"/>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3887</Words>
  <Characters>4032</Characters>
  <Lines>11</Lines>
  <Paragraphs>3</Paragraphs>
  <TotalTime>183</TotalTime>
  <ScaleCrop>false</ScaleCrop>
  <LinksUpToDate>false</LinksUpToDate>
  <CharactersWithSpaces>4171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2021-07-08T00:59:00Z</dcterms:created>
  <dc:creator>006</dc:creator>
  <cp:lastModifiedBy>lxy</cp:lastModifiedBy>
  <cp:lastPrinted>2026-01-16T09:14:00Z</cp:lastPrinted>
  <dcterms:modified xsi:type="dcterms:W3CDTF">2026-01-16T21:59:01Z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3D0143E1EF654AE0A044C2571809EB77_13</vt:lpwstr>
  </property>
</Properties>
</file>