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 w:eastAsia="zh-CN"/>
        </w:rPr>
        <w:t>深圳市龙华区</w:t>
      </w:r>
      <w:r>
        <w:rPr>
          <w:rFonts w:hint="eastAsia" w:ascii="方正小标宋_GBK" w:hAnsi="方正小标宋_GBK" w:eastAsia="方正小标宋_GBK" w:cs="方正小标宋_GBK"/>
          <w:sz w:val="44"/>
          <w:szCs w:val="44"/>
          <w:lang w:val="en-US" w:eastAsia="zh-CN"/>
        </w:rPr>
        <w:t>服务</w:t>
      </w:r>
      <w:r>
        <w:rPr>
          <w:rFonts w:hint="eastAsia" w:ascii="方正小标宋_GBK" w:hAnsi="方正小标宋_GBK" w:eastAsia="方正小标宋_GBK" w:cs="方正小标宋_GBK"/>
          <w:b w:val="0"/>
          <w:bCs w:val="0"/>
          <w:sz w:val="44"/>
          <w:szCs w:val="44"/>
          <w:lang w:val="en" w:eastAsia="zh-CN"/>
        </w:rPr>
        <w:t>业</w:t>
      </w:r>
      <w:r>
        <w:rPr>
          <w:rFonts w:hint="eastAsia" w:ascii="方正小标宋_GBK" w:hAnsi="方正小标宋_GBK" w:eastAsia="方正小标宋_GBK" w:cs="方正小标宋_GBK"/>
          <w:sz w:val="44"/>
          <w:szCs w:val="44"/>
          <w:lang w:val="en" w:eastAsia="zh-CN"/>
        </w:rPr>
        <w:t>发展“十五五”规划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编制说明</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五”时期，是我国基本实现社会主义现代化夯实基础、全面发力的关键时期，是深圳加快构建“三化三性一力”现代化产业体系、塑造未来竞争新优势的重要时期，更是龙华锚定“数智龙华”、“再造一个新龙华”、加快实现高质</w:t>
      </w:r>
      <w:bookmarkStart w:id="0" w:name="_GoBack"/>
      <w:bookmarkEnd w:id="0"/>
      <w:r>
        <w:rPr>
          <w:rFonts w:hint="eastAsia" w:ascii="仿宋_GB2312" w:hAnsi="仿宋_GB2312" w:eastAsia="仿宋_GB2312" w:cs="仿宋_GB2312"/>
          <w:sz w:val="32"/>
          <w:szCs w:val="32"/>
          <w:lang w:val="en-US" w:eastAsia="zh-CN"/>
        </w:rPr>
        <w:t>量跨越式发展的重大关口。为系统推动“十五五”时期龙华区服务业高质量发展，根据国家、省、市、区关于做好“十五五”规划编制工作有关要求，结合我区服务业发展需要，区发展改革局牵头起草了《深圳市龙华区服务业发展“十五五”规划（征求意见稿）》</w:t>
      </w:r>
      <w:r>
        <w:rPr>
          <w:rFonts w:hint="eastAsia" w:ascii="仿宋_GB2312" w:hAnsi="仿宋_GB2312" w:eastAsia="仿宋_GB2312" w:cs="仿宋_GB2312"/>
          <w:sz w:val="32"/>
          <w:szCs w:val="32"/>
        </w:rPr>
        <w:t>（以下简称《规划》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现对</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起草</w:t>
      </w:r>
      <w:r>
        <w:rPr>
          <w:rFonts w:hint="eastAsia" w:ascii="黑体" w:hAnsi="黑体" w:eastAsia="黑体" w:cs="黑体"/>
          <w:sz w:val="32"/>
          <w:szCs w:val="32"/>
        </w:rPr>
        <w:t>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龙华区“十五五”规划编制相关工作要求，区发展改革局于2025年一季度启动了《规划》编制前期研究工作，聘请专业机构深入开展“十四五”服务业发展评估、“十五五”宏观环境与趋势研判、发展目标与指标体系构建、重点领域专项研究等核心工作，科学确立龙华区服务业高质量发展的指标体系和发展目标，为规划编制提供坚实支撑，历时近一年完成《规划》编制，主要经过三个阶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一是开展深入调查研究阶段。</w:t>
      </w:r>
      <w:r>
        <w:rPr>
          <w:rFonts w:hint="eastAsia" w:ascii="仿宋_GB2312" w:hAnsi="仿宋_GB2312" w:eastAsia="仿宋_GB2312" w:cs="仿宋_GB2312"/>
          <w:b w:val="0"/>
          <w:bCs w:val="0"/>
          <w:sz w:val="32"/>
          <w:szCs w:val="32"/>
          <w:lang w:val="en-US" w:eastAsia="zh-CN"/>
        </w:rPr>
        <w:t>区发展</w:t>
      </w:r>
      <w:r>
        <w:rPr>
          <w:rFonts w:hint="eastAsia" w:ascii="仿宋_GB2312" w:hAnsi="仿宋_GB2312" w:eastAsia="仿宋_GB2312" w:cs="仿宋_GB2312"/>
          <w:sz w:val="32"/>
          <w:szCs w:val="32"/>
          <w:lang w:val="en-US" w:eastAsia="zh-CN"/>
        </w:rPr>
        <w:t>改革局成立了“深圳市龙华区服务业发展‘十五五’规划编制工作小组”，区发展改革局主要负责同志任组长，分管局领导任副组长，金融发展协调科负责同志为成员。组建了包括金融发展协调科和专业机构人员在内的核心编制团队。编制团队先后到深圳市龙华区金融协会、深圳市供应链金融协会等行业单位开展实地调研，了解区内相关行业发展情况；开展多场调研座谈会，面向区科技创新局、工业和信息化局、民政局、司法局、财政局、人力资源局、住房建设局、商务局、文化广电旅游体育局、卫生健康局、统计局、市交通运输局龙华管理局、市市场监管局龙华局等行业主管部门了解服务业相关行业发展状况、工作中的短板和和难点，征询“十五五”规划思路，为《规划》编制工作找准方向；面向区内服务业企业开展问卷调查，收集了30多家企业的数据资料，为规划编写工作提供样本数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二是撰写规划并形成初稿阶段。</w:t>
      </w:r>
      <w:r>
        <w:rPr>
          <w:rFonts w:hint="eastAsia" w:ascii="仿宋_GB2312" w:hAnsi="仿宋_GB2312" w:eastAsia="仿宋_GB2312" w:cs="仿宋_GB2312"/>
          <w:b w:val="0"/>
          <w:bCs w:val="0"/>
          <w:sz w:val="32"/>
          <w:szCs w:val="32"/>
          <w:lang w:val="en-US" w:eastAsia="zh-CN"/>
        </w:rPr>
        <w:t>在第一阶段调研基础上，编制团队认真学习党的二十大和二十届历次全会精神，深刻领会国家、省、市、区关于规划编制工作有关要求，着手研究龙华区服务业发展现状与短板、发展环境和趋势研判、先进地区经验借鉴、规划期服务业发展指标体系和发展策略等《规划》核心研究内容，初步明确了“十五五”龙华区服务业的指导思想、目标任务、重点工程和保障措施等，并形成了规划初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zh-CN" w:eastAsia="zh-CN"/>
        </w:rPr>
        <w:t>三是修改</w:t>
      </w:r>
      <w:r>
        <w:rPr>
          <w:rFonts w:hint="eastAsia" w:ascii="仿宋_GB2312" w:hAnsi="仿宋_GB2312" w:eastAsia="仿宋_GB2312" w:cs="仿宋_GB2312"/>
          <w:b/>
          <w:bCs/>
          <w:sz w:val="32"/>
          <w:szCs w:val="32"/>
          <w:lang w:val="en-US" w:eastAsia="zh-CN"/>
        </w:rPr>
        <w:t>并形成征求意见稿</w:t>
      </w:r>
      <w:r>
        <w:rPr>
          <w:rFonts w:hint="eastAsia" w:ascii="仿宋_GB2312" w:hAnsi="仿宋_GB2312" w:eastAsia="仿宋_GB2312" w:cs="仿宋_GB2312"/>
          <w:b/>
          <w:bCs/>
          <w:sz w:val="32"/>
          <w:szCs w:val="32"/>
          <w:lang w:val="zh-CN" w:eastAsia="zh-CN"/>
        </w:rPr>
        <w:t>阶段。</w:t>
      </w:r>
      <w:r>
        <w:rPr>
          <w:rFonts w:hint="eastAsia" w:ascii="仿宋_GB2312" w:hAnsi="仿宋_GB2312" w:eastAsia="仿宋_GB2312" w:cs="仿宋_GB2312"/>
          <w:b w:val="0"/>
          <w:bCs w:val="0"/>
          <w:sz w:val="32"/>
          <w:szCs w:val="32"/>
          <w:lang w:val="zh-CN" w:eastAsia="zh-CN"/>
        </w:rPr>
        <w:t>区发展改革局</w:t>
      </w:r>
      <w:r>
        <w:rPr>
          <w:rFonts w:hint="eastAsia" w:ascii="仿宋_GB2312" w:hAnsi="仿宋_GB2312" w:eastAsia="仿宋_GB2312" w:cs="仿宋_GB2312"/>
          <w:b w:val="0"/>
          <w:bCs w:val="0"/>
          <w:sz w:val="32"/>
          <w:szCs w:val="32"/>
          <w:lang w:val="en-US" w:eastAsia="zh-CN"/>
        </w:rPr>
        <w:t>主要负责同志、分管负责同志多次听取规划研究情况汇报，研讨规划修改工作；编制团队</w:t>
      </w:r>
      <w:r>
        <w:rPr>
          <w:rFonts w:hint="eastAsia" w:ascii="仿宋_GB2312" w:hAnsi="仿宋_GB2312" w:eastAsia="仿宋_GB2312" w:cs="仿宋_GB2312"/>
          <w:b w:val="0"/>
          <w:bCs w:val="0"/>
          <w:sz w:val="32"/>
          <w:szCs w:val="32"/>
          <w:lang w:val="zh-CN" w:eastAsia="zh-CN"/>
        </w:rPr>
        <w:t>积极开展内部沟通交流，</w:t>
      </w:r>
      <w:r>
        <w:rPr>
          <w:rFonts w:hint="eastAsia" w:ascii="仿宋_GB2312" w:hAnsi="仿宋_GB2312" w:eastAsia="仿宋_GB2312" w:cs="仿宋_GB2312"/>
          <w:b w:val="0"/>
          <w:bCs w:val="0"/>
          <w:sz w:val="32"/>
          <w:szCs w:val="32"/>
          <w:lang w:val="en-US" w:eastAsia="zh-CN"/>
        </w:rPr>
        <w:t>及时了解市级规划动态，充实完善</w:t>
      </w:r>
      <w:r>
        <w:rPr>
          <w:rFonts w:hint="eastAsia" w:ascii="仿宋_GB2312" w:hAnsi="仿宋_GB2312" w:eastAsia="仿宋_GB2312" w:cs="仿宋_GB2312"/>
          <w:b w:val="0"/>
          <w:bCs w:val="0"/>
          <w:sz w:val="32"/>
          <w:szCs w:val="32"/>
          <w:lang w:val="zh-CN" w:eastAsia="zh-CN"/>
        </w:rPr>
        <w:t>《规划》</w:t>
      </w:r>
      <w:r>
        <w:rPr>
          <w:rFonts w:hint="eastAsia" w:ascii="仿宋_GB2312" w:hAnsi="仿宋_GB2312" w:eastAsia="仿宋_GB2312" w:cs="仿宋_GB2312"/>
          <w:b w:val="0"/>
          <w:bCs w:val="0"/>
          <w:sz w:val="32"/>
          <w:szCs w:val="32"/>
          <w:lang w:val="en-US" w:eastAsia="zh-CN"/>
        </w:rPr>
        <w:t>内容；</w:t>
      </w:r>
      <w:r>
        <w:rPr>
          <w:rFonts w:hint="eastAsia" w:ascii="仿宋_GB2312" w:hAnsi="仿宋_GB2312" w:eastAsia="仿宋_GB2312" w:cs="仿宋_GB2312"/>
          <w:b w:val="0"/>
          <w:bCs w:val="0"/>
          <w:sz w:val="32"/>
          <w:szCs w:val="32"/>
          <w:lang w:val="zh-CN" w:eastAsia="zh-CN"/>
        </w:rPr>
        <w:t>于202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zh-CN" w:eastAsia="zh-CN"/>
        </w:rPr>
        <w:t>年</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zh-CN" w:eastAsia="zh-CN"/>
        </w:rPr>
        <w:t>月</w:t>
      </w:r>
      <w:r>
        <w:rPr>
          <w:rFonts w:hint="eastAsia" w:ascii="仿宋_GB2312" w:hAnsi="仿宋_GB2312" w:eastAsia="仿宋_GB2312" w:cs="仿宋_GB2312"/>
          <w:b w:val="0"/>
          <w:bCs w:val="0"/>
          <w:sz w:val="32"/>
          <w:szCs w:val="32"/>
          <w:lang w:val="en-US" w:eastAsia="zh-CN"/>
        </w:rPr>
        <w:t>召开</w:t>
      </w:r>
      <w:r>
        <w:rPr>
          <w:rFonts w:hint="eastAsia" w:ascii="仿宋_GB2312" w:hAnsi="仿宋_GB2312" w:eastAsia="仿宋_GB2312" w:cs="仿宋_GB2312"/>
          <w:b w:val="0"/>
          <w:bCs w:val="0"/>
          <w:sz w:val="32"/>
          <w:szCs w:val="32"/>
          <w:lang w:val="zh-CN" w:eastAsia="zh-CN"/>
        </w:rPr>
        <w:t>了专家论证会，</w:t>
      </w:r>
      <w:r>
        <w:rPr>
          <w:rFonts w:hint="eastAsia" w:ascii="仿宋_GB2312" w:hAnsi="仿宋_GB2312" w:eastAsia="仿宋_GB2312" w:cs="仿宋_GB2312"/>
          <w:b w:val="0"/>
          <w:bCs w:val="0"/>
          <w:sz w:val="32"/>
          <w:szCs w:val="32"/>
          <w:lang w:val="en-US" w:eastAsia="zh-CN"/>
        </w:rPr>
        <w:t>听取专家意见</w:t>
      </w:r>
      <w:r>
        <w:rPr>
          <w:rFonts w:hint="eastAsia" w:ascii="仿宋_GB2312" w:hAnsi="仿宋_GB2312" w:eastAsia="仿宋_GB2312" w:cs="仿宋_GB2312"/>
          <w:b w:val="0"/>
          <w:bCs w:val="0"/>
          <w:sz w:val="32"/>
          <w:szCs w:val="32"/>
          <w:lang w:val="zh-CN" w:eastAsia="zh-CN"/>
        </w:rPr>
        <w:t>。编制</w:t>
      </w:r>
      <w:r>
        <w:rPr>
          <w:rFonts w:hint="eastAsia" w:ascii="仿宋_GB2312" w:hAnsi="仿宋_GB2312" w:eastAsia="仿宋_GB2312" w:cs="仿宋_GB2312"/>
          <w:b w:val="0"/>
          <w:bCs w:val="0"/>
          <w:sz w:val="32"/>
          <w:szCs w:val="32"/>
          <w:lang w:val="en-US" w:eastAsia="zh-CN"/>
        </w:rPr>
        <w:t>团队</w:t>
      </w:r>
      <w:r>
        <w:rPr>
          <w:rFonts w:hint="eastAsia" w:ascii="仿宋_GB2312" w:hAnsi="仿宋_GB2312" w:eastAsia="仿宋_GB2312" w:cs="仿宋_GB2312"/>
          <w:b w:val="0"/>
          <w:bCs w:val="0"/>
          <w:sz w:val="32"/>
          <w:szCs w:val="32"/>
          <w:lang w:val="zh-CN" w:eastAsia="zh-CN"/>
        </w:rPr>
        <w:t>根据各方面意见进行反复修改,</w:t>
      </w:r>
      <w:r>
        <w:rPr>
          <w:rFonts w:hint="eastAsia" w:ascii="仿宋_GB2312" w:hAnsi="仿宋_GB2312" w:eastAsia="仿宋_GB2312" w:cs="仿宋_GB2312"/>
          <w:b w:val="0"/>
          <w:bCs w:val="0"/>
          <w:sz w:val="32"/>
          <w:szCs w:val="32"/>
          <w:lang w:val="en-US" w:eastAsia="zh-CN"/>
        </w:rPr>
        <w:t>最终</w:t>
      </w:r>
      <w:r>
        <w:rPr>
          <w:rFonts w:hint="eastAsia" w:ascii="仿宋_GB2312" w:hAnsi="仿宋_GB2312" w:eastAsia="仿宋_GB2312" w:cs="仿宋_GB2312"/>
          <w:b w:val="0"/>
          <w:bCs w:val="0"/>
          <w:sz w:val="32"/>
          <w:szCs w:val="32"/>
          <w:lang w:val="zh-CN" w:eastAsia="zh-CN"/>
        </w:rPr>
        <w:t>形成了《规划》</w:t>
      </w:r>
      <w:r>
        <w:rPr>
          <w:rFonts w:hint="eastAsia" w:ascii="仿宋_GB2312" w:hAnsi="仿宋_GB2312" w:eastAsia="仿宋_GB2312" w:cs="仿宋_GB2312"/>
          <w:b w:val="0"/>
          <w:bCs w:val="0"/>
          <w:sz w:val="32"/>
          <w:szCs w:val="32"/>
          <w:lang w:val="en-US" w:eastAsia="zh-CN"/>
        </w:rPr>
        <w:t>征求意见稿</w:t>
      </w:r>
      <w:r>
        <w:rPr>
          <w:rFonts w:hint="eastAsia" w:ascii="仿宋_GB2312" w:hAnsi="仿宋_GB2312" w:eastAsia="仿宋_GB2312" w:cs="仿宋_GB2312"/>
          <w:b w:val="0"/>
          <w:bCs w:val="0"/>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《规划》共包括</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lang w:val="zh-CN" w:eastAsia="zh-CN"/>
        </w:rPr>
        <w:t>个部分：一是发展基础与形势，系统梳理“十四五”成就及未来机遇挑战；二是</w:t>
      </w:r>
      <w:r>
        <w:rPr>
          <w:rFonts w:hint="eastAsia" w:ascii="仿宋_GB2312" w:hAnsi="仿宋_GB2312" w:eastAsia="仿宋_GB2312" w:cs="仿宋_GB2312"/>
          <w:b w:val="0"/>
          <w:bCs w:val="0"/>
          <w:sz w:val="32"/>
          <w:szCs w:val="32"/>
          <w:lang w:val="en-US" w:eastAsia="zh-CN"/>
        </w:rPr>
        <w:t>总体要求，</w:t>
      </w:r>
      <w:r>
        <w:rPr>
          <w:rFonts w:hint="eastAsia" w:ascii="仿宋_GB2312" w:hAnsi="仿宋_GB2312" w:eastAsia="仿宋_GB2312" w:cs="仿宋_GB2312"/>
          <w:b w:val="0"/>
          <w:bCs w:val="0"/>
          <w:sz w:val="32"/>
          <w:szCs w:val="32"/>
          <w:lang w:val="zh-CN" w:eastAsia="zh-CN"/>
        </w:rPr>
        <w:t>明确指导思想、</w:t>
      </w:r>
      <w:r>
        <w:rPr>
          <w:rFonts w:hint="eastAsia" w:ascii="仿宋_GB2312" w:hAnsi="仿宋_GB2312" w:eastAsia="仿宋_GB2312" w:cs="仿宋_GB2312"/>
          <w:b w:val="0"/>
          <w:bCs w:val="0"/>
          <w:sz w:val="32"/>
          <w:szCs w:val="32"/>
          <w:lang w:val="en-US" w:eastAsia="zh-CN"/>
        </w:rPr>
        <w:t>基本原则</w:t>
      </w:r>
      <w:r>
        <w:rPr>
          <w:rFonts w:hint="eastAsia" w:ascii="仿宋_GB2312" w:hAnsi="仿宋_GB2312" w:eastAsia="仿宋_GB2312" w:cs="仿宋_GB2312"/>
          <w:b w:val="0"/>
          <w:bCs w:val="0"/>
          <w:sz w:val="32"/>
          <w:szCs w:val="32"/>
          <w:lang w:val="zh-CN" w:eastAsia="zh-CN"/>
        </w:rPr>
        <w:t>和</w:t>
      </w:r>
      <w:r>
        <w:rPr>
          <w:rFonts w:hint="eastAsia" w:ascii="仿宋_GB2312" w:hAnsi="仿宋_GB2312" w:eastAsia="仿宋_GB2312" w:cs="仿宋_GB2312"/>
          <w:b w:val="0"/>
          <w:bCs w:val="0"/>
          <w:sz w:val="32"/>
          <w:szCs w:val="32"/>
          <w:lang w:val="en-US" w:eastAsia="zh-CN"/>
        </w:rPr>
        <w:t>发展</w:t>
      </w:r>
      <w:r>
        <w:rPr>
          <w:rFonts w:hint="eastAsia" w:ascii="仿宋_GB2312" w:hAnsi="仿宋_GB2312" w:eastAsia="仿宋_GB2312" w:cs="仿宋_GB2312"/>
          <w:b w:val="0"/>
          <w:bCs w:val="0"/>
          <w:sz w:val="32"/>
          <w:szCs w:val="32"/>
          <w:lang w:val="zh-CN" w:eastAsia="zh-CN"/>
        </w:rPr>
        <w:t>目标；三是推动生产性服务业向高端化、专业化、数字化延伸，</w:t>
      </w:r>
      <w:r>
        <w:rPr>
          <w:rFonts w:hint="eastAsia" w:ascii="仿宋_GB2312" w:hAnsi="仿宋_GB2312" w:eastAsia="仿宋_GB2312" w:cs="仿宋_GB2312"/>
          <w:b w:val="0"/>
          <w:bCs w:val="0"/>
          <w:sz w:val="32"/>
          <w:szCs w:val="32"/>
          <w:lang w:val="en-US" w:eastAsia="zh-CN"/>
        </w:rPr>
        <w:t>提出</w:t>
      </w:r>
      <w:r>
        <w:rPr>
          <w:rFonts w:hint="eastAsia" w:ascii="仿宋_GB2312" w:hAnsi="仿宋_GB2312" w:eastAsia="仿宋_GB2312" w:cs="仿宋_GB2312"/>
          <w:b w:val="0"/>
          <w:bCs w:val="0"/>
          <w:sz w:val="32"/>
          <w:szCs w:val="32"/>
          <w:lang w:val="zh-CN" w:eastAsia="zh-CN"/>
        </w:rPr>
        <w:t>生产性服务业</w:t>
      </w:r>
      <w:r>
        <w:rPr>
          <w:rFonts w:hint="eastAsia" w:ascii="仿宋_GB2312" w:hAnsi="仿宋_GB2312" w:eastAsia="仿宋_GB2312" w:cs="仿宋_GB2312"/>
          <w:b w:val="0"/>
          <w:bCs w:val="0"/>
          <w:sz w:val="32"/>
          <w:szCs w:val="32"/>
          <w:lang w:val="en-US" w:eastAsia="zh-CN"/>
        </w:rPr>
        <w:t>五大</w:t>
      </w:r>
      <w:r>
        <w:rPr>
          <w:rFonts w:hint="eastAsia" w:ascii="仿宋_GB2312" w:hAnsi="仿宋_GB2312" w:eastAsia="仿宋_GB2312" w:cs="仿宋_GB2312"/>
          <w:b w:val="0"/>
          <w:bCs w:val="0"/>
          <w:sz w:val="32"/>
          <w:szCs w:val="32"/>
          <w:lang w:val="zh-CN" w:eastAsia="zh-CN"/>
        </w:rPr>
        <w:t>领域</w:t>
      </w:r>
      <w:r>
        <w:rPr>
          <w:rFonts w:hint="eastAsia" w:ascii="仿宋_GB2312" w:hAnsi="仿宋_GB2312" w:eastAsia="仿宋_GB2312" w:cs="仿宋_GB2312"/>
          <w:b w:val="0"/>
          <w:bCs w:val="0"/>
          <w:sz w:val="32"/>
          <w:szCs w:val="32"/>
          <w:lang w:val="en-US" w:eastAsia="zh-CN"/>
        </w:rPr>
        <w:t>的发展</w:t>
      </w:r>
      <w:r>
        <w:rPr>
          <w:rFonts w:hint="eastAsia" w:ascii="仿宋_GB2312" w:hAnsi="仿宋_GB2312" w:eastAsia="仿宋_GB2312" w:cs="仿宋_GB2312"/>
          <w:b w:val="0"/>
          <w:bCs w:val="0"/>
          <w:sz w:val="32"/>
          <w:szCs w:val="32"/>
          <w:lang w:val="zh-CN" w:eastAsia="zh-CN"/>
        </w:rPr>
        <w:t>重点</w:t>
      </w:r>
      <w:r>
        <w:rPr>
          <w:rFonts w:hint="eastAsia" w:ascii="仿宋_GB2312" w:hAnsi="仿宋_GB2312" w:eastAsia="仿宋_GB2312" w:cs="仿宋_GB2312"/>
          <w:b w:val="0"/>
          <w:bCs w:val="0"/>
          <w:sz w:val="32"/>
          <w:szCs w:val="32"/>
          <w:lang w:val="en-US" w:eastAsia="zh-CN"/>
        </w:rPr>
        <w:t>及重点项目</w:t>
      </w:r>
      <w:r>
        <w:rPr>
          <w:rFonts w:hint="eastAsia" w:ascii="仿宋_GB2312" w:hAnsi="仿宋_GB2312" w:eastAsia="仿宋_GB2312" w:cs="仿宋_GB2312"/>
          <w:b w:val="0"/>
          <w:bCs w:val="0"/>
          <w:sz w:val="32"/>
          <w:szCs w:val="32"/>
          <w:lang w:val="zh-CN" w:eastAsia="zh-CN"/>
        </w:rPr>
        <w:t>；四是加快生活性服务业向品质化、多样化、场景化升级，提出生活性服务业</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val="zh-CN" w:eastAsia="zh-CN"/>
        </w:rPr>
        <w:t>大领域的发展重点及重点项目；</w:t>
      </w:r>
      <w:r>
        <w:rPr>
          <w:rFonts w:hint="eastAsia" w:ascii="仿宋_GB2312" w:hAnsi="仿宋_GB2312" w:eastAsia="仿宋_GB2312" w:cs="仿宋_GB2312"/>
          <w:b w:val="0"/>
          <w:bCs w:val="0"/>
          <w:sz w:val="32"/>
          <w:szCs w:val="32"/>
          <w:lang w:val="en-US" w:eastAsia="zh-CN"/>
        </w:rPr>
        <w:t>五是优化“双心引领、三廊联动、多节点支撑”空间布局，推动形成层次分明、功能互补、协同高效的服务业空间体系；六是实施产业提质增效“八大工程”，促进服务业实现动力变革、质量变革和效率变革；七是强化规划实施保障，</w:t>
      </w:r>
      <w:r>
        <w:rPr>
          <w:rFonts w:hint="eastAsia" w:ascii="仿宋_GB2312" w:hAnsi="仿宋_GB2312" w:eastAsia="仿宋_GB2312" w:cs="仿宋_GB2312"/>
          <w:b w:val="0"/>
          <w:bCs w:val="0"/>
          <w:sz w:val="32"/>
          <w:szCs w:val="32"/>
          <w:lang w:val="zh-CN" w:eastAsia="zh-CN"/>
        </w:rPr>
        <w:t>确保规划落地见效。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楷体_GB2312" w:hAnsi="方正楷体_GB2312" w:eastAsia="方正楷体_GB2312" w:cs="方正楷体_GB2312"/>
          <w:sz w:val="32"/>
          <w:szCs w:val="32"/>
        </w:rPr>
      </w:pPr>
      <w:r>
        <w:rPr>
          <w:rFonts w:hint="eastAsia" w:ascii="楷体_GB2312" w:hAnsi="楷体_GB2312" w:eastAsia="楷体_GB2312" w:cs="楷体_GB2312"/>
          <w:b/>
          <w:bCs/>
          <w:sz w:val="32"/>
          <w:szCs w:val="32"/>
        </w:rPr>
        <w:t>（一）发展基础与形势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1.主要成就。</w:t>
      </w:r>
      <w:r>
        <w:rPr>
          <w:rFonts w:hint="eastAsia" w:ascii="仿宋_GB2312" w:hAnsi="仿宋_GB2312" w:eastAsia="仿宋_GB2312" w:cs="仿宋_GB2312"/>
          <w:b w:val="0"/>
          <w:bCs w:val="0"/>
          <w:sz w:val="32"/>
          <w:szCs w:val="32"/>
          <w:lang w:val="zh-CN" w:eastAsia="zh-CN"/>
        </w:rPr>
        <w:t>“十四五”期间，龙华区服务业规模持续扩大，对全区经济增长的支撑作用显著增强；服务业内部结构持续优化，发展质量持续提升；服务业新业态、新模式亮点突出，发展活力加速释放；依托重点片区形成了“多核心、差异化”的空间集聚态势，集聚发展格局初步</w:t>
      </w:r>
      <w:r>
        <w:rPr>
          <w:rFonts w:hint="eastAsia" w:ascii="仿宋_GB2312" w:hAnsi="仿宋_GB2312" w:eastAsia="仿宋_GB2312" w:cs="仿宋_GB2312"/>
          <w:b w:val="0"/>
          <w:bCs w:val="0"/>
          <w:sz w:val="32"/>
          <w:szCs w:val="32"/>
          <w:lang w:val="en-US" w:eastAsia="zh-CN"/>
        </w:rPr>
        <w:t>形成；新型基础设施建设加快，营商环境持续优化，发展环境持续改善。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2.面临形势。一是发展新机遇。</w:t>
      </w:r>
      <w:r>
        <w:rPr>
          <w:rFonts w:hint="eastAsia" w:ascii="仿宋_GB2312" w:hAnsi="仿宋_GB2312" w:eastAsia="仿宋_GB2312" w:cs="仿宋_GB2312"/>
          <w:b w:val="0"/>
          <w:bCs w:val="0"/>
          <w:sz w:val="32"/>
          <w:szCs w:val="32"/>
          <w:lang w:val="en-US" w:eastAsia="zh-CN"/>
        </w:rPr>
        <w:t>“数字中国”“新型工业化”等系列政策不断出台，深圳加快建设国际消费中心城市、全球科技创新中心，做好APEC2026承办工作，为龙华发展高端服务业提供巨大空间。龙华制造强区优势突出，为生产性服务业发展提供坚实基础。龙华人口规模大、结构年轻，新市民占比高，消费市场潜力巨大。龙华区创新载体体系不断壮大，数字化能力居全市前列，为发展信息服务、平台经济、数据服务等数字服务业提供坚实基础。</w:t>
      </w:r>
      <w:r>
        <w:rPr>
          <w:rFonts w:hint="eastAsia" w:ascii="仿宋_GB2312" w:hAnsi="仿宋_GB2312" w:eastAsia="仿宋_GB2312" w:cs="仿宋_GB2312"/>
          <w:b/>
          <w:bCs/>
          <w:sz w:val="32"/>
          <w:szCs w:val="32"/>
          <w:lang w:val="en-US" w:eastAsia="zh-CN"/>
        </w:rPr>
        <w:t>二是面临的风险挑战。</w:t>
      </w:r>
      <w:r>
        <w:rPr>
          <w:rFonts w:hint="eastAsia" w:ascii="仿宋_GB2312" w:hAnsi="仿宋_GB2312" w:eastAsia="仿宋_GB2312" w:cs="仿宋_GB2312"/>
          <w:b w:val="0"/>
          <w:bCs w:val="0"/>
          <w:sz w:val="32"/>
          <w:szCs w:val="32"/>
          <w:lang w:val="en-US" w:eastAsia="zh-CN"/>
        </w:rPr>
        <w:t>“十五五”时期，龙华服务业发展面临外部环境不确定性和内部结构性矛盾的双重压力。一方面，全球产业链供应链深度重塑，服务贸易制度型开放面临欧美施压，服务业发展不确定难预料因素增多。另一方面，龙华服务业发展存在空间不均衡，在人工智能、绿色能源、低空经济、智能装备、生命健康等战略赛道上的研发、金融、标准与专业服务体系仍待完善，房地产市场承压、汽车零售政策退坡、传统物流转型缓慢，生活性服务业供给难以满足居民多元化、高品质消费需求，新兴消费业态仍处培育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（二）指导思想</w:t>
      </w:r>
      <w:r>
        <w:rPr>
          <w:rFonts w:hint="eastAsia" w:ascii="楷体_GB2312" w:hAnsi="楷体_GB2312" w:eastAsia="楷体_GB2312" w:cs="楷体_GB2312"/>
          <w:b/>
          <w:bCs/>
          <w:sz w:val="32"/>
          <w:szCs w:val="32"/>
          <w:lang w:eastAsia="zh-CN"/>
        </w:rPr>
        <w:t>、基本原则</w:t>
      </w:r>
      <w:r>
        <w:rPr>
          <w:rFonts w:hint="eastAsia" w:ascii="楷体_GB2312" w:hAnsi="楷体_GB2312" w:eastAsia="楷体_GB2312" w:cs="楷体_GB2312"/>
          <w:b/>
          <w:bCs/>
          <w:sz w:val="32"/>
          <w:szCs w:val="32"/>
        </w:rPr>
        <w:t>和</w:t>
      </w:r>
      <w:r>
        <w:rPr>
          <w:rFonts w:hint="eastAsia" w:ascii="楷体_GB2312" w:hAnsi="楷体_GB2312" w:eastAsia="楷体_GB2312" w:cs="楷体_GB2312"/>
          <w:b/>
          <w:bCs/>
          <w:sz w:val="32"/>
          <w:szCs w:val="32"/>
          <w:lang w:val="en-US" w:eastAsia="zh-CN"/>
        </w:rPr>
        <w:t>发展</w:t>
      </w:r>
      <w:r>
        <w:rPr>
          <w:rFonts w:hint="eastAsia" w:ascii="楷体_GB2312" w:hAnsi="楷体_GB2312" w:eastAsia="楷体_GB2312" w:cs="楷体_GB2312"/>
          <w:b/>
          <w:bCs/>
          <w:sz w:val="32"/>
          <w:szCs w:val="32"/>
        </w:rPr>
        <w:t>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1.指导思想。</w:t>
      </w:r>
      <w:r>
        <w:rPr>
          <w:rFonts w:hint="eastAsia" w:ascii="仿宋_GB2312" w:hAnsi="仿宋_GB2312" w:eastAsia="仿宋_GB2312" w:cs="仿宋_GB2312"/>
          <w:b w:val="0"/>
          <w:bCs w:val="0"/>
          <w:sz w:val="32"/>
          <w:szCs w:val="32"/>
          <w:lang w:val="en-US" w:eastAsia="zh-CN"/>
        </w:rPr>
        <w:t>以习近平新时代中国特色社会主义思想为指导，全面贯彻党的二十大和二十届历次全会精神，深入贯彻习近平总书记对广东、深圳系列重要讲话和重要指示精神，完整准确全面贯彻新发展理念，积极服务和融入新发展格局，坚持稳中求进工作总基调，以推动服务业高质量发展为主题，以数字化赋能为引领，以制造业与服务业融合发展为突破口，以满足人民日益增长的美好生活需要为根本目的，深化改革开放、优化发展环境、强化要素支撑，加快建成“3+3+2”现代服务业体系，促进服务业优质高效发展，推动服务业在规模、结构、功能和能级上实现整体跃升，为龙华区打造高质量发展样板城区提供坚实支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2.基本原则。一是坚持数智赋能、创新发展。</w:t>
      </w:r>
      <w:r>
        <w:rPr>
          <w:rFonts w:hint="eastAsia" w:ascii="仿宋_GB2312" w:hAnsi="仿宋_GB2312" w:eastAsia="仿宋_GB2312" w:cs="仿宋_GB2312"/>
          <w:b w:val="0"/>
          <w:bCs w:val="0"/>
          <w:sz w:val="32"/>
          <w:szCs w:val="32"/>
          <w:lang w:val="en-US" w:eastAsia="zh-CN"/>
        </w:rPr>
        <w:t>加快制造业数智化改造提升，加速推进服务业数字化转型进程，拓展数字化应用场景，创新“数字+AI+服务业”的发展模式，持续催生服务业的新业态、新模式，不断增强服务经济发展的新动能。</w:t>
      </w:r>
      <w:r>
        <w:rPr>
          <w:rFonts w:hint="eastAsia" w:ascii="仿宋_GB2312" w:hAnsi="仿宋_GB2312" w:eastAsia="仿宋_GB2312" w:cs="仿宋_GB2312"/>
          <w:b/>
          <w:bCs/>
          <w:sz w:val="32"/>
          <w:szCs w:val="32"/>
          <w:lang w:val="en-US" w:eastAsia="zh-CN"/>
        </w:rPr>
        <w:t>二是坚持业态融合、协同发展。</w:t>
      </w:r>
      <w:r>
        <w:rPr>
          <w:rFonts w:hint="eastAsia" w:ascii="仿宋_GB2312" w:hAnsi="仿宋_GB2312" w:eastAsia="仿宋_GB2312" w:cs="仿宋_GB2312"/>
          <w:b w:val="0"/>
          <w:bCs w:val="0"/>
          <w:sz w:val="32"/>
          <w:szCs w:val="32"/>
          <w:lang w:val="en-US" w:eastAsia="zh-CN"/>
        </w:rPr>
        <w:t>充分利用服务业深入渗透至生产生活各个领域之特性，积极推进现代服务业与先进制造业的深度融合，促进服务业内部的有机融合，以实现产业间的相互促进、共同成长，达成耦合共生之战略目标。</w:t>
      </w:r>
      <w:r>
        <w:rPr>
          <w:rFonts w:hint="eastAsia" w:ascii="仿宋_GB2312" w:hAnsi="仿宋_GB2312" w:eastAsia="仿宋_GB2312" w:cs="仿宋_GB2312"/>
          <w:b/>
          <w:bCs/>
          <w:sz w:val="32"/>
          <w:szCs w:val="32"/>
          <w:lang w:val="en-US" w:eastAsia="zh-CN"/>
        </w:rPr>
        <w:t>三是坚持投资于人、品质发展。</w:t>
      </w:r>
      <w:r>
        <w:rPr>
          <w:rFonts w:hint="eastAsia" w:ascii="仿宋_GB2312" w:hAnsi="仿宋_GB2312" w:eastAsia="仿宋_GB2312" w:cs="仿宋_GB2312"/>
          <w:b w:val="0"/>
          <w:bCs w:val="0"/>
          <w:sz w:val="32"/>
          <w:szCs w:val="32"/>
          <w:lang w:val="en-US" w:eastAsia="zh-CN"/>
        </w:rPr>
        <w:t>始终以满足人民群众对美好生活的向往和需求为根本出发点，立足于高质量发展的战略要求和居民生活的实际需要，不断拓展服务供给体系，坚持投资于人、服务于民生，提升服务品质，改善服务环境。</w:t>
      </w:r>
      <w:r>
        <w:rPr>
          <w:rFonts w:hint="eastAsia" w:ascii="仿宋_GB2312" w:hAnsi="仿宋_GB2312" w:eastAsia="仿宋_GB2312" w:cs="仿宋_GB2312"/>
          <w:b/>
          <w:bCs/>
          <w:sz w:val="32"/>
          <w:szCs w:val="32"/>
          <w:lang w:val="en-US" w:eastAsia="zh-CN"/>
        </w:rPr>
        <w:t>四是坚持深化改革、开放发展。</w:t>
      </w:r>
      <w:r>
        <w:rPr>
          <w:rFonts w:hint="eastAsia" w:ascii="仿宋_GB2312" w:hAnsi="仿宋_GB2312" w:eastAsia="仿宋_GB2312" w:cs="仿宋_GB2312"/>
          <w:b w:val="0"/>
          <w:bCs w:val="0"/>
          <w:sz w:val="32"/>
          <w:szCs w:val="32"/>
          <w:lang w:val="en-US" w:eastAsia="zh-CN"/>
        </w:rPr>
        <w:t>全面贯彻执行全市服务业扩大开放综合试点改革的各项措施，主动对接国际高标准经贸规则，深入进行改革创新的探索实践，推动服务业开放发展迈上新台阶、取得新成效。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3.发展目标。</w:t>
      </w:r>
      <w:r>
        <w:rPr>
          <w:rFonts w:hint="eastAsia" w:ascii="仿宋_GB2312" w:hAnsi="仿宋_GB2312" w:eastAsia="仿宋_GB2312" w:cs="仿宋_GB2312"/>
          <w:b w:val="0"/>
          <w:bCs w:val="0"/>
          <w:sz w:val="32"/>
          <w:szCs w:val="32"/>
          <w:lang w:val="en-US" w:eastAsia="zh-CN"/>
        </w:rPr>
        <w:t>“十五五”时期，龙华区服务业将全面迈入高质量发展新阶段，综合实力、产业结构、创新能力与国际化程度显著提升，成为深圳北部中心支撑新质生产力的重要动力源，为龙华构建现代化产业体系提供关键支撑。</w:t>
      </w:r>
      <w:r>
        <w:rPr>
          <w:rFonts w:hint="eastAsia" w:ascii="仿宋_GB2312" w:hAnsi="仿宋_GB2312" w:eastAsia="仿宋_GB2312" w:cs="仿宋_GB2312"/>
          <w:b/>
          <w:bCs/>
          <w:sz w:val="32"/>
          <w:szCs w:val="32"/>
          <w:lang w:val="en-US" w:eastAsia="zh-CN"/>
        </w:rPr>
        <w:t>综合实力显著增加，</w:t>
      </w:r>
      <w:r>
        <w:rPr>
          <w:rFonts w:hint="eastAsia" w:ascii="仿宋_GB2312" w:hAnsi="仿宋_GB2312" w:eastAsia="仿宋_GB2312" w:cs="仿宋_GB2312"/>
          <w:b w:val="0"/>
          <w:bCs w:val="0"/>
          <w:sz w:val="32"/>
          <w:szCs w:val="32"/>
          <w:lang w:val="en-US" w:eastAsia="zh-CN"/>
        </w:rPr>
        <w:t>到2030年，服务业增加值达到3200亿元，年均增速达到7.8%。</w:t>
      </w:r>
      <w:r>
        <w:rPr>
          <w:rFonts w:hint="eastAsia" w:ascii="仿宋_GB2312" w:hAnsi="仿宋_GB2312" w:eastAsia="仿宋_GB2312" w:cs="仿宋_GB2312"/>
          <w:b/>
          <w:bCs/>
          <w:sz w:val="32"/>
          <w:szCs w:val="32"/>
          <w:lang w:val="en-US" w:eastAsia="zh-CN"/>
        </w:rPr>
        <w:t>产业结构持续优化，</w:t>
      </w:r>
      <w:r>
        <w:rPr>
          <w:rFonts w:hint="eastAsia" w:ascii="仿宋_GB2312" w:hAnsi="仿宋_GB2312" w:eastAsia="仿宋_GB2312" w:cs="仿宋_GB2312"/>
          <w:b w:val="0"/>
          <w:bCs w:val="0"/>
          <w:sz w:val="32"/>
          <w:szCs w:val="32"/>
          <w:lang w:val="en-US" w:eastAsia="zh-CN"/>
        </w:rPr>
        <w:t>到2030年，生产性服务业增加值占服务业增加值比重达到70%，现代服务业增加值占服务业增加值比重达到72%。</w:t>
      </w:r>
      <w:r>
        <w:rPr>
          <w:rFonts w:hint="eastAsia" w:ascii="仿宋_GB2312" w:hAnsi="仿宋_GB2312" w:eastAsia="仿宋_GB2312" w:cs="仿宋_GB2312"/>
          <w:b/>
          <w:bCs/>
          <w:sz w:val="32"/>
          <w:szCs w:val="32"/>
          <w:lang w:val="en-US" w:eastAsia="zh-CN"/>
        </w:rPr>
        <w:t>创新动能强劲释放，</w:t>
      </w:r>
      <w:r>
        <w:rPr>
          <w:rFonts w:hint="eastAsia" w:ascii="仿宋_GB2312" w:hAnsi="仿宋_GB2312" w:eastAsia="仿宋_GB2312" w:cs="仿宋_GB2312"/>
          <w:b w:val="0"/>
          <w:bCs w:val="0"/>
          <w:sz w:val="32"/>
          <w:szCs w:val="32"/>
          <w:lang w:val="en-US" w:eastAsia="zh-CN"/>
        </w:rPr>
        <w:t>数字技术深度融入服务全链条，服务新产业、新业态、新模式加速涌现；先进制造业与现代服务业深度协同，服务型制造、智能制造运营服务等新模式全面发展，打造“制造+服务”融合示范区。</w:t>
      </w:r>
      <w:r>
        <w:rPr>
          <w:rFonts w:hint="eastAsia" w:ascii="仿宋_GB2312" w:hAnsi="仿宋_GB2312" w:eastAsia="仿宋_GB2312" w:cs="仿宋_GB2312"/>
          <w:b/>
          <w:bCs/>
          <w:sz w:val="32"/>
          <w:szCs w:val="32"/>
          <w:lang w:val="en-US" w:eastAsia="zh-CN"/>
        </w:rPr>
        <w:t>开放能级全面提升，</w:t>
      </w:r>
      <w:r>
        <w:rPr>
          <w:rFonts w:hint="eastAsia" w:ascii="仿宋_GB2312" w:hAnsi="仿宋_GB2312" w:eastAsia="仿宋_GB2312" w:cs="仿宋_GB2312"/>
          <w:b w:val="0"/>
          <w:bCs w:val="0"/>
          <w:sz w:val="32"/>
          <w:szCs w:val="32"/>
          <w:lang w:val="en-US" w:eastAsia="zh-CN"/>
        </w:rPr>
        <w:t>服务贸易、跨境电商、国际商务服务实现突破，国际消费、国际会展、国际交流功能显著增强，到2030年，货物贸易进出口总额年均增速达到8%。</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4.定量指标体系。</w:t>
      </w:r>
      <w:r>
        <w:rPr>
          <w:rFonts w:hint="eastAsia" w:ascii="仿宋_GB2312" w:hAnsi="仿宋_GB2312" w:eastAsia="仿宋_GB2312" w:cs="仿宋_GB2312"/>
          <w:b w:val="0"/>
          <w:bCs w:val="0"/>
          <w:sz w:val="32"/>
          <w:szCs w:val="32"/>
          <w:lang w:val="zh-CN" w:eastAsia="zh-CN"/>
        </w:rPr>
        <w:t>涵盖</w:t>
      </w:r>
      <w:r>
        <w:rPr>
          <w:rFonts w:hint="eastAsia" w:ascii="仿宋_GB2312" w:hAnsi="仿宋_GB2312" w:eastAsia="仿宋_GB2312" w:cs="仿宋_GB2312"/>
          <w:b w:val="0"/>
          <w:bCs w:val="0"/>
          <w:sz w:val="32"/>
          <w:szCs w:val="32"/>
          <w:lang w:val="en-US" w:eastAsia="zh-CN"/>
        </w:rPr>
        <w:t>规模、结构、开放、重点行业</w:t>
      </w:r>
      <w:r>
        <w:rPr>
          <w:rFonts w:hint="eastAsia" w:ascii="仿宋_GB2312" w:hAnsi="仿宋_GB2312" w:eastAsia="仿宋_GB2312" w:cs="仿宋_GB2312"/>
          <w:b w:val="0"/>
          <w:bCs w:val="0"/>
          <w:sz w:val="32"/>
          <w:szCs w:val="32"/>
          <w:lang w:val="zh-CN" w:eastAsia="zh-CN"/>
        </w:rPr>
        <w:t>四大维度，</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zh-CN" w:eastAsia="zh-CN"/>
        </w:rPr>
        <w:t>项具体指标。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（三）推动生产性服务业向高端化、专业化、数字化延伸</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1.加快培育软件和信息技术服务业新动能。</w:t>
      </w:r>
      <w:r>
        <w:rPr>
          <w:rFonts w:hint="eastAsia" w:ascii="仿宋_GB2312" w:hAnsi="仿宋_GB2312" w:eastAsia="仿宋_GB2312" w:cs="仿宋_GB2312"/>
          <w:b w:val="0"/>
          <w:bCs w:val="0"/>
          <w:sz w:val="32"/>
          <w:szCs w:val="32"/>
          <w:lang w:val="en-US" w:eastAsia="zh-CN"/>
        </w:rPr>
        <w:t>在攻坚核心基础软件、深化工业软件和工业互联网应用、发展医疗技术软件、打造信创产业生态等重点领域，提出“十五五”规划发展重点。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2.提升创意设计服务业核心竞争力。</w:t>
      </w:r>
      <w:r>
        <w:rPr>
          <w:rFonts w:hint="eastAsia" w:ascii="仿宋_GB2312" w:hAnsi="仿宋_GB2312" w:eastAsia="仿宋_GB2312" w:cs="仿宋_GB2312"/>
          <w:b w:val="0"/>
          <w:bCs w:val="0"/>
          <w:sz w:val="32"/>
          <w:szCs w:val="32"/>
          <w:lang w:val="en-US" w:eastAsia="zh-CN"/>
        </w:rPr>
        <w:t>强化研究和试验发展能力，促进工程技术与设计服务高端化，健全科技推广和应用服务体系。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3.增强产业金融服务实体经济能力。</w:t>
      </w:r>
      <w:r>
        <w:rPr>
          <w:rFonts w:hint="eastAsia" w:ascii="仿宋_GB2312" w:hAnsi="仿宋_GB2312" w:eastAsia="仿宋_GB2312" w:cs="仿宋_GB2312"/>
          <w:b w:val="0"/>
          <w:bCs w:val="0"/>
          <w:sz w:val="32"/>
          <w:szCs w:val="32"/>
          <w:lang w:val="en-US" w:eastAsia="zh-CN"/>
        </w:rPr>
        <w:t>优化货币银行业服务体系，发展证券基金业，提升保险业的保障和创新功能。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4.打造低空经济与智慧物流新优势。</w:t>
      </w:r>
      <w:r>
        <w:rPr>
          <w:rFonts w:hint="eastAsia" w:ascii="仿宋_GB2312" w:hAnsi="仿宋_GB2312" w:eastAsia="仿宋_GB2312" w:cs="仿宋_GB2312"/>
          <w:b w:val="0"/>
          <w:bCs w:val="0"/>
          <w:sz w:val="32"/>
          <w:szCs w:val="32"/>
          <w:lang w:val="zh-CN" w:eastAsia="zh-CN"/>
        </w:rPr>
        <w:t>加快发展低空经济基础设施与生态，推动智慧物流低空化转型，构建低空经济应用生态。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5.促进专业服务业高端集聚发展。</w:t>
      </w:r>
      <w:r>
        <w:rPr>
          <w:rFonts w:hint="eastAsia" w:ascii="仿宋_GB2312" w:hAnsi="仿宋_GB2312" w:eastAsia="仿宋_GB2312" w:cs="仿宋_GB2312"/>
          <w:b w:val="0"/>
          <w:bCs w:val="0"/>
          <w:sz w:val="32"/>
          <w:szCs w:val="32"/>
          <w:lang w:val="zh-CN" w:eastAsia="zh-CN"/>
        </w:rPr>
        <w:t>推进法律服务业专业化、国际化，提升会计审计服务业发展水平，培育人力资源服务业新增长点，积极培育会展服务业。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（四）加快生活性服务业向品质化、多样化、场景化升级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1.提升现代商贸服务业发展能级。</w:t>
      </w:r>
      <w:r>
        <w:rPr>
          <w:rFonts w:hint="eastAsia" w:ascii="仿宋_GB2312" w:hAnsi="仿宋_GB2312" w:eastAsia="仿宋_GB2312" w:cs="仿宋_GB2312"/>
          <w:b w:val="0"/>
          <w:bCs w:val="0"/>
          <w:sz w:val="32"/>
          <w:szCs w:val="32"/>
          <w:lang w:val="en-US" w:eastAsia="zh-CN"/>
        </w:rPr>
        <w:t>提升商圈国际竞争力，推动商贸业跨越升级与新业态发展，加快发展跨境电子商务。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2.推进数字文旅服务业融合发展。</w:t>
      </w:r>
      <w:r>
        <w:rPr>
          <w:rFonts w:hint="eastAsia" w:ascii="仿宋_GB2312" w:hAnsi="仿宋_GB2312" w:eastAsia="仿宋_GB2312" w:cs="仿宋_GB2312"/>
          <w:b w:val="0"/>
          <w:bCs w:val="0"/>
          <w:sz w:val="32"/>
          <w:szCs w:val="32"/>
          <w:lang w:val="en-US" w:eastAsia="zh-CN"/>
        </w:rPr>
        <w:t>打造数字文化产业新高地，培育体育消费新业态，积极发展旅游休闲服务，促进住宿业融合发展。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3.构建品质化居民生活服务体系。</w:t>
      </w:r>
      <w:r>
        <w:rPr>
          <w:rFonts w:hint="eastAsia" w:ascii="仿宋_GB2312" w:hAnsi="仿宋_GB2312" w:eastAsia="仿宋_GB2312" w:cs="仿宋_GB2312"/>
          <w:b w:val="0"/>
          <w:bCs w:val="0"/>
          <w:sz w:val="32"/>
          <w:szCs w:val="32"/>
          <w:lang w:val="en-US" w:eastAsia="zh-CN"/>
        </w:rPr>
        <w:t>打造多元化的健康服务体系，提升居住服务业能级，丰富“一老一小”服务供给，推动宠物服务业发展，打造社区美好生活圈。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五）优化“双心引领、三廊联动、多节点支撑”空间布局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1.构建“双心引领”空间格局，打造服务业核心引擎。</w:t>
      </w:r>
      <w:r>
        <w:rPr>
          <w:rFonts w:hint="eastAsia" w:ascii="仿宋_GB2312" w:hAnsi="仿宋_GB2312" w:eastAsia="仿宋_GB2312" w:cs="仿宋_GB2312"/>
          <w:b w:val="0"/>
          <w:bCs w:val="0"/>
          <w:sz w:val="32"/>
          <w:szCs w:val="32"/>
          <w:lang w:val="en-US" w:eastAsia="zh-CN"/>
        </w:rPr>
        <w:t>以南北“双中心”建设牵引推动重点片区高水平发展，构建特色鲜明、错位发展、一体协同的区域均衡发展格局，建设创新、宜居、美丽、韧性、文明、智慧的现代化人民城市标杆城区。。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2.推进“三廊联动”发展格局，构筑产业融合走廊。</w:t>
      </w:r>
      <w:r>
        <w:rPr>
          <w:rFonts w:hint="eastAsia" w:ascii="仿宋_GB2312" w:hAnsi="仿宋_GB2312" w:eastAsia="仿宋_GB2312" w:cs="仿宋_GB2312"/>
          <w:b w:val="0"/>
          <w:bCs w:val="0"/>
          <w:sz w:val="32"/>
          <w:szCs w:val="32"/>
          <w:lang w:val="en-US" w:eastAsia="zh-CN"/>
        </w:rPr>
        <w:t>“三廊”包括梅观高速生产性服务业走廊、福龙-龙大高速生产性服务业走廊和大浪-龙华生活性服务业走廊，重点加强南北联动，促进“两业”融合，形成功能互补的产业带。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3.打造“多节点支撑”发展体系，培育专业化服务集群。</w:t>
      </w:r>
      <w:r>
        <w:rPr>
          <w:rFonts w:hint="eastAsia" w:ascii="仿宋_GB2312" w:hAnsi="仿宋_GB2312" w:eastAsia="仿宋_GB2312" w:cs="仿宋_GB2312"/>
          <w:b w:val="0"/>
          <w:bCs w:val="0"/>
          <w:sz w:val="32"/>
          <w:szCs w:val="32"/>
          <w:lang w:val="en-US" w:eastAsia="zh-CN"/>
        </w:rPr>
        <w:t>围绕重点产业发展方向和城市功能布局，系统打造北站数字经济总部基地、大浪现代时尚总部基地、中部国际工程设计总部基地、深圳北软件产业总部基地、龙华超级商圈、梅林关数字经济总部与专业服务楼宇集聚区、全域低空物流网络试点、鹭湖科技文化服务集聚区、观澜数字文化小镇、樟坑径区域民航试验区、嵌入式分布社区生活圈等一批特色服务业集聚节点，推动产业“点上集聚、线上联动、面上协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（六）实施产业提质增效“八大工程”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1.数智赋能转型升级工程。</w:t>
      </w:r>
      <w:r>
        <w:rPr>
          <w:rFonts w:hint="eastAsia" w:ascii="仿宋_GB2312" w:hAnsi="仿宋_GB2312" w:eastAsia="仿宋_GB2312" w:cs="仿宋_GB2312"/>
          <w:b w:val="0"/>
          <w:bCs w:val="0"/>
          <w:sz w:val="32"/>
          <w:szCs w:val="32"/>
          <w:lang w:val="en-US" w:eastAsia="zh-CN"/>
        </w:rPr>
        <w:t>深化人工智能全场景赋能应用，夯实数智底座与平台生态支撑，推动生产性服务业数字化转型，激活生活性服务业线上化创新。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2.生产服务科技促融工程。</w:t>
      </w:r>
      <w:r>
        <w:rPr>
          <w:rFonts w:hint="eastAsia" w:ascii="仿宋_GB2312" w:hAnsi="仿宋_GB2312" w:eastAsia="仿宋_GB2312" w:cs="仿宋_GB2312"/>
          <w:b w:val="0"/>
          <w:bCs w:val="0"/>
          <w:sz w:val="32"/>
          <w:szCs w:val="32"/>
          <w:lang w:val="en-US" w:eastAsia="zh-CN"/>
        </w:rPr>
        <w:t>构建中央创新区（CID）科技服务体系，促进科技服务业全链条融合，提升专业服务业对实体经济赋能，推动服务业内生融合创新，打造“两业融合”示范。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3.消费扩容提质焕新工程。</w:t>
      </w:r>
      <w:r>
        <w:rPr>
          <w:rFonts w:hint="eastAsia" w:ascii="仿宋_GB2312" w:hAnsi="仿宋_GB2312" w:eastAsia="仿宋_GB2312" w:cs="仿宋_GB2312"/>
          <w:b w:val="0"/>
          <w:bCs w:val="0"/>
          <w:sz w:val="32"/>
          <w:szCs w:val="32"/>
          <w:lang w:val="en-US" w:eastAsia="zh-CN"/>
        </w:rPr>
        <w:t>实施“首”经济核心引领行动，深化“制造+消费”联动，提升银发经济供给，激发Z世代消费动能，推动文体旅焕发动能。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4.绿色低碳引领未来工程。</w:t>
      </w:r>
      <w:r>
        <w:rPr>
          <w:rFonts w:hint="eastAsia" w:ascii="仿宋_GB2312" w:hAnsi="仿宋_GB2312" w:eastAsia="仿宋_GB2312" w:cs="仿宋_GB2312"/>
          <w:b w:val="0"/>
          <w:bCs w:val="0"/>
          <w:sz w:val="32"/>
          <w:szCs w:val="32"/>
          <w:lang w:val="zh-CN" w:eastAsia="zh-CN"/>
        </w:rPr>
        <w:t>培育新型能源服务业态，升级数字能源与电力交易服务，建设绿色服务业示范区，探索绿色服务业标准与品牌。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5.产业金融能力提升工程。</w:t>
      </w:r>
      <w:r>
        <w:rPr>
          <w:rFonts w:hint="eastAsia" w:ascii="仿宋_GB2312" w:hAnsi="仿宋_GB2312" w:eastAsia="仿宋_GB2312" w:cs="仿宋_GB2312"/>
          <w:b w:val="0"/>
          <w:bCs w:val="0"/>
          <w:sz w:val="32"/>
          <w:szCs w:val="32"/>
          <w:lang w:val="zh-CN" w:eastAsia="zh-CN"/>
        </w:rPr>
        <w:t>大力发展特色科技金融，全生命周期赋能创新；健全绿色金融服务体系，精准滴灌绿色转型；完善普惠金融发展长效机制，长效服务中小微主体；提升养老金融服务水平，多元产品助力银发经济；加快数字金融发展步伐，技术驱动效能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6.市场主体梯度培育工程。</w:t>
      </w:r>
      <w:r>
        <w:rPr>
          <w:rFonts w:hint="eastAsia" w:ascii="仿宋_GB2312" w:hAnsi="仿宋_GB2312" w:eastAsia="仿宋_GB2312" w:cs="仿宋_GB2312"/>
          <w:b w:val="0"/>
          <w:bCs w:val="0"/>
          <w:sz w:val="32"/>
          <w:szCs w:val="32"/>
          <w:lang w:val="en-US" w:eastAsia="zh-CN"/>
        </w:rPr>
        <w:t>引育高能级总部企业，做强龙头骨干企业，培育腰部成长企业，加强重大项目引培。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7.人才引育集聚提质工程。</w:t>
      </w:r>
      <w:r>
        <w:rPr>
          <w:rFonts w:hint="eastAsia" w:ascii="仿宋_GB2312" w:hAnsi="仿宋_GB2312" w:eastAsia="仿宋_GB2312" w:cs="仿宋_GB2312"/>
          <w:b w:val="0"/>
          <w:bCs w:val="0"/>
          <w:sz w:val="32"/>
          <w:szCs w:val="32"/>
          <w:lang w:val="en-US" w:eastAsia="zh-CN"/>
        </w:rPr>
        <w:t>加强国际化高端人才集聚，培育高端专业服务人才队伍，强化技能型人才培养，深化行业人才协同生态建设。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8.改革开放促进发展工程。</w:t>
      </w:r>
      <w:r>
        <w:rPr>
          <w:rFonts w:hint="eastAsia" w:ascii="仿宋_GB2312" w:hAnsi="仿宋_GB2312" w:eastAsia="仿宋_GB2312" w:cs="仿宋_GB2312"/>
          <w:b w:val="0"/>
          <w:bCs w:val="0"/>
          <w:sz w:val="32"/>
          <w:szCs w:val="32"/>
          <w:lang w:val="en-US" w:eastAsia="zh-CN"/>
        </w:rPr>
        <w:t>稳步推进服务业开放，积极促进入境消费，深化服务业领域对外投资合作。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lang w:eastAsia="zh-CN"/>
        </w:rPr>
        <w:t>）强化规划实施保障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1.强化组织机制保障。</w:t>
      </w:r>
      <w:r>
        <w:rPr>
          <w:rFonts w:hint="eastAsia" w:ascii="仿宋_GB2312" w:hAnsi="仿宋_GB2312" w:eastAsia="仿宋_GB2312" w:cs="仿宋_GB2312"/>
          <w:b w:val="0"/>
          <w:bCs w:val="0"/>
          <w:sz w:val="32"/>
          <w:szCs w:val="32"/>
          <w:lang w:val="zh-CN" w:eastAsia="zh-CN"/>
        </w:rPr>
        <w:t>充分发挥区服务业高质量发展工作领导小组统筹决策和跨部门协调作用，发挥各主管部门“一行业、一专班”推进实施作用，推动各细分领域工作落实。强化服务业发展责任落实和目标考核，确保重点领域落到实处。发挥行业组织作用，打造政企合作平台、资源共享平台、对外交流平台和行业自律平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2.加强政策支持保障。</w:t>
      </w:r>
      <w:r>
        <w:rPr>
          <w:rFonts w:hint="eastAsia" w:ascii="仿宋_GB2312" w:hAnsi="仿宋_GB2312" w:eastAsia="仿宋_GB2312" w:cs="仿宋_GB2312"/>
          <w:b w:val="0"/>
          <w:bCs w:val="0"/>
          <w:sz w:val="32"/>
          <w:szCs w:val="32"/>
          <w:lang w:val="zh-CN" w:eastAsia="zh-CN"/>
        </w:rPr>
        <w:t>健全完善服务业扶持政策体系，加大财政资金、产业专项资金对服务业发展的支持力度，形成“普惠+定向”结合的政策支持格局。探索建立服务业发展专项资金绩效评估机制，提升政策执行效能。积极推动税收优惠、人才落户、数据开放等支持措施落实落细，真正让政策红利惠及企业主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3.加大资源要素保障。</w:t>
      </w:r>
      <w:r>
        <w:rPr>
          <w:rFonts w:hint="eastAsia" w:ascii="仿宋_GB2312" w:hAnsi="仿宋_GB2312" w:eastAsia="仿宋_GB2312" w:cs="仿宋_GB2312"/>
          <w:b w:val="0"/>
          <w:bCs w:val="0"/>
          <w:sz w:val="32"/>
          <w:szCs w:val="32"/>
          <w:lang w:val="zh-CN" w:eastAsia="zh-CN"/>
        </w:rPr>
        <w:t>提高服务业用地效率，强化服务业集约高效用地，支持创新型服务业企业发展。探索政府产业基金和市场化投资相结合的扶持方式，撬动社会资本投资服务业重点领域。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4.加强行业监测评估。</w:t>
      </w:r>
      <w:r>
        <w:rPr>
          <w:rFonts w:hint="eastAsia" w:ascii="仿宋_GB2312" w:hAnsi="仿宋_GB2312" w:eastAsia="仿宋_GB2312" w:cs="仿宋_GB2312"/>
          <w:b w:val="0"/>
          <w:bCs w:val="0"/>
          <w:sz w:val="32"/>
          <w:szCs w:val="32"/>
          <w:lang w:val="en-US" w:eastAsia="zh-CN"/>
        </w:rPr>
        <w:t>健全服务业高质量发展监测指标体系，建立覆盖行业、企业、项目的动态监测网络。实施“十五五”服务业发展中期评估和滚动修正机制，对规划目标实现路径、政策工具适配度和市场环境变化进行系统评估，确保政策措施能与发展实际相匹配。</w:t>
      </w: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西文正文">
    <w:altName w:val="URW Book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URW Bookman">
    <w:panose1 w:val="000004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MjkzODdiNDA5MzUxOGI0YTQyMzhkNzRkZmVlNzQifQ=="/>
  </w:docVars>
  <w:rsids>
    <w:rsidRoot w:val="00000000"/>
    <w:rsid w:val="00382B61"/>
    <w:rsid w:val="00C219FF"/>
    <w:rsid w:val="022D082A"/>
    <w:rsid w:val="02994553"/>
    <w:rsid w:val="02C67B88"/>
    <w:rsid w:val="02F61503"/>
    <w:rsid w:val="030D7124"/>
    <w:rsid w:val="034A70C0"/>
    <w:rsid w:val="03655A09"/>
    <w:rsid w:val="03E05B14"/>
    <w:rsid w:val="04AE5F08"/>
    <w:rsid w:val="04C354C7"/>
    <w:rsid w:val="05133711"/>
    <w:rsid w:val="05B53543"/>
    <w:rsid w:val="06186359"/>
    <w:rsid w:val="062E2CC9"/>
    <w:rsid w:val="06AB431A"/>
    <w:rsid w:val="06C841CD"/>
    <w:rsid w:val="06F47827"/>
    <w:rsid w:val="071076C3"/>
    <w:rsid w:val="073C5EBF"/>
    <w:rsid w:val="07AA5409"/>
    <w:rsid w:val="07E61381"/>
    <w:rsid w:val="080A1514"/>
    <w:rsid w:val="08907C6B"/>
    <w:rsid w:val="08AD110A"/>
    <w:rsid w:val="08CC3222"/>
    <w:rsid w:val="0922553F"/>
    <w:rsid w:val="094D16B8"/>
    <w:rsid w:val="09701F8A"/>
    <w:rsid w:val="099A01B0"/>
    <w:rsid w:val="09AD381B"/>
    <w:rsid w:val="09B93D39"/>
    <w:rsid w:val="0A0019BD"/>
    <w:rsid w:val="0A38246B"/>
    <w:rsid w:val="0A4C6A62"/>
    <w:rsid w:val="0A6A78AA"/>
    <w:rsid w:val="0A9D14CD"/>
    <w:rsid w:val="0B7F7B23"/>
    <w:rsid w:val="0BBD09A3"/>
    <w:rsid w:val="0C0F534B"/>
    <w:rsid w:val="0C845AE7"/>
    <w:rsid w:val="0D5919B1"/>
    <w:rsid w:val="0D7B0B2B"/>
    <w:rsid w:val="0D8E6743"/>
    <w:rsid w:val="0E5B4877"/>
    <w:rsid w:val="0EF6634E"/>
    <w:rsid w:val="0F696B20"/>
    <w:rsid w:val="0FA64EF2"/>
    <w:rsid w:val="1040267F"/>
    <w:rsid w:val="113B77E2"/>
    <w:rsid w:val="124B4C03"/>
    <w:rsid w:val="126634D2"/>
    <w:rsid w:val="12E32EA9"/>
    <w:rsid w:val="12F802A5"/>
    <w:rsid w:val="13A40F9B"/>
    <w:rsid w:val="13A879AD"/>
    <w:rsid w:val="14450228"/>
    <w:rsid w:val="14667A34"/>
    <w:rsid w:val="146F1265"/>
    <w:rsid w:val="15545B7C"/>
    <w:rsid w:val="15AA4F35"/>
    <w:rsid w:val="1703146C"/>
    <w:rsid w:val="177B5642"/>
    <w:rsid w:val="19003C45"/>
    <w:rsid w:val="197E4B8A"/>
    <w:rsid w:val="19C01A32"/>
    <w:rsid w:val="19CD1CDB"/>
    <w:rsid w:val="19E35840"/>
    <w:rsid w:val="1A9F74F0"/>
    <w:rsid w:val="1AAD645B"/>
    <w:rsid w:val="1B8B42C2"/>
    <w:rsid w:val="1BA11DBE"/>
    <w:rsid w:val="1BDA7497"/>
    <w:rsid w:val="1C0A51E7"/>
    <w:rsid w:val="1C11425A"/>
    <w:rsid w:val="1C281B11"/>
    <w:rsid w:val="1C7350E5"/>
    <w:rsid w:val="1D012F61"/>
    <w:rsid w:val="1D34536A"/>
    <w:rsid w:val="1D3838DC"/>
    <w:rsid w:val="1D6D7456"/>
    <w:rsid w:val="1E62130A"/>
    <w:rsid w:val="1E6718EE"/>
    <w:rsid w:val="1FBA6126"/>
    <w:rsid w:val="1FD53D5E"/>
    <w:rsid w:val="20446485"/>
    <w:rsid w:val="207A639B"/>
    <w:rsid w:val="20877E7C"/>
    <w:rsid w:val="20B0298F"/>
    <w:rsid w:val="20C95670"/>
    <w:rsid w:val="212E4173"/>
    <w:rsid w:val="214E5B76"/>
    <w:rsid w:val="216C7510"/>
    <w:rsid w:val="21EE1107"/>
    <w:rsid w:val="226B2757"/>
    <w:rsid w:val="23515AE3"/>
    <w:rsid w:val="23AD2299"/>
    <w:rsid w:val="23EF1939"/>
    <w:rsid w:val="24613118"/>
    <w:rsid w:val="247E4BF7"/>
    <w:rsid w:val="24861ACA"/>
    <w:rsid w:val="248B29EF"/>
    <w:rsid w:val="249D54D3"/>
    <w:rsid w:val="24F5112A"/>
    <w:rsid w:val="24FD761E"/>
    <w:rsid w:val="25382DC5"/>
    <w:rsid w:val="253B4469"/>
    <w:rsid w:val="254C0EA8"/>
    <w:rsid w:val="257302A1"/>
    <w:rsid w:val="25FF3A33"/>
    <w:rsid w:val="26647BE9"/>
    <w:rsid w:val="268F6768"/>
    <w:rsid w:val="26BA780A"/>
    <w:rsid w:val="2706068B"/>
    <w:rsid w:val="2710526A"/>
    <w:rsid w:val="2728280B"/>
    <w:rsid w:val="28201FBF"/>
    <w:rsid w:val="283571FE"/>
    <w:rsid w:val="284149E0"/>
    <w:rsid w:val="28C81EE7"/>
    <w:rsid w:val="28E15521"/>
    <w:rsid w:val="29977D79"/>
    <w:rsid w:val="2A9A596C"/>
    <w:rsid w:val="2AC84BEB"/>
    <w:rsid w:val="2ADD1656"/>
    <w:rsid w:val="2AF23A16"/>
    <w:rsid w:val="2B255B99"/>
    <w:rsid w:val="2B4C1452"/>
    <w:rsid w:val="2B9D45A2"/>
    <w:rsid w:val="2BCE7FDF"/>
    <w:rsid w:val="2BFD7003"/>
    <w:rsid w:val="2C322798"/>
    <w:rsid w:val="2C772424"/>
    <w:rsid w:val="2D275736"/>
    <w:rsid w:val="2D485B6F"/>
    <w:rsid w:val="2DAA05D8"/>
    <w:rsid w:val="2DD353AA"/>
    <w:rsid w:val="2DE4733A"/>
    <w:rsid w:val="2E561331"/>
    <w:rsid w:val="2EE443FD"/>
    <w:rsid w:val="2F023CF8"/>
    <w:rsid w:val="307C2430"/>
    <w:rsid w:val="30A32933"/>
    <w:rsid w:val="30D429BB"/>
    <w:rsid w:val="310D15A9"/>
    <w:rsid w:val="314D760D"/>
    <w:rsid w:val="31A57A34"/>
    <w:rsid w:val="3215767E"/>
    <w:rsid w:val="324C0F07"/>
    <w:rsid w:val="332331E6"/>
    <w:rsid w:val="336576E7"/>
    <w:rsid w:val="33955886"/>
    <w:rsid w:val="34727A82"/>
    <w:rsid w:val="34830E7A"/>
    <w:rsid w:val="350E769E"/>
    <w:rsid w:val="354A3A6D"/>
    <w:rsid w:val="355F2880"/>
    <w:rsid w:val="359C2EFC"/>
    <w:rsid w:val="36471377"/>
    <w:rsid w:val="3724764D"/>
    <w:rsid w:val="37413267"/>
    <w:rsid w:val="376A17D3"/>
    <w:rsid w:val="37C24586"/>
    <w:rsid w:val="37DD3E19"/>
    <w:rsid w:val="38025FA8"/>
    <w:rsid w:val="385D58E0"/>
    <w:rsid w:val="38653A79"/>
    <w:rsid w:val="3872263A"/>
    <w:rsid w:val="39050906"/>
    <w:rsid w:val="391E32EE"/>
    <w:rsid w:val="39DA3296"/>
    <w:rsid w:val="3A1C460B"/>
    <w:rsid w:val="3A2D771C"/>
    <w:rsid w:val="3A983AD9"/>
    <w:rsid w:val="3B4D0683"/>
    <w:rsid w:val="3BAA50CC"/>
    <w:rsid w:val="3BD006A7"/>
    <w:rsid w:val="3BE42C82"/>
    <w:rsid w:val="3BE856B9"/>
    <w:rsid w:val="3C740F54"/>
    <w:rsid w:val="3D1C7B5A"/>
    <w:rsid w:val="3EF176C9"/>
    <w:rsid w:val="3F651706"/>
    <w:rsid w:val="3F8549AC"/>
    <w:rsid w:val="3FDC6027"/>
    <w:rsid w:val="3FF776F5"/>
    <w:rsid w:val="401A553D"/>
    <w:rsid w:val="402D7572"/>
    <w:rsid w:val="404B5C4A"/>
    <w:rsid w:val="407B46BF"/>
    <w:rsid w:val="40B33E09"/>
    <w:rsid w:val="40DC6E16"/>
    <w:rsid w:val="410127AD"/>
    <w:rsid w:val="411A45A9"/>
    <w:rsid w:val="417D62D7"/>
    <w:rsid w:val="422E137F"/>
    <w:rsid w:val="43001BC9"/>
    <w:rsid w:val="430219E7"/>
    <w:rsid w:val="440C3942"/>
    <w:rsid w:val="441F5BCB"/>
    <w:rsid w:val="44DD0E3B"/>
    <w:rsid w:val="45222432"/>
    <w:rsid w:val="459329FC"/>
    <w:rsid w:val="4614088C"/>
    <w:rsid w:val="46221564"/>
    <w:rsid w:val="467558CA"/>
    <w:rsid w:val="467A3CE9"/>
    <w:rsid w:val="46820AED"/>
    <w:rsid w:val="46A373D9"/>
    <w:rsid w:val="46DC3AA0"/>
    <w:rsid w:val="47FD3CCE"/>
    <w:rsid w:val="481C7167"/>
    <w:rsid w:val="485F60A2"/>
    <w:rsid w:val="48D662CD"/>
    <w:rsid w:val="496B4C67"/>
    <w:rsid w:val="497B39E0"/>
    <w:rsid w:val="49847228"/>
    <w:rsid w:val="4985405E"/>
    <w:rsid w:val="498969C7"/>
    <w:rsid w:val="4A1B085A"/>
    <w:rsid w:val="4A4E6A63"/>
    <w:rsid w:val="4A7933B4"/>
    <w:rsid w:val="4B510331"/>
    <w:rsid w:val="4B6D2F19"/>
    <w:rsid w:val="4BF21670"/>
    <w:rsid w:val="4C3C5617"/>
    <w:rsid w:val="4C5636C2"/>
    <w:rsid w:val="4D106251"/>
    <w:rsid w:val="4D79501E"/>
    <w:rsid w:val="4DCD6DF4"/>
    <w:rsid w:val="4DD94895"/>
    <w:rsid w:val="4E1D6841"/>
    <w:rsid w:val="4E7E43EE"/>
    <w:rsid w:val="4EC662A9"/>
    <w:rsid w:val="4EDD6607"/>
    <w:rsid w:val="4EDF237F"/>
    <w:rsid w:val="4F7127C6"/>
    <w:rsid w:val="4F766114"/>
    <w:rsid w:val="4F7F298C"/>
    <w:rsid w:val="4F836FD1"/>
    <w:rsid w:val="4FB37E05"/>
    <w:rsid w:val="50041972"/>
    <w:rsid w:val="50424A9A"/>
    <w:rsid w:val="50496AEF"/>
    <w:rsid w:val="50757EB0"/>
    <w:rsid w:val="51886E33"/>
    <w:rsid w:val="51C6120B"/>
    <w:rsid w:val="51E8469C"/>
    <w:rsid w:val="522701B4"/>
    <w:rsid w:val="5268533D"/>
    <w:rsid w:val="526F5107"/>
    <w:rsid w:val="52873A2D"/>
    <w:rsid w:val="52C95B8D"/>
    <w:rsid w:val="532E5683"/>
    <w:rsid w:val="532F31A9"/>
    <w:rsid w:val="539D76D3"/>
    <w:rsid w:val="53E96168"/>
    <w:rsid w:val="5458228C"/>
    <w:rsid w:val="5468773F"/>
    <w:rsid w:val="54AD73FE"/>
    <w:rsid w:val="555F5C7E"/>
    <w:rsid w:val="55FC0749"/>
    <w:rsid w:val="56051FA0"/>
    <w:rsid w:val="564A7B98"/>
    <w:rsid w:val="565076BF"/>
    <w:rsid w:val="5685231B"/>
    <w:rsid w:val="56927687"/>
    <w:rsid w:val="5711371D"/>
    <w:rsid w:val="57560D05"/>
    <w:rsid w:val="57AE6D93"/>
    <w:rsid w:val="580478B6"/>
    <w:rsid w:val="58344BA2"/>
    <w:rsid w:val="58D565A1"/>
    <w:rsid w:val="58E6255C"/>
    <w:rsid w:val="593150C0"/>
    <w:rsid w:val="59531FAE"/>
    <w:rsid w:val="599C373B"/>
    <w:rsid w:val="59EC76FE"/>
    <w:rsid w:val="5A1F5D26"/>
    <w:rsid w:val="5A70032F"/>
    <w:rsid w:val="5AA75D1B"/>
    <w:rsid w:val="5ABF3065"/>
    <w:rsid w:val="5ACC7530"/>
    <w:rsid w:val="5AD20FEA"/>
    <w:rsid w:val="5AD6113A"/>
    <w:rsid w:val="5AEB5C08"/>
    <w:rsid w:val="5B2B24A8"/>
    <w:rsid w:val="5B624408"/>
    <w:rsid w:val="5BF85ED1"/>
    <w:rsid w:val="5C602626"/>
    <w:rsid w:val="5CB0535B"/>
    <w:rsid w:val="5CDA7EAA"/>
    <w:rsid w:val="5CDF473F"/>
    <w:rsid w:val="5CE648D9"/>
    <w:rsid w:val="5D154F11"/>
    <w:rsid w:val="5D245401"/>
    <w:rsid w:val="5D965311"/>
    <w:rsid w:val="5DAC3618"/>
    <w:rsid w:val="5DB46129"/>
    <w:rsid w:val="5DD16EAF"/>
    <w:rsid w:val="5E160F34"/>
    <w:rsid w:val="5E2D4789"/>
    <w:rsid w:val="5E5166CA"/>
    <w:rsid w:val="5ED35DF6"/>
    <w:rsid w:val="5ED6097D"/>
    <w:rsid w:val="5F2A342A"/>
    <w:rsid w:val="5F741157"/>
    <w:rsid w:val="60911F03"/>
    <w:rsid w:val="60EB42F2"/>
    <w:rsid w:val="61133760"/>
    <w:rsid w:val="61330309"/>
    <w:rsid w:val="61364644"/>
    <w:rsid w:val="61822BA9"/>
    <w:rsid w:val="61A82AA5"/>
    <w:rsid w:val="622A34BA"/>
    <w:rsid w:val="62820456"/>
    <w:rsid w:val="634301C9"/>
    <w:rsid w:val="63526BEA"/>
    <w:rsid w:val="637F0FCD"/>
    <w:rsid w:val="639C2195"/>
    <w:rsid w:val="640F1536"/>
    <w:rsid w:val="64BB664B"/>
    <w:rsid w:val="65535AEB"/>
    <w:rsid w:val="65A6554D"/>
    <w:rsid w:val="660830E1"/>
    <w:rsid w:val="663B45DC"/>
    <w:rsid w:val="664B39FF"/>
    <w:rsid w:val="67050051"/>
    <w:rsid w:val="676A4358"/>
    <w:rsid w:val="67B33C81"/>
    <w:rsid w:val="68024591"/>
    <w:rsid w:val="68374216"/>
    <w:rsid w:val="68752887"/>
    <w:rsid w:val="68C741D6"/>
    <w:rsid w:val="68C857DA"/>
    <w:rsid w:val="69472D12"/>
    <w:rsid w:val="69D013EC"/>
    <w:rsid w:val="6A2F7112"/>
    <w:rsid w:val="6A582B8E"/>
    <w:rsid w:val="6AFC79BD"/>
    <w:rsid w:val="6B3E3B32"/>
    <w:rsid w:val="6B601CFA"/>
    <w:rsid w:val="6B8C0D41"/>
    <w:rsid w:val="6C32763B"/>
    <w:rsid w:val="6CCD403F"/>
    <w:rsid w:val="6D2A25C0"/>
    <w:rsid w:val="6D4228CF"/>
    <w:rsid w:val="6DBA5F62"/>
    <w:rsid w:val="6DE16440"/>
    <w:rsid w:val="6E5717ED"/>
    <w:rsid w:val="6E9A6491"/>
    <w:rsid w:val="6EBB6C64"/>
    <w:rsid w:val="6EDA0E31"/>
    <w:rsid w:val="6F0275B0"/>
    <w:rsid w:val="6F120007"/>
    <w:rsid w:val="6FB149D1"/>
    <w:rsid w:val="706A7177"/>
    <w:rsid w:val="710F0306"/>
    <w:rsid w:val="71681909"/>
    <w:rsid w:val="71722F2A"/>
    <w:rsid w:val="71F27DA7"/>
    <w:rsid w:val="720B2B79"/>
    <w:rsid w:val="721D26F3"/>
    <w:rsid w:val="72EE5E3E"/>
    <w:rsid w:val="73117B8F"/>
    <w:rsid w:val="7386251A"/>
    <w:rsid w:val="742342B4"/>
    <w:rsid w:val="7424419B"/>
    <w:rsid w:val="75047B9A"/>
    <w:rsid w:val="75153B55"/>
    <w:rsid w:val="75184E92"/>
    <w:rsid w:val="757D1CB5"/>
    <w:rsid w:val="762C1090"/>
    <w:rsid w:val="76933762"/>
    <w:rsid w:val="76D3731F"/>
    <w:rsid w:val="773C7374"/>
    <w:rsid w:val="779339E4"/>
    <w:rsid w:val="779355F4"/>
    <w:rsid w:val="779F3BAA"/>
    <w:rsid w:val="77F04845"/>
    <w:rsid w:val="783E7FCF"/>
    <w:rsid w:val="78857244"/>
    <w:rsid w:val="792A3948"/>
    <w:rsid w:val="79B67D3E"/>
    <w:rsid w:val="79F8A2B8"/>
    <w:rsid w:val="79FA156C"/>
    <w:rsid w:val="7A2B5BC9"/>
    <w:rsid w:val="7A4C239E"/>
    <w:rsid w:val="7A8C2B0C"/>
    <w:rsid w:val="7AAB45D4"/>
    <w:rsid w:val="7B59386F"/>
    <w:rsid w:val="7B705F89"/>
    <w:rsid w:val="7BF52BC3"/>
    <w:rsid w:val="7C7A6994"/>
    <w:rsid w:val="7C7D2DBE"/>
    <w:rsid w:val="7CF16C56"/>
    <w:rsid w:val="7DC0487A"/>
    <w:rsid w:val="7E543940"/>
    <w:rsid w:val="7EBA7332"/>
    <w:rsid w:val="7F9F508F"/>
    <w:rsid w:val="7FFD9950"/>
    <w:rsid w:val="FC7B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ind w:leftChars="300"/>
      <w:jc w:val="left"/>
      <w:outlineLvl w:val="2"/>
    </w:pPr>
    <w:rPr>
      <w:rFonts w:hint="eastAsia" w:ascii="宋体" w:hAnsi="宋体" w:eastAsia="黑体" w:cs="宋体"/>
      <w:kern w:val="0"/>
      <w:sz w:val="32"/>
      <w:szCs w:val="27"/>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unhideWhenUsed/>
    <w:qFormat/>
    <w:uiPriority w:val="0"/>
  </w:style>
  <w:style w:type="character" w:styleId="8">
    <w:name w:val="Emphasis"/>
    <w:basedOn w:val="7"/>
    <w:qFormat/>
    <w:uiPriority w:val="20"/>
    <w:rPr>
      <w:i/>
    </w:rPr>
  </w:style>
  <w:style w:type="character" w:customStyle="1" w:styleId="9">
    <w:name w:val="ca-4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5186</Words>
  <Characters>5260</Characters>
  <Lines>0</Lines>
  <Paragraphs>0</Paragraphs>
  <TotalTime>19</TotalTime>
  <ScaleCrop>false</ScaleCrop>
  <LinksUpToDate>false</LinksUpToDate>
  <CharactersWithSpaces>5261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2025-12-06T05:51:00Z</dcterms:created>
  <dc:creator>xu</dc:creator>
  <cp:lastModifiedBy>张一鸣</cp:lastModifiedBy>
  <cp:lastPrinted>2026-01-15T03:41:00Z</cp:lastPrinted>
  <dcterms:modified xsi:type="dcterms:W3CDTF">2026-01-15T10:42:21Z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565345DD40024B56BC46F9513EF5E263_13</vt:lpwstr>
  </property>
  <property fmtid="{D5CDD505-2E9C-101B-9397-08002B2CF9AE}" pid="4" name="KSOTemplateDocerSaveRecord">
    <vt:lpwstr>eyJoZGlkIjoiYmJlZWRiNDNmZTc3Mjk3NWQwNDM4YTk2ZTQzNDdmYTYiLCJ1c2VySWQiOiIyOTg5MDMyODgifQ==</vt:lpwstr>
  </property>
</Properties>
</file>