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黑体"/>
          <w:color w:val="0D0D0D" w:themeColor="text1" w:themeTint="F2"/>
          <w:sz w:val="32"/>
          <w:szCs w:val="32"/>
          <w:highlight w:val="none"/>
          <w:lang w:val="e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highlight w:val="none"/>
          <w:lang w:val="en"/>
          <w14:textFill>
            <w14:solidFill>
              <w14:schemeClr w14:val="tx1">
                <w14:lumMod w14:val="95000"/>
                <w14:lumOff w14:val="5000"/>
              </w14:schemeClr>
            </w14:solidFill>
          </w14:textFill>
        </w:rPr>
        <w:t>附件</w:t>
      </w:r>
    </w:p>
    <w:p>
      <w:pPr>
        <w:adjustRightInd w:val="0"/>
        <w:snapToGrid w:val="0"/>
        <w:spacing w:line="700" w:lineRule="exact"/>
        <w:ind w:firstLine="0" w:firstLineChars="0"/>
        <w:jc w:val="both"/>
        <w:rPr>
          <w:rFonts w:hint="eastAsia" w:ascii="宋体" w:hAnsi="宋体" w:eastAsia="宋体" w:cs="Arial"/>
          <w:b/>
          <w:bCs/>
          <w:color w:val="0D0D0D" w:themeColor="text1" w:themeTint="F2"/>
          <w:sz w:val="44"/>
          <w:szCs w:val="44"/>
          <w:u w:val="none"/>
          <w14:textFill>
            <w14:solidFill>
              <w14:schemeClr w14:val="tx1">
                <w14:lumMod w14:val="95000"/>
                <w14:lumOff w14:val="5000"/>
              </w14:schemeClr>
            </w14:solidFill>
          </w14:textFill>
        </w:rPr>
      </w:pPr>
    </w:p>
    <w:p>
      <w:pPr>
        <w:adjustRightInd w:val="0"/>
        <w:snapToGrid w:val="0"/>
        <w:spacing w:line="700" w:lineRule="exact"/>
        <w:jc w:val="center"/>
        <w:rPr>
          <w:rFonts w:hint="eastAsia" w:ascii="宋体" w:hAnsi="宋体" w:eastAsia="宋体" w:cs="Arial"/>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Arial"/>
          <w:b/>
          <w:bCs/>
          <w:color w:val="0D0D0D" w:themeColor="text1" w:themeTint="F2"/>
          <w:sz w:val="44"/>
          <w:szCs w:val="44"/>
          <w14:textFill>
            <w14:solidFill>
              <w14:schemeClr w14:val="tx1">
                <w14:lumMod w14:val="95000"/>
                <w14:lumOff w14:val="5000"/>
              </w14:schemeClr>
            </w14:solidFill>
          </w14:textFill>
        </w:rPr>
        <w:t>龙华区安全节能环保产业摸底调查</w:t>
      </w:r>
    </w:p>
    <w:p>
      <w:pPr>
        <w:adjustRightInd w:val="0"/>
        <w:snapToGrid w:val="0"/>
        <w:spacing w:line="700" w:lineRule="exact"/>
        <w:jc w:val="center"/>
        <w:rPr>
          <w:rFonts w:ascii="宋体" w:hAnsi="宋体" w:eastAsia="宋体" w:cs="Arial"/>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Arial"/>
          <w:b/>
          <w:bCs/>
          <w:color w:val="0D0D0D" w:themeColor="text1" w:themeTint="F2"/>
          <w:sz w:val="44"/>
          <w:szCs w:val="44"/>
          <w14:textFill>
            <w14:solidFill>
              <w14:schemeClr w14:val="tx1">
                <w14:lumMod w14:val="95000"/>
                <w14:lumOff w14:val="5000"/>
              </w14:schemeClr>
            </w14:solidFill>
          </w14:textFill>
        </w:rPr>
        <w:t>服务项目</w:t>
      </w:r>
    </w:p>
    <w:p>
      <w:pPr>
        <w:spacing w:line="360" w:lineRule="auto"/>
        <w:ind w:left="420" w:leftChars="200"/>
        <w:jc w:val="center"/>
        <w:rPr>
          <w:rFonts w:ascii="宋体" w:hAnsi="宋体" w:eastAsia="宋体" w:cs="Arial"/>
          <w:b/>
          <w:bCs/>
          <w:color w:val="0D0D0D" w:themeColor="text1" w:themeTint="F2"/>
          <w:sz w:val="44"/>
          <w:szCs w:val="44"/>
          <w14:textFill>
            <w14:solidFill>
              <w14:schemeClr w14:val="tx1">
                <w14:lumMod w14:val="95000"/>
                <w14:lumOff w14:val="5000"/>
              </w14:schemeClr>
            </w14:solidFill>
          </w14:textFill>
        </w:rPr>
      </w:pPr>
    </w:p>
    <w:p>
      <w:pPr>
        <w:spacing w:line="360" w:lineRule="auto"/>
        <w:ind w:left="420" w:leftChars="200"/>
        <w:jc w:val="center"/>
        <w:rPr>
          <w:rFonts w:ascii="黑体" w:hAnsi="宋体" w:eastAsia="黑体" w:cs="Times New Roman"/>
          <w:b/>
          <w:bCs/>
          <w:color w:val="0D0D0D" w:themeColor="text1" w:themeTint="F2"/>
          <w:sz w:val="32"/>
          <w:szCs w:val="32"/>
          <w14:textFill>
            <w14:solidFill>
              <w14:schemeClr w14:val="tx1">
                <w14:lumMod w14:val="95000"/>
                <w14:lumOff w14:val="5000"/>
              </w14:schemeClr>
            </w14:solidFill>
          </w14:textFill>
        </w:rPr>
      </w:pPr>
    </w:p>
    <w:p>
      <w:pPr>
        <w:spacing w:line="360" w:lineRule="auto"/>
        <w:ind w:left="420" w:leftChars="200"/>
        <w:jc w:val="center"/>
        <w:rPr>
          <w:rFonts w:ascii="黑体" w:hAnsi="宋体" w:eastAsia="黑体" w:cs="Times New Roman"/>
          <w:b/>
          <w:bCs/>
          <w:color w:val="0D0D0D" w:themeColor="text1" w:themeTint="F2"/>
          <w:sz w:val="32"/>
          <w:szCs w:val="32"/>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招</w:t>
      </w: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标</w:t>
      </w:r>
    </w:p>
    <w:p>
      <w:pPr>
        <w:spacing w:line="360" w:lineRule="auto"/>
        <w:jc w:val="center"/>
        <w:rPr>
          <w:rFonts w:ascii="黑体" w:hAnsi="宋体" w:eastAsia="黑体" w:cs="Times New Roman"/>
          <w:b/>
          <w:bCs/>
          <w:color w:val="0D0D0D" w:themeColor="text1" w:themeTint="F2"/>
          <w:sz w:val="48"/>
          <w:szCs w:val="48"/>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书</w:t>
      </w:r>
    </w:p>
    <w:p>
      <w:pPr>
        <w:spacing w:line="360" w:lineRule="auto"/>
        <w:ind w:left="420" w:leftChars="200"/>
        <w:jc w:val="center"/>
        <w:rPr>
          <w:rFonts w:ascii="宋体" w:hAnsi="宋体" w:eastAsia="宋体" w:cs="Times New Roman"/>
          <w:color w:val="0D0D0D" w:themeColor="text1" w:themeTint="F2"/>
          <w:sz w:val="44"/>
          <w:szCs w:val="44"/>
          <w14:textFill>
            <w14:solidFill>
              <w14:schemeClr w14:val="tx1">
                <w14:lumMod w14:val="95000"/>
                <w14:lumOff w14:val="5000"/>
              </w14:schemeClr>
            </w14:solidFill>
          </w14:textFill>
        </w:rPr>
      </w:pPr>
    </w:p>
    <w:p>
      <w:pPr>
        <w:spacing w:line="360" w:lineRule="auto"/>
        <w:rPr>
          <w:rFonts w:ascii="方正小标宋简体" w:hAnsi="宋体" w:eastAsia="宋体" w:cs="Arial"/>
          <w:color w:val="0D0D0D" w:themeColor="text1" w:themeTint="F2"/>
          <w:sz w:val="48"/>
          <w:szCs w:val="48"/>
          <w14:textFill>
            <w14:solidFill>
              <w14:schemeClr w14:val="tx1">
                <w14:lumMod w14:val="95000"/>
                <w14:lumOff w14:val="5000"/>
              </w14:schemeClr>
            </w14:solidFill>
          </w14:textFill>
        </w:rPr>
      </w:pPr>
    </w:p>
    <w:p>
      <w:pPr>
        <w:spacing w:line="600" w:lineRule="exact"/>
        <w:jc w:val="cente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　深圳市龙华区发展和改革局</w:t>
      </w:r>
    </w:p>
    <w:p>
      <w:pPr>
        <w:spacing w:line="600" w:lineRule="exact"/>
        <w:jc w:val="cente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20</w:t>
      </w:r>
      <w: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t>2</w:t>
      </w:r>
      <w:r>
        <w:rPr>
          <w:rFonts w:hint="eastAsia" w:ascii="宋体" w:hAnsi="宋体" w:eastAsia="宋体" w:cs="Times New Roman"/>
          <w:b/>
          <w:bCs/>
          <w:color w:val="0D0D0D" w:themeColor="text1" w:themeTint="F2"/>
          <w:sz w:val="32"/>
          <w:szCs w:val="32"/>
          <w:lang w:val="en-US" w:eastAsia="zh-CN"/>
          <w14:textFill>
            <w14:solidFill>
              <w14:schemeClr w14:val="tx1">
                <w14:lumMod w14:val="95000"/>
                <w14:lumOff w14:val="5000"/>
              </w14:schemeClr>
            </w14:solidFill>
          </w14:textFill>
        </w:rPr>
        <w:t>5</w:t>
      </w: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年</w:t>
      </w:r>
      <w:r>
        <w:rPr>
          <w:rFonts w:hint="eastAsia" w:ascii="宋体" w:hAnsi="宋体" w:eastAsia="宋体" w:cs="Times New Roman"/>
          <w:b/>
          <w:bCs/>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月</w:t>
      </w:r>
    </w:p>
    <w:p>
      <w:pPr>
        <w:jc w:val="left"/>
        <w:rPr>
          <w:rFonts w:ascii="宋体" w:hAnsi="宋体" w:cs="宋体"/>
          <w:b/>
          <w:bCs/>
          <w:color w:val="0D0D0D" w:themeColor="text1" w:themeTint="F2"/>
          <w:sz w:val="44"/>
          <w:szCs w:val="44"/>
          <w14:textFill>
            <w14:solidFill>
              <w14:schemeClr w14:val="tx1">
                <w14:lumMod w14:val="95000"/>
                <w14:lumOff w14:val="5000"/>
              </w14:schemeClr>
            </w14:solidFill>
          </w14:textFill>
        </w:rPr>
        <w:sectPr>
          <w:footerReference r:id="rId3" w:type="default"/>
          <w:pgSz w:w="11906" w:h="16838"/>
          <w:pgMar w:top="2098" w:right="1474" w:bottom="1984" w:left="1587" w:header="720" w:footer="720" w:gutter="0"/>
          <w:pgNumType w:fmt="decimal"/>
          <w:cols w:space="720" w:num="1"/>
          <w:docGrid w:type="lines" w:linePitch="312" w:charSpace="0"/>
        </w:sectPr>
      </w:pPr>
    </w:p>
    <w:p>
      <w:pPr>
        <w:adjustRightInd w:val="0"/>
        <w:snapToGrid w:val="0"/>
        <w:jc w:val="center"/>
        <w:rPr>
          <w:rFonts w:ascii="宋体" w:hAnsi="宋体" w:eastAsia="宋体" w:cs="Arial"/>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560" w:lineRule="exact"/>
        <w:jc w:val="cente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龙华区安全节能环保产业摸底调查服务</w:t>
      </w:r>
    </w:p>
    <w:p>
      <w:pPr>
        <w:adjustRightInd w:val="0"/>
        <w:snapToGrid w:val="0"/>
        <w:spacing w:line="560" w:lineRule="exact"/>
        <w:jc w:val="center"/>
        <w:rPr>
          <w:rFonts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项目招标书</w:t>
      </w:r>
    </w:p>
    <w:p>
      <w:pPr>
        <w:spacing w:line="560" w:lineRule="exact"/>
        <w:ind w:firstLine="642" w:firstLineChars="200"/>
        <w:rPr>
          <w:rFonts w:ascii="黑体" w:hAnsi="黑体" w:eastAsia="黑体" w:cs="Times New Roman"/>
          <w:b/>
          <w:bCs/>
          <w:color w:val="0D0D0D" w:themeColor="text1" w:themeTint="F2"/>
          <w:sz w:val="32"/>
          <w:szCs w:val="32"/>
          <w14:textFill>
            <w14:solidFill>
              <w14:schemeClr w14:val="tx1">
                <w14:lumMod w14:val="95000"/>
                <w14:lumOff w14:val="5000"/>
              </w14:schemeClr>
            </w14:solidFill>
          </w14:textFill>
        </w:rPr>
      </w:pP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一、项目概况</w:t>
      </w:r>
    </w:p>
    <w:p>
      <w:pPr>
        <w:adjustRightInd w:val="0"/>
        <w:snapToGrid w:val="0"/>
        <w:spacing w:line="560" w:lineRule="exact"/>
        <w:ind w:left="3198" w:leftChars="304" w:hanging="2560" w:hangingChars="800"/>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（一）项目名称：龙华区安全节能环保产业摸底调查服务</w:t>
      </w:r>
    </w:p>
    <w:p>
      <w:pPr>
        <w:adjustRightInd w:val="0"/>
        <w:snapToGrid w:val="0"/>
        <w:spacing w:line="560" w:lineRule="exact"/>
        <w:ind w:left="3192" w:leftChars="1520" w:firstLine="0" w:firstLineChars="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项目</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（二）服务期限：自合同签订之日起</w:t>
      </w:r>
      <w:r>
        <w:rPr>
          <w:rFonts w:hint="eastAsia" w:ascii="仿宋_GB2312" w:hAnsi="仿宋" w:eastAsia="仿宋_GB2312" w:cs="仿宋_GB2312"/>
          <w:color w:val="0D0D0D" w:themeColor="text1" w:themeTint="F2"/>
          <w:sz w:val="32"/>
          <w:szCs w:val="32"/>
          <w:lang w:val="en-US" w:eastAsia="zh-CN"/>
          <w14:textFill>
            <w14:solidFill>
              <w14:schemeClr w14:val="tx1">
                <w14:lumMod w14:val="95000"/>
                <w14:lumOff w14:val="5000"/>
              </w14:schemeClr>
            </w14:solidFill>
          </w14:textFill>
        </w:rPr>
        <w:t>9</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个月。</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（三）项目预算：预算金额不超过</w:t>
      </w:r>
      <w:r>
        <w:rPr>
          <w:rFonts w:hint="default" w:ascii="仿宋_GB2312" w:hAnsi="仿宋"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56</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万元。</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二、项目内容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本项目立足龙华区安全节能环保领域管理服务需求，围绕“摸清底数、掌握现状、完善台账、识别短板、提升服务”总体目标，开展系统化调查和专业化服务支撑工作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具体服务内容如下：</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（一）建立龙华区安全节能环保产业基础数据库</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1.全面收集辖区内安全应急、高效节能、先进环保、资源循环利用等相关企业的基本信息、业务范围、技术能力、资质情况等数据；</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2.按照统一标准完成企业信息分类、编码及分级管理；</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3.构建结构化、可更新的产业基础数据库，为后续监管、服务、统计及政策研究提供数据支撑。</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（二）开展企业走访与综合调研工作</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1.制定分行业调研计划，对重点企业开展实地走访、访谈或问卷调查；</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2.全面掌握企业在生产经营、安全管理、节能减排、环保治理、技术装备等方面的现状；</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3.收集企业在政策扶持、技术升级、服务保障等方面的困难与需求，形成调研记录和企业工作台账。</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（三）梳理产业链条并绘制龙华区安全节能环保产业链图谱</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1.系统梳理各细分领域产业链结构，明确上游、中游、下游环节和企业分布情况；</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2.识别产业链关键节点、薄弱环节及潜在风险；</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3.形成本区安全节能环保产业链图谱，为政府部门开展产业分析、监测预警和补链强链工作提供依据。</w:t>
      </w:r>
    </w:p>
    <w:p>
      <w:p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（四）提出产业服务及管理体系提升建议</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1.围绕产业基础数据库维护、企业服务机制、信息更新机制等提出系统化工作建议；</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2.针对企业普遍关切的共性问题，提出在安全管理提升、节能改造、环保技术应用等方面的服务方向与工作措施；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w:eastAsia="仿宋_GB2312" w:cs="仿宋_GB2312"/>
          <w:sz w:val="32"/>
          <w:szCs w:val="32"/>
        </w:rPr>
      </w:pPr>
      <w:r>
        <w:rPr>
          <w:rFonts w:hint="eastAsia" w:ascii="仿宋_GB2312" w:hAnsi="仿宋_GB2312" w:eastAsia="仿宋_GB2312" w:cs="仿宋_GB2312"/>
          <w:sz w:val="32"/>
          <w:szCs w:val="32"/>
          <w:highlight w:val="none"/>
        </w:rPr>
        <w:t>3.结合产业链分析情况，提出推动产业能级提升、促进资源整合、完善政策服务体系等方面的对策建议，为龙华区构建安全、绿色、高效的产业体系提供决策参考。</w:t>
      </w:r>
    </w:p>
    <w:p>
      <w:pPr>
        <w:keepNext/>
        <w:keepLines/>
        <w:adjustRightInd/>
        <w:snapToGrid/>
        <w:spacing w:line="560" w:lineRule="exact"/>
        <w:ind w:firstLine="640" w:firstLineChars="200"/>
        <w:outlineLvl w:val="0"/>
        <w:rPr>
          <w:rFonts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t>三、项目技术要求</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（一）项目成果应遵循国家颁布的有关法律、法规及政策要求，符合相关的技术规范和标准。</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（二）研究过程中应当进行调查收集，充分把握龙华区</w:t>
      </w:r>
      <w:r>
        <w:rPr>
          <w:rFonts w:hint="eastAsia" w:ascii="仿宋_GB2312" w:hAnsi="Times New Roman" w:eastAsia="仿宋_GB2312" w:cs="Times New Roman"/>
          <w:bCs/>
          <w:color w:val="0D0D0D" w:themeColor="text1" w:themeTint="F2"/>
          <w:sz w:val="32"/>
          <w:szCs w:val="32"/>
          <w:lang w:val="en-US" w:eastAsia="zh-CN"/>
          <w14:textFill>
            <w14:solidFill>
              <w14:schemeClr w14:val="tx1">
                <w14:lumMod w14:val="95000"/>
                <w14:lumOff w14:val="5000"/>
              </w14:schemeClr>
            </w14:solidFill>
          </w14:textFill>
        </w:rPr>
        <w:t>安全节能环保产业</w:t>
      </w: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基础、存在问题等相关信息和基础资料。</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（三）研究成果要具有前瞻性，结合</w:t>
      </w:r>
      <w:r>
        <w:rPr>
          <w:rFonts w:hint="eastAsia" w:ascii="仿宋_GB2312" w:hAnsi="Times New Roman" w:eastAsia="仿宋_GB2312" w:cs="Times New Roman"/>
          <w:bCs/>
          <w:color w:val="0D0D0D" w:themeColor="text1" w:themeTint="F2"/>
          <w:sz w:val="32"/>
          <w:szCs w:val="32"/>
          <w:lang w:val="en-US" w:eastAsia="zh-CN"/>
          <w14:textFill>
            <w14:solidFill>
              <w14:schemeClr w14:val="tx1">
                <w14:lumMod w14:val="95000"/>
                <w14:lumOff w14:val="5000"/>
              </w14:schemeClr>
            </w14:solidFill>
          </w14:textFill>
        </w:rPr>
        <w:t>安全节能环保产业</w:t>
      </w: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发展趋势，体</w:t>
      </w:r>
      <w:r>
        <w:rPr>
          <w:rFonts w:hint="eastAsia" w:ascii="仿宋_GB2312" w:hAnsi="Times New Roman" w:eastAsia="仿宋_GB2312" w:cs="Times New Roman"/>
          <w:bCs/>
          <w:color w:val="0D0D0D" w:themeColor="text1" w:themeTint="F2"/>
          <w:sz w:val="32"/>
          <w:szCs w:val="32"/>
          <w:lang w:val="en-US" w:eastAsia="zh-CN"/>
          <w14:textFill>
            <w14:solidFill>
              <w14:schemeClr w14:val="tx1">
                <w14:lumMod w14:val="95000"/>
                <w14:lumOff w14:val="5000"/>
              </w14:schemeClr>
            </w14:solidFill>
          </w14:textFill>
        </w:rPr>
        <w:t>现安全节能环保产业对</w:t>
      </w:r>
      <w:r>
        <w:rPr>
          <w:rFonts w:hint="eastAsia" w:ascii="仿宋_GB2312" w:hAnsi="Times" w:eastAsia="仿宋_GB2312" w:cs="Times New Roman"/>
          <w:kern w:val="2"/>
          <w:sz w:val="32"/>
          <w:szCs w:val="32"/>
          <w:lang w:val="en-US" w:eastAsia="zh-CN" w:bidi="ar"/>
        </w:rPr>
        <w:t>高标准高质量推进龙华建设</w:t>
      </w: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的重要意义；具有系统性，研究成果要体系完整、内容全面、材料丰富；具有实用性，研究成果符合深圳市、龙华区实际，针对性和可操作性强。</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四、项目成果交付要求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（一）龙华区安全节能环保产业摸底调查分析报告；</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（二）龙华区安全节能环保产业基础数据库（电子版）；</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（三）龙华区安全节能环保产业链图谱及编制说明；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（四）龙华区安全节能环保产业监管与服务体系优化政策建议成果</w:t>
      </w:r>
      <w:r>
        <w:rPr>
          <w:rFonts w:hint="eastAsia" w:ascii="仿宋_GB2312" w:hAnsi="仿宋_GB2312" w:eastAsia="仿宋_GB2312" w:cs="仿宋_GB2312"/>
          <w:sz w:val="32"/>
          <w:szCs w:val="32"/>
          <w:lang w:val="en-US" w:eastAsia="zh-CN"/>
        </w:rPr>
        <w:t>。</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五、项目保密要求</w:t>
      </w:r>
    </w:p>
    <w:p>
      <w:pPr>
        <w:spacing w:line="560" w:lineRule="exact"/>
        <w:ind w:firstLine="640" w:firstLineChars="200"/>
        <w:rPr>
          <w:rFonts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中标人应当对其在项目开展过程中所知悉的国家秘密、商业秘密和技术秘密负有保密责任，建立并实施相应的保密措施，具体保密要求如下：</w:t>
      </w:r>
    </w:p>
    <w:p>
      <w:pPr>
        <w:spacing w:line="560" w:lineRule="exact"/>
        <w:ind w:firstLine="640" w:firstLineChars="200"/>
        <w:rPr>
          <w:rFonts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（一）中标人不得利用所获取、掌握的采购人及其他政府部门的任何保密内容从事采购人及其他政府部门授权工作以外的任何事情，不得披露、允许第三方使用。</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（二）中标人按照采购人要求完成项目后，须立即将项目成果提交采购人存档，未经采购人许可，不得向第三方披露。</w:t>
      </w:r>
    </w:p>
    <w:p>
      <w:pPr>
        <w:spacing w:line="560" w:lineRule="exact"/>
        <w:ind w:firstLine="640" w:firstLineChars="200"/>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（三）中标人应建立相应的保密制度，明确项目开展过程中各环节的保密性要求，确保相关资料和信息的保密性。</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六、投标资格要求</w:t>
      </w:r>
    </w:p>
    <w:p>
      <w:pPr>
        <w:pStyle w:val="12"/>
        <w:keepNext w:val="0"/>
        <w:keepLines w:val="0"/>
        <w:pageBreakBefore w:val="0"/>
        <w:kinsoku/>
        <w:wordWrap/>
        <w:topLinePunct w:val="0"/>
        <w:autoSpaceDE/>
        <w:autoSpaceDN/>
        <w:bidi w:val="0"/>
        <w:adjustRightInd/>
        <w:spacing w:line="56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（一）具有独立承担民事责任能力、在中华人民共和国境内注册的法人；</w:t>
      </w:r>
    </w:p>
    <w:p>
      <w:pPr>
        <w:pStyle w:val="12"/>
        <w:keepNext w:val="0"/>
        <w:keepLines w:val="0"/>
        <w:pageBreakBefore w:val="0"/>
        <w:kinsoku/>
        <w:wordWrap/>
        <w:topLinePunct w:val="0"/>
        <w:autoSpaceDE/>
        <w:autoSpaceDN/>
        <w:bidi w:val="0"/>
        <w:adjustRightInd/>
        <w:spacing w:line="560" w:lineRule="exact"/>
        <w:ind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（二）参加本次政府采购活动前3年内在经营活动中没有重大违法记录（提供声明函，格式自拟）；</w:t>
      </w:r>
    </w:p>
    <w:p>
      <w:pPr>
        <w:pStyle w:val="12"/>
        <w:keepNext w:val="0"/>
        <w:keepLines w:val="0"/>
        <w:pageBreakBefore w:val="0"/>
        <w:kinsoku/>
        <w:wordWrap/>
        <w:topLinePunct w:val="0"/>
        <w:autoSpaceDE/>
        <w:autoSpaceDN/>
        <w:bidi w:val="0"/>
        <w:adjustRightInd/>
        <w:spacing w:line="560" w:lineRule="exact"/>
        <w:ind w:firstLine="640" w:firstLineChars="200"/>
        <w:jc w:val="both"/>
        <w:textAlignment w:val="auto"/>
      </w:pPr>
      <w:r>
        <w:rPr>
          <w:rFonts w:hint="eastAsia" w:ascii="仿宋_GB2312" w:hAnsi="Times New Roman" w:eastAsia="仿宋_GB2312" w:cs="Times New Roman"/>
          <w:bCs/>
          <w:sz w:val="32"/>
          <w:szCs w:val="32"/>
        </w:rPr>
        <w:t>（三）本项目不接受联合体投标</w:t>
      </w:r>
      <w:r>
        <w:rPr>
          <w:rFonts w:hint="eastAsia" w:ascii="仿宋_GB2312" w:hAnsi="Times New Roman" w:eastAsia="仿宋_GB2312" w:cs="Times New Roman"/>
          <w:b w:val="0"/>
          <w:bCs/>
          <w:color w:val="0C0C0C"/>
          <w:kern w:val="2"/>
          <w:sz w:val="32"/>
          <w:szCs w:val="32"/>
          <w:highlight w:val="none"/>
          <w:u w:val="none"/>
          <w:lang w:val="en-US" w:eastAsia="zh-CN" w:bidi="ar-SA"/>
        </w:rPr>
        <w:t>。</w:t>
      </w:r>
    </w:p>
    <w:p>
      <w:pPr>
        <w:adjustRightInd w:val="0"/>
        <w:snapToGrid w:val="0"/>
        <w:spacing w:line="560" w:lineRule="exact"/>
        <w:ind w:firstLine="640" w:firstLineChars="200"/>
        <w:rPr>
          <w:rFonts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highlight w:val="none"/>
          <w14:textFill>
            <w14:solidFill>
              <w14:schemeClr w14:val="tx1">
                <w14:lumMod w14:val="95000"/>
                <w14:lumOff w14:val="5000"/>
              </w14:schemeClr>
            </w14:solidFill>
          </w14:textFill>
        </w:rPr>
        <w:t>七、投标时间、地点及联系人</w:t>
      </w:r>
    </w:p>
    <w:p>
      <w:pPr>
        <w:spacing w:line="560" w:lineRule="exact"/>
        <w:ind w:firstLine="640" w:firstLineChars="200"/>
        <w:rPr>
          <w:rFonts w:ascii="仿宋_GB2312" w:hAnsi="Times New Roman" w:eastAsia="仿宋_GB2312" w:cs="Times New Roman"/>
          <w:b/>
          <w:bCs/>
          <w:color w:val="0D0D0D" w:themeColor="text1" w:themeTint="F2"/>
          <w:sz w:val="32"/>
          <w:szCs w:val="32"/>
          <w:highlight w:val="none"/>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（一）投标时间：</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202</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5</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年</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2</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月</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日至</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202</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5</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年</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12</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月</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日，每日上午</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9:00-12:00，下午2:00-</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6：00</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（节假日除外）。逾期未投标将不再受理。</w:t>
      </w:r>
    </w:p>
    <w:p>
      <w:pPr>
        <w:spacing w:line="560" w:lineRule="exact"/>
        <w:ind w:firstLine="640" w:firstLineChars="200"/>
        <w:rPr>
          <w:rFonts w:ascii="仿宋_GB2312" w:hAnsi="Times New Roman" w:eastAsia="仿宋_GB2312" w:cs="Times New Roman"/>
          <w:b/>
          <w:bCs/>
          <w:color w:val="0D0D0D" w:themeColor="text1" w:themeTint="F2"/>
          <w:sz w:val="32"/>
          <w:szCs w:val="32"/>
          <w:highlight w:val="none"/>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（二）投标地点：深圳市龙华区龙华街道清泉路7号富康行政服务办公区19楼A1902，深圳市龙华区发展和改革局办公室</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（可邮寄，以送达日期为投标日期）。</w:t>
      </w:r>
    </w:p>
    <w:p>
      <w:pPr>
        <w:spacing w:line="560" w:lineRule="exact"/>
        <w:ind w:firstLine="640" w:firstLineChars="200"/>
        <w:rPr>
          <w:rFonts w:hint="default" w:ascii="仿宋_GB2312" w:hAnsi="Times New Roman" w:eastAsia="仿宋_GB2312" w:cs="Times New Roman"/>
          <w:b/>
          <w:bCs/>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（三）联系人及电话：</w:t>
      </w:r>
      <w:r>
        <w:rPr>
          <w:rFonts w:hint="eastAsia" w:ascii="仿宋_GB2312" w:hAnsi="Times New Roman" w:eastAsia="仿宋_GB2312" w:cs="Times New Roman"/>
          <w:bCs/>
          <w:color w:val="0D0D0D" w:themeColor="text1" w:themeTint="F2"/>
          <w:sz w:val="32"/>
          <w:szCs w:val="32"/>
          <w:highlight w:val="none"/>
          <w:lang w:eastAsia="zh-CN"/>
          <w14:textFill>
            <w14:solidFill>
              <w14:schemeClr w14:val="tx1">
                <w14:lumMod w14:val="95000"/>
                <w14:lumOff w14:val="5000"/>
              </w14:schemeClr>
            </w14:solidFill>
          </w14:textFill>
        </w:rPr>
        <w:t>汪冬梅</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，0755-2</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1032054</w:t>
      </w:r>
    </w:p>
    <w:p>
      <w:pPr>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八、投标文件递交内容</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（一）投标单位简介、投标人营业执照及相关证照（提供加盖公章的复印件，原件备查）。</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（二）法定代表人证明书及授权委托书（原件加盖公章）。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（三）法定代表人及受委托人身份证复印件（复印件加盖公章）。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（四）项目方案及报价单（原件加盖公章）。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（五）投标人相关领域/项目经验证明材料（复印件加盖公章）。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（六）投标人无重大违法记录声明函（原件加盖公章，格式自拟）。</w:t>
      </w:r>
    </w:p>
    <w:p>
      <w:pPr>
        <w:adjustRightInd w:val="0"/>
        <w:snapToGrid w:val="0"/>
        <w:spacing w:line="560" w:lineRule="exact"/>
        <w:ind w:firstLine="640" w:firstLineChars="200"/>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（七）投标及履约承诺函原件（格式见附件）。</w:t>
      </w:r>
    </w:p>
    <w:p>
      <w:pPr>
        <w:adjustRightInd w:val="0"/>
        <w:snapToGrid w:val="0"/>
        <w:spacing w:line="560" w:lineRule="exact"/>
        <w:ind w:firstLine="640" w:firstLineChars="200"/>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八</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）供应商基本情况表原件（格式见附件）。</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九</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）投标人认为有必要提供的其它材料。</w:t>
      </w:r>
    </w:p>
    <w:p>
      <w:pPr>
        <w:adjustRightInd w:val="0"/>
        <w:snapToGrid w:val="0"/>
        <w:spacing w:line="560" w:lineRule="exact"/>
        <w:ind w:firstLine="640" w:firstLineChars="200"/>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投标文件一式五份，整套纸质材料密封并加盖骑缝章，封面注明招标项目名称；投标人的名称、地址、联系人及手机号码。</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九、重要提示</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投标单位有下列情况之一的，其投标将被拒绝或作无效投标处理：</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（一）未在规定时间内将投标文件送达规定地点的。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（二）投标人不具备投标资格要求，或未提交相应资格证明材料。</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（三）投标文件未按规定密封、签字、盖章。</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（四）投标文件无法定代表人签字或无法定代表人有效授权委托的。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（五）分项报价或投标总价高于预算金额（最高投标限价）的。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（六）同一项目出现两个及以上报价，且按规定无法确定哪个是有效报价。</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（八）所投服务在质量、技术、方案等方面没有实质性满足招标文件要求。</w:t>
      </w:r>
    </w:p>
    <w:p>
      <w:pPr>
        <w:adjustRightInd w:val="0"/>
        <w:snapToGrid w:val="0"/>
        <w:spacing w:line="560" w:lineRule="exact"/>
        <w:ind w:firstLine="640" w:firstLineChars="200"/>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（九）法律、法规规定的其他情形。</w:t>
      </w:r>
    </w:p>
    <w:p>
      <w:pPr>
        <w:pStyle w:val="3"/>
        <w:spacing w:line="560" w:lineRule="exact"/>
        <w:ind w:firstLine="640"/>
        <w:rPr>
          <w:rFonts w:ascii="黑体" w:hAnsi="黑体" w:eastAsia="黑体"/>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bCs w:val="0"/>
          <w:color w:val="0D0D0D" w:themeColor="text1" w:themeTint="F2"/>
          <w:sz w:val="32"/>
          <w:szCs w:val="32"/>
          <w14:textFill>
            <w14:solidFill>
              <w14:schemeClr w14:val="tx1">
                <w14:lumMod w14:val="95000"/>
                <w14:lumOff w14:val="5000"/>
              </w14:schemeClr>
            </w14:solidFill>
          </w14:textFill>
        </w:rPr>
        <w:t>十、评标方法</w:t>
      </w:r>
    </w:p>
    <w:p>
      <w:pPr>
        <w:pStyle w:val="3"/>
        <w:spacing w:line="560" w:lineRule="exact"/>
        <w:ind w:firstLine="640"/>
        <w:rPr>
          <w:rFonts w:ascii="楷体_GB2312" w:hAnsi="楷体_GB2312" w:eastAsia="楷体_GB2312" w:cs="楷体_GB2312"/>
          <w:b/>
          <w:sz w:val="32"/>
          <w:szCs w:val="32"/>
        </w:rPr>
      </w:pPr>
      <w:r>
        <w:rPr>
          <w:rFonts w:hint="eastAsia" w:ascii="楷体_GB2312" w:hAnsi="楷体_GB2312" w:eastAsia="楷体_GB2312" w:cs="楷体_GB2312"/>
          <w:sz w:val="32"/>
          <w:szCs w:val="32"/>
        </w:rPr>
        <w:t xml:space="preserve">（一）评分规则 </w:t>
      </w:r>
    </w:p>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评标采用综合评分法。确定中标供应商按评审后得分由高到低顺序排列。得分相同的，按投标报价由低到高顺序排列。得分且投标报价相同的，按技术或服务方案优劣顺序排列。</w:t>
      </w:r>
    </w:p>
    <w:p>
      <w:pPr>
        <w:pStyle w:val="3"/>
        <w:spacing w:line="560" w:lineRule="exact"/>
        <w:ind w:firstLine="64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（二）评分权重</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948"/>
        <w:gridCol w:w="1738"/>
        <w:gridCol w:w="1784"/>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评分内容</w:t>
            </w:r>
          </w:p>
        </w:tc>
        <w:tc>
          <w:tcPr>
            <w:tcW w:w="1075"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商务能力</w:t>
            </w:r>
          </w:p>
        </w:tc>
        <w:tc>
          <w:tcPr>
            <w:tcW w:w="959"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技术能力</w:t>
            </w:r>
          </w:p>
        </w:tc>
        <w:tc>
          <w:tcPr>
            <w:tcW w:w="984"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人员配备</w:t>
            </w:r>
          </w:p>
        </w:tc>
        <w:tc>
          <w:tcPr>
            <w:tcW w:w="1032" w:type="pct"/>
            <w:vAlign w:val="center"/>
          </w:tcPr>
          <w:p>
            <w:pPr>
              <w:pStyle w:val="24"/>
              <w:spacing w:line="360" w:lineRule="auto"/>
              <w:jc w:val="center"/>
              <w:rPr>
                <w:rFonts w:hint="eastAsia" w:ascii="仿宋_GB2312" w:hAnsi="仿宋_GB2312" w:eastAsia="仿宋_GB2312" w:cs="仿宋_GB2312"/>
                <w:bCs/>
                <w:color w:val="000000"/>
                <w:szCs w:val="24"/>
                <w:highlight w:val="none"/>
              </w:rPr>
            </w:pPr>
            <w:r>
              <w:rPr>
                <w:rFonts w:hint="eastAsia" w:ascii="仿宋_GB2312" w:hAnsi="仿宋_GB2312" w:eastAsia="仿宋_GB2312" w:cs="仿宋_GB2312"/>
                <w:bCs/>
                <w:color w:val="000000"/>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分值</w:t>
            </w:r>
          </w:p>
        </w:tc>
        <w:tc>
          <w:tcPr>
            <w:tcW w:w="1075"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20分</w:t>
            </w:r>
          </w:p>
        </w:tc>
        <w:tc>
          <w:tcPr>
            <w:tcW w:w="959"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40分</w:t>
            </w:r>
          </w:p>
        </w:tc>
        <w:tc>
          <w:tcPr>
            <w:tcW w:w="984"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20分</w:t>
            </w:r>
          </w:p>
        </w:tc>
        <w:tc>
          <w:tcPr>
            <w:tcW w:w="1032" w:type="pct"/>
            <w:vAlign w:val="center"/>
          </w:tcPr>
          <w:p>
            <w:pPr>
              <w:pStyle w:val="24"/>
              <w:spacing w:line="360"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20分</w:t>
            </w:r>
          </w:p>
        </w:tc>
      </w:tr>
    </w:tbl>
    <w:p>
      <w:pPr>
        <w:pStyle w:val="3"/>
        <w:spacing w:line="560" w:lineRule="exact"/>
        <w:ind w:firstLine="64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（三）评分标准</w:t>
      </w:r>
    </w:p>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1.商务能力</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024"/>
        <w:gridCol w:w="4477"/>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pct"/>
            <w:gridSpan w:val="3"/>
            <w:vAlign w:val="center"/>
          </w:tcPr>
          <w:p>
            <w:pPr>
              <w:pStyle w:val="24"/>
              <w:spacing w:line="312" w:lineRule="auto"/>
              <w:jc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szCs w:val="24"/>
                <w:highlight w:val="none"/>
              </w:rPr>
              <w:t>项目</w:t>
            </w:r>
          </w:p>
        </w:tc>
        <w:tc>
          <w:tcPr>
            <w:tcW w:w="1579" w:type="pct"/>
            <w:vAlign w:val="center"/>
          </w:tcPr>
          <w:p>
            <w:pPr>
              <w:pStyle w:val="24"/>
              <w:spacing w:line="312" w:lineRule="auto"/>
              <w:jc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restart"/>
            <w:vAlign w:val="center"/>
          </w:tcPr>
          <w:p>
            <w:pPr>
              <w:pStyle w:val="24"/>
              <w:spacing w:line="312"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商务能力评分20分</w:t>
            </w:r>
          </w:p>
        </w:tc>
        <w:tc>
          <w:tcPr>
            <w:tcW w:w="565" w:type="pct"/>
            <w:vAlign w:val="center"/>
          </w:tcPr>
          <w:p>
            <w:pPr>
              <w:adjustRightInd w:val="0"/>
              <w:snapToGrid w:val="0"/>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资质</w:t>
            </w:r>
          </w:p>
          <w:p>
            <w:pPr>
              <w:pStyle w:val="24"/>
              <w:spacing w:line="312"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（5分）</w:t>
            </w:r>
          </w:p>
        </w:tc>
        <w:tc>
          <w:tcPr>
            <w:tcW w:w="2469" w:type="pct"/>
            <w:vAlign w:val="center"/>
          </w:tcPr>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提供以下至少一种相关资质：</w:t>
            </w:r>
          </w:p>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1.节能评估、能源审计、节能技术服务相关资质；</w:t>
            </w:r>
          </w:p>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2.环境咨询、环保技术服务类资质（如环评技术服务备案等）；</w:t>
            </w:r>
          </w:p>
          <w:p>
            <w:pPr>
              <w:widowControl/>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3.安全生产类技术服务机构备案或相关服务资质；</w:t>
            </w:r>
          </w:p>
          <w:p>
            <w:pPr>
              <w:widowControl/>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eastAsia="zh-CN"/>
              </w:rPr>
              <w:t>4.具有与本项目相关的第三方专业技术服务能力证明（含科研平台、国家省市各级重点实验室、行业认证单位、省市智库联盟成员等）。材料的得 5 分；未提供的，不得分</w:t>
            </w:r>
            <w:r>
              <w:rPr>
                <w:rFonts w:hint="eastAsia" w:ascii="仿宋_GB2312" w:hAnsi="仿宋_GB2312" w:eastAsia="仿宋_GB2312" w:cs="仿宋_GB2312"/>
                <w:bCs/>
                <w:color w:val="000000"/>
                <w:sz w:val="24"/>
                <w:highlight w:val="none"/>
              </w:rPr>
              <w:t>。</w:t>
            </w:r>
          </w:p>
        </w:tc>
        <w:tc>
          <w:tcPr>
            <w:tcW w:w="157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1.要求提供有效的认证证书、资质证书及证明材料作为得分依据；</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continue"/>
            <w:vAlign w:val="center"/>
          </w:tcPr>
          <w:p>
            <w:pPr>
              <w:pStyle w:val="24"/>
              <w:spacing w:line="312" w:lineRule="auto"/>
              <w:jc w:val="center"/>
              <w:rPr>
                <w:rFonts w:hint="eastAsia" w:ascii="仿宋_GB2312" w:hAnsi="仿宋_GB2312" w:eastAsia="仿宋_GB2312" w:cs="仿宋_GB2312"/>
                <w:b w:val="0"/>
                <w:bCs/>
                <w:color w:val="000000"/>
                <w:szCs w:val="24"/>
                <w:highlight w:val="none"/>
              </w:rPr>
            </w:pPr>
          </w:p>
        </w:tc>
        <w:tc>
          <w:tcPr>
            <w:tcW w:w="565" w:type="pct"/>
            <w:vAlign w:val="center"/>
          </w:tcPr>
          <w:p>
            <w:pPr>
              <w:pStyle w:val="24"/>
              <w:spacing w:line="312" w:lineRule="auto"/>
              <w:jc w:val="center"/>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经验（</w:t>
            </w:r>
            <w:r>
              <w:rPr>
                <w:rFonts w:ascii="仿宋_GB2312" w:hAnsi="仿宋_GB2312" w:eastAsia="仿宋_GB2312" w:cs="仿宋_GB2312"/>
                <w:b w:val="0"/>
                <w:bCs/>
                <w:color w:val="000000"/>
                <w:szCs w:val="24"/>
                <w:highlight w:val="none"/>
              </w:rPr>
              <w:t>10</w:t>
            </w:r>
            <w:r>
              <w:rPr>
                <w:rFonts w:hint="eastAsia" w:ascii="仿宋_GB2312" w:hAnsi="仿宋_GB2312" w:eastAsia="仿宋_GB2312" w:cs="仿宋_GB2312"/>
                <w:b w:val="0"/>
                <w:bCs/>
                <w:color w:val="000000"/>
                <w:szCs w:val="24"/>
                <w:highlight w:val="none"/>
              </w:rPr>
              <w:t>分）</w:t>
            </w:r>
          </w:p>
        </w:tc>
        <w:tc>
          <w:tcPr>
            <w:tcW w:w="246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自2022年1月1日至今（以合同签订时间或中标通知书落款时间为准），承担过国家、省、市、区及企业安全节能环保、绿色低碳、“20+8”产业等领域研究或者服务项目的，可按以下标准得分：</w:t>
            </w:r>
          </w:p>
          <w:p>
            <w:pPr>
              <w:pStyle w:val="24"/>
              <w:numPr>
                <w:ilvl w:val="0"/>
                <w:numId w:val="0"/>
              </w:numPr>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lang w:val="en-US" w:eastAsia="zh-CN"/>
              </w:rPr>
              <w:t>1.</w:t>
            </w:r>
            <w:r>
              <w:rPr>
                <w:rFonts w:hint="eastAsia" w:ascii="仿宋_GB2312" w:hAnsi="仿宋_GB2312" w:eastAsia="仿宋_GB2312" w:cs="仿宋_GB2312"/>
                <w:b w:val="0"/>
                <w:bCs/>
                <w:color w:val="000000"/>
                <w:szCs w:val="24"/>
                <w:highlight w:val="none"/>
              </w:rPr>
              <w:t>每提供一个市级及以上相关项目得2分,每提供一个区级相关项目得1分。</w:t>
            </w:r>
          </w:p>
          <w:p>
            <w:pPr>
              <w:pStyle w:val="24"/>
              <w:numPr>
                <w:ilvl w:val="0"/>
                <w:numId w:val="0"/>
              </w:numPr>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2.本项满分10分。</w:t>
            </w:r>
          </w:p>
        </w:tc>
        <w:tc>
          <w:tcPr>
            <w:tcW w:w="157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1.投标人须提供项目合同关键页或中标通知书原件扫描件，作为得分依据。未提供或提供不清晰导致无法判断的，不得分。</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5" w:type="pct"/>
            <w:vMerge w:val="continue"/>
            <w:vAlign w:val="center"/>
          </w:tcPr>
          <w:p>
            <w:pPr>
              <w:pStyle w:val="24"/>
              <w:spacing w:line="312" w:lineRule="auto"/>
              <w:jc w:val="center"/>
              <w:rPr>
                <w:rFonts w:hint="eastAsia" w:ascii="仿宋_GB2312" w:hAnsi="仿宋_GB2312" w:eastAsia="仿宋_GB2312" w:cs="仿宋_GB2312"/>
                <w:b w:val="0"/>
                <w:bCs/>
                <w:color w:val="000000"/>
                <w:szCs w:val="24"/>
                <w:highlight w:val="none"/>
              </w:rPr>
            </w:pPr>
          </w:p>
        </w:tc>
        <w:tc>
          <w:tcPr>
            <w:tcW w:w="565"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诚信管理情况</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（5分）</w:t>
            </w:r>
          </w:p>
        </w:tc>
        <w:tc>
          <w:tcPr>
            <w:tcW w:w="2469" w:type="pct"/>
            <w:vAlign w:val="center"/>
          </w:tcPr>
          <w:p>
            <w:pPr>
              <w:pStyle w:val="16"/>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符合国家法规政策关于诚信管理的要求，至投标截止时间，投标人没有在信用中国网（www.creditchina.gov.cn）或中国政府采购网（www.ccgp.gov.cn）或深圳市政府采购监督管理网（</w:t>
            </w:r>
            <w:r>
              <w:rPr>
                <w:rFonts w:ascii="仿宋_GB2312" w:eastAsia="仿宋_GB2312" w:cs="仿宋_GB2312"/>
                <w:color w:val="0C0C0C"/>
                <w:sz w:val="24"/>
                <w:szCs w:val="24"/>
              </w:rPr>
              <w:t>http://zfcg.sz.gov.cn/</w:t>
            </w:r>
            <w:r>
              <w:rPr>
                <w:rFonts w:hint="eastAsia" w:ascii="仿宋_GB2312" w:hAnsi="仿宋_GB2312" w:eastAsia="仿宋_GB2312" w:cs="仿宋_GB2312"/>
                <w:b w:val="0"/>
                <w:bCs/>
                <w:color w:val="000000"/>
                <w:szCs w:val="24"/>
                <w:highlight w:val="none"/>
              </w:rPr>
              <w:t>）或深圳公共资源交易中心市区政府采购统一平台（</w:t>
            </w:r>
            <w:r>
              <w:rPr>
                <w:rFonts w:ascii="仿宋_GB2312" w:eastAsia="仿宋_GB2312" w:cs="仿宋_GB2312"/>
                <w:color w:val="0C0C0C"/>
                <w:sz w:val="24"/>
                <w:szCs w:val="24"/>
              </w:rPr>
              <w:t>www.szggzy.com</w:t>
            </w:r>
            <w:r>
              <w:rPr>
                <w:rFonts w:hint="eastAsia" w:ascii="仿宋_GB2312" w:hAnsi="仿宋_GB2312" w:eastAsia="仿宋_GB2312" w:cs="仿宋_GB2312"/>
                <w:b w:val="0"/>
                <w:bCs/>
                <w:color w:val="000000"/>
                <w:szCs w:val="24"/>
                <w:highlight w:val="none"/>
              </w:rPr>
              <w:t>）或“国家企业信用信息公示系统”（www.gsxt.gov.cn）等官网中列入“失信被执行人、重大税收违法案件当事人名单、政府采购严重违法失信行为记录名单” 。</w:t>
            </w:r>
          </w:p>
        </w:tc>
        <w:tc>
          <w:tcPr>
            <w:tcW w:w="1579" w:type="pct"/>
            <w:vAlign w:val="center"/>
          </w:tcPr>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1.投标人须提供相关截图作为佐证材料。</w:t>
            </w:r>
          </w:p>
          <w:p>
            <w:pPr>
              <w:pStyle w:val="24"/>
              <w:spacing w:line="312" w:lineRule="auto"/>
              <w:rPr>
                <w:rFonts w:hint="eastAsia" w:ascii="仿宋_GB2312" w:hAnsi="仿宋_GB2312" w:eastAsia="仿宋_GB2312" w:cs="仿宋_GB2312"/>
                <w:b w:val="0"/>
                <w:bCs/>
                <w:color w:val="000000"/>
                <w:szCs w:val="24"/>
                <w:highlight w:val="none"/>
              </w:rPr>
            </w:pPr>
            <w:r>
              <w:rPr>
                <w:rFonts w:hint="eastAsia" w:ascii="仿宋_GB2312" w:hAnsi="仿宋_GB2312" w:eastAsia="仿宋_GB2312" w:cs="仿宋_GB2312"/>
                <w:b w:val="0"/>
                <w:bCs/>
                <w:color w:val="000000"/>
                <w:szCs w:val="24"/>
                <w:highlight w:val="none"/>
              </w:rPr>
              <w:t>2.投标人在参与政府采购活动中存在诚信相关问题且在主管部门相关处理措施实施期限内的，本项不得分，否则得满分。</w:t>
            </w:r>
          </w:p>
        </w:tc>
      </w:tr>
    </w:tbl>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2.技术能力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023"/>
        <w:gridCol w:w="603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gridSpan w:val="3"/>
            <w:vAlign w:val="center"/>
          </w:tcPr>
          <w:p>
            <w:pPr>
              <w:spacing w:line="312" w:lineRule="auto"/>
              <w:jc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项目</w:t>
            </w:r>
          </w:p>
        </w:tc>
        <w:tc>
          <w:tcPr>
            <w:tcW w:w="1314" w:type="dxa"/>
            <w:vAlign w:val="center"/>
          </w:tcPr>
          <w:p>
            <w:pPr>
              <w:spacing w:line="312" w:lineRule="auto"/>
              <w:jc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技术能力评分35分</w:t>
            </w:r>
          </w:p>
        </w:tc>
        <w:tc>
          <w:tcPr>
            <w:tcW w:w="1023"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方案</w:t>
            </w:r>
          </w:p>
          <w:p>
            <w:pPr>
              <w:spacing w:line="312" w:lineRule="auto"/>
              <w:jc w:val="cente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（15分）</w:t>
            </w:r>
          </w:p>
        </w:tc>
        <w:tc>
          <w:tcPr>
            <w:tcW w:w="6036" w:type="dxa"/>
            <w:vAlign w:val="center"/>
          </w:tcPr>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（一）评分内容</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1.对项目背景意义、工作目标等的理解深入、准确；</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2.工作内容和成果认识全面、准确；</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3.技术路线清晰合理，工作方法多样。</w:t>
            </w:r>
          </w:p>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（二）评分标准</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根据各投标人的方案的具体响应内容进行评分：</w:t>
            </w:r>
          </w:p>
          <w:p>
            <w:pPr>
              <w:snapToGrid w:val="0"/>
              <w:spacing w:line="400" w:lineRule="exact"/>
              <w:rPr>
                <w:highlight w:val="none"/>
              </w:rPr>
            </w:pPr>
            <w:r>
              <w:rPr>
                <w:rFonts w:hint="eastAsia" w:ascii="仿宋_GB2312" w:hAnsi="仿宋_GB2312" w:eastAsia="仿宋_GB2312" w:cs="仿宋_GB2312"/>
                <w:sz w:val="24"/>
                <w:highlight w:val="none"/>
              </w:rPr>
              <w:t>1.优：对项目背景意义、工作目标等的理解深入、准确。工作内容和成果深度的认识全面、准确。技术路线清晰合理，工作方法多样。得15分</w:t>
            </w:r>
            <w:r>
              <w:rPr>
                <w:rFonts w:hint="eastAsia" w:ascii="仿宋_GB2312" w:hAnsi="仿宋_GB2312" w:eastAsia="仿宋_GB2312" w:cs="仿宋_GB2312"/>
                <w:bCs/>
                <w:color w:val="000000"/>
                <w:sz w:val="24"/>
                <w:highlight w:val="none"/>
              </w:rPr>
              <w:t>；</w:t>
            </w:r>
          </w:p>
          <w:p>
            <w:pPr>
              <w:snapToGrid w:val="0"/>
              <w:spacing w:line="400" w:lineRule="exact"/>
              <w:rPr>
                <w:highlight w:val="none"/>
              </w:rPr>
            </w:pPr>
            <w:r>
              <w:rPr>
                <w:rFonts w:hint="eastAsia" w:ascii="仿宋_GB2312" w:hAnsi="仿宋_GB2312" w:eastAsia="仿宋_GB2312" w:cs="仿宋_GB2312"/>
                <w:sz w:val="24"/>
                <w:highlight w:val="none"/>
              </w:rPr>
              <w:t>2.良：对项目背景意义、工作目标等的理解准确但不够深入。工作内容和成果深度的认识准确但不够全面。技术路线清晰但合理性一般，工作方法相对较少。得11分</w:t>
            </w:r>
            <w:r>
              <w:rPr>
                <w:rFonts w:hint="eastAsia" w:ascii="仿宋_GB2312" w:hAnsi="仿宋_GB2312" w:eastAsia="仿宋_GB2312" w:cs="仿宋_GB2312"/>
                <w:bCs/>
                <w:color w:val="000000"/>
                <w:sz w:val="24"/>
                <w:highlight w:val="none"/>
              </w:rPr>
              <w:t>；</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3.中：对项目背景意义、工作目标等的理解相对不够深入、不够准确。工作内容和成果深度的认识相对不够全面、不够准确。技术路线相对不够清晰合理，工作方法单一。得7分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sz w:val="24"/>
                <w:highlight w:val="none"/>
              </w:rPr>
              <w:t>4.差：对照评分内容方案全面但和项目采购要求不符的或方案不全面的或缺少方案的。不得分。</w:t>
            </w:r>
          </w:p>
        </w:tc>
        <w:tc>
          <w:tcPr>
            <w:tcW w:w="1314"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tcPr>
          <w:p>
            <w:pPr>
              <w:pStyle w:val="6"/>
              <w:spacing w:line="312" w:lineRule="auto"/>
              <w:ind w:firstLine="480"/>
              <w:rPr>
                <w:rFonts w:hint="eastAsia" w:ascii="仿宋_GB2312" w:hAnsi="仿宋_GB2312" w:eastAsia="仿宋_GB2312" w:cs="仿宋_GB2312"/>
                <w:sz w:val="24"/>
                <w:highlight w:val="none"/>
              </w:rPr>
            </w:pPr>
          </w:p>
        </w:tc>
        <w:tc>
          <w:tcPr>
            <w:tcW w:w="1023"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重难点分析</w:t>
            </w:r>
          </w:p>
          <w:p>
            <w:pPr>
              <w:spacing w:line="312" w:lineRule="auto"/>
              <w:jc w:val="cente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（15分）</w:t>
            </w:r>
          </w:p>
        </w:tc>
        <w:tc>
          <w:tcPr>
            <w:tcW w:w="6036" w:type="dxa"/>
            <w:vAlign w:val="center"/>
          </w:tcPr>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（一）评分内容</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1.对项目重点、难点问题挖掘分析准确到位；</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2.应对措施得当，具有可操作性；</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3.相关建议合理、有针对性。</w:t>
            </w:r>
          </w:p>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（二）评分标准</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根据投标人提供的项目重点难点分析、措施或建议等响应内容评分：</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1.优：项目重点、难点问题挖掘和分析符合实际、准确到位。应对措施得当，具有可操作性或建议合理、有针对性。得15分</w:t>
            </w:r>
            <w:r>
              <w:rPr>
                <w:rFonts w:hint="eastAsia" w:ascii="仿宋_GB2312" w:hAnsi="仿宋_GB2312" w:eastAsia="仿宋_GB2312" w:cs="仿宋_GB2312"/>
                <w:bCs/>
                <w:color w:val="000000"/>
                <w:sz w:val="24"/>
                <w:highlight w:val="none"/>
              </w:rPr>
              <w:t>；</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2.良：项目重点、难点问题挖掘和分析符合实际但不够准确到位。应对措施得当，但可操作性一般或建议合理、但针对性不强。得11分</w:t>
            </w:r>
            <w:r>
              <w:rPr>
                <w:rFonts w:hint="eastAsia" w:ascii="仿宋_GB2312" w:hAnsi="仿宋_GB2312" w:eastAsia="仿宋_GB2312" w:cs="仿宋_GB2312"/>
                <w:bCs/>
                <w:color w:val="000000"/>
                <w:sz w:val="24"/>
                <w:highlight w:val="none"/>
              </w:rPr>
              <w:t>；</w:t>
            </w:r>
          </w:p>
          <w:p>
            <w:pPr>
              <w:snapToGrid w:val="0"/>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3.中：项目重点、难点问题挖掘和分析相对不够符合实际、不够准确到位。应对措施相对不够得当，相对不具有可操作性或建议相对不够合理、不够有针对性。得7分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sz w:val="24"/>
                <w:highlight w:val="none"/>
              </w:rPr>
              <w:t>4.差：对照评分内容，内容全面但和项目采购要求不符的或板块内容不全面的或完全缺少重点难点分析的。不得分。</w:t>
            </w:r>
          </w:p>
        </w:tc>
        <w:tc>
          <w:tcPr>
            <w:tcW w:w="1314" w:type="dxa"/>
            <w:vAlign w:val="center"/>
          </w:tcPr>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vMerge w:val="continue"/>
          </w:tcPr>
          <w:p>
            <w:pPr>
              <w:pStyle w:val="6"/>
              <w:spacing w:line="312" w:lineRule="auto"/>
              <w:ind w:firstLine="480"/>
              <w:rPr>
                <w:rFonts w:hint="eastAsia" w:ascii="仿宋_GB2312" w:hAnsi="仿宋_GB2312" w:eastAsia="仿宋_GB2312" w:cs="仿宋_GB2312"/>
                <w:sz w:val="24"/>
                <w:highlight w:val="none"/>
              </w:rPr>
            </w:pPr>
          </w:p>
        </w:tc>
        <w:tc>
          <w:tcPr>
            <w:tcW w:w="1023"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质量保障措施及方案（10分）</w:t>
            </w:r>
          </w:p>
        </w:tc>
        <w:tc>
          <w:tcPr>
            <w:tcW w:w="6036" w:type="dxa"/>
            <w:vAlign w:val="center"/>
          </w:tcPr>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（一）评分内容</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1.项目进度控制和沟通协调机制合理；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2.项目实施涉及的保障措施全面；</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3.项目整体质量控制有完整方案。</w:t>
            </w:r>
          </w:p>
          <w:p>
            <w:pPr>
              <w:spacing w:line="312" w:lineRule="auto"/>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（二）评分标准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根据投标人提供的项目进度控制机制、质量保障措施响应内容进行评分：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1.优：项目进度控制机制合理，项目实施涉及的质量保障措施全面、具有可行性。</w:t>
            </w:r>
            <w:r>
              <w:rPr>
                <w:rFonts w:hint="eastAsia" w:ascii="仿宋_GB2312" w:hAnsi="仿宋_GB2312" w:eastAsia="仿宋_GB2312" w:cs="仿宋_GB2312"/>
                <w:sz w:val="24"/>
                <w:highlight w:val="none"/>
              </w:rPr>
              <w:t>得10分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2.良：项目进度控制机制合理，项目实施涉及的质量保障措施相对不全面，可行性相对一般。</w:t>
            </w:r>
            <w:r>
              <w:rPr>
                <w:rFonts w:hint="eastAsia" w:ascii="仿宋_GB2312" w:hAnsi="仿宋_GB2312" w:eastAsia="仿宋_GB2312" w:cs="仿宋_GB2312"/>
                <w:sz w:val="24"/>
                <w:highlight w:val="none"/>
              </w:rPr>
              <w:t>得7分；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3.中：项目进度控制机制合理性相对一般，质量保障措施相对不全面、可行性相对一般，</w:t>
            </w:r>
            <w:r>
              <w:rPr>
                <w:rFonts w:hint="eastAsia" w:ascii="仿宋_GB2312" w:hAnsi="仿宋_GB2312" w:eastAsia="仿宋_GB2312" w:cs="仿宋_GB2312"/>
                <w:sz w:val="24"/>
                <w:highlight w:val="none"/>
              </w:rPr>
              <w:t>得4分</w:t>
            </w:r>
            <w:r>
              <w:rPr>
                <w:rFonts w:hint="eastAsia" w:ascii="仿宋_GB2312" w:hAnsi="仿宋_GB2312" w:eastAsia="仿宋_GB2312" w:cs="仿宋_GB2312"/>
                <w:bCs/>
                <w:color w:val="000000"/>
                <w:sz w:val="24"/>
                <w:highlight w:val="none"/>
              </w:rPr>
              <w:t>；</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4.差：对照评分内容，内容全面但和项目内容要求不符的或内容不全面的或没有提供项目质量保障措施的，不得分。</w:t>
            </w:r>
          </w:p>
        </w:tc>
        <w:tc>
          <w:tcPr>
            <w:tcW w:w="1314" w:type="dxa"/>
            <w:vAlign w:val="center"/>
          </w:tcPr>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bl>
    <w:p>
      <w:pPr>
        <w:spacing w:line="560" w:lineRule="exact"/>
        <w:ind w:firstLine="640" w:firstLineChars="200"/>
        <w:rPr>
          <w:rFonts w:ascii="仿宋_GB2312" w:hAnsi="Times New Roman" w:eastAsia="仿宋_GB2312"/>
          <w:bCs/>
          <w:color w:val="0C0C0C"/>
          <w:sz w:val="32"/>
          <w:szCs w:val="32"/>
          <w:highlight w:val="none"/>
        </w:rPr>
      </w:pPr>
      <w:r>
        <w:rPr>
          <w:rFonts w:hint="eastAsia" w:ascii="仿宋_GB2312" w:hAnsi="Times New Roman" w:eastAsia="仿宋_GB2312"/>
          <w:bCs/>
          <w:color w:val="0C0C0C"/>
          <w:sz w:val="32"/>
          <w:szCs w:val="32"/>
          <w:highlight w:val="none"/>
        </w:rPr>
        <w:t>3.人员配备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587"/>
        <w:gridCol w:w="5418"/>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88" w:type="dxa"/>
            <w:vMerge w:val="restart"/>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人员配备评分20分</w:t>
            </w:r>
          </w:p>
        </w:tc>
        <w:tc>
          <w:tcPr>
            <w:tcW w:w="1587" w:type="dxa"/>
            <w:vAlign w:val="center"/>
          </w:tcPr>
          <w:p>
            <w:pPr>
              <w:spacing w:line="312" w:lineRule="auto"/>
              <w:jc w:val="cente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拟安排的项目负责人情况（仅限一人）（5分）</w:t>
            </w:r>
          </w:p>
        </w:tc>
        <w:tc>
          <w:tcPr>
            <w:tcW w:w="5418" w:type="dxa"/>
            <w:vAlign w:val="center"/>
          </w:tcPr>
          <w:p>
            <w:pPr>
              <w:spacing w:line="312" w:lineRule="auto"/>
              <w:jc w:val="left"/>
              <w:rPr>
                <w:rFonts w:hint="eastAsia" w:ascii="仿宋_GB2312" w:hAnsi="仿宋_GB2312" w:eastAsia="仿宋_GB2312" w:cs="仿宋_GB2312"/>
                <w:bCs/>
                <w:color w:val="000000"/>
                <w:sz w:val="24"/>
                <w:highlight w:val="none"/>
                <w:lang w:bidi="ar"/>
              </w:rPr>
            </w:pPr>
            <w:r>
              <w:rPr>
                <w:rFonts w:hint="eastAsia" w:ascii="仿宋_GB2312" w:hAnsi="仿宋_GB2312" w:eastAsia="仿宋_GB2312" w:cs="仿宋_GB2312"/>
                <w:bCs/>
                <w:color w:val="000000"/>
                <w:sz w:val="24"/>
                <w:highlight w:val="none"/>
                <w:lang w:bidi="ar"/>
              </w:rPr>
              <w:t>拟安排的项目负责人须为投标单位的在岗项目成员（高校、科研院所可提供由单位出具的任职、聘任证明材料；企业可提供社保证明等材料）。如无法提供有效证明材料，本项不得分。</w:t>
            </w:r>
          </w:p>
          <w:p>
            <w:pPr>
              <w:spacing w:line="312" w:lineRule="auto"/>
              <w:jc w:val="left"/>
              <w:rPr>
                <w:rFonts w:hint="eastAsia" w:ascii="仿宋_GB2312" w:hAnsi="仿宋_GB2312" w:eastAsia="仿宋_GB2312" w:cs="仿宋_GB2312"/>
                <w:bCs/>
                <w:color w:val="000000"/>
                <w:sz w:val="24"/>
                <w:highlight w:val="none"/>
                <w:lang w:bidi="ar"/>
              </w:rPr>
            </w:pPr>
            <w:r>
              <w:rPr>
                <w:rFonts w:hint="eastAsia" w:ascii="仿宋_GB2312" w:hAnsi="仿宋_GB2312" w:eastAsia="仿宋_GB2312" w:cs="仿宋_GB2312"/>
                <w:bCs/>
                <w:color w:val="000000"/>
                <w:sz w:val="24"/>
                <w:highlight w:val="none"/>
                <w:lang w:bidi="ar"/>
              </w:rPr>
              <w:t>项目负责人应具备以下条件：①.硕士研究生及以上学历；②.经济、管理、规划、区域发展、环境等相关专业的中级及以上职称或具有博士学位）；③.经济、管理、规划、区域发展、环境等相关专业的高级职称（或具有博士后科研工作经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bidi="ar"/>
              </w:rPr>
              <w:t>满足上述第三项条件的，得 5 分；满足第二项条件的</w:t>
            </w:r>
            <w:bookmarkStart w:id="0" w:name="_GoBack"/>
            <w:bookmarkEnd w:id="0"/>
            <w:r>
              <w:rPr>
                <w:rFonts w:hint="eastAsia" w:ascii="仿宋_GB2312" w:hAnsi="仿宋_GB2312" w:eastAsia="仿宋_GB2312" w:cs="仿宋_GB2312"/>
                <w:bCs/>
                <w:color w:val="000000"/>
                <w:sz w:val="24"/>
                <w:highlight w:val="none"/>
                <w:lang w:bidi="ar"/>
              </w:rPr>
              <w:t>，得 3 分；满足第一项条件的，得1分，其他情况，不得分。</w:t>
            </w:r>
          </w:p>
        </w:tc>
        <w:tc>
          <w:tcPr>
            <w:tcW w:w="1368"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tcPr>
          <w:p>
            <w:pPr>
              <w:pStyle w:val="6"/>
              <w:spacing w:line="312" w:lineRule="auto"/>
              <w:ind w:firstLine="480"/>
              <w:rPr>
                <w:rFonts w:hint="eastAsia" w:ascii="仿宋_GB2312" w:hAnsi="仿宋_GB2312" w:eastAsia="仿宋_GB2312" w:cs="仿宋_GB2312"/>
                <w:sz w:val="24"/>
                <w:highlight w:val="none"/>
              </w:rPr>
            </w:pPr>
          </w:p>
        </w:tc>
        <w:tc>
          <w:tcPr>
            <w:tcW w:w="1587"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拟安排的项目主要团队成员（主要技术人员）情况（项目负责人除外）（15分）</w:t>
            </w:r>
          </w:p>
        </w:tc>
        <w:tc>
          <w:tcPr>
            <w:tcW w:w="5418" w:type="dxa"/>
            <w:vAlign w:val="center"/>
          </w:tcPr>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拟安排的项目成员可包括单位人员（企业需提供社保证明）、退休返聘人员（需提供聘用合同等证明）或长期聘请的研究生类实习生（需提供实习证明等）；高校和科研院所可提供任职证明、项目聘任证明等能够证明成员隶属关系的材料。如无法提供有效证明材料，本项不得分。</w:t>
            </w:r>
          </w:p>
          <w:p>
            <w:pPr>
              <w:spacing w:line="312" w:lineRule="auto"/>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项目团队成员不少于 5 名，不足 5 名不得分。团队成员评分标准：①团队成员具有经济、管理、规划、区域发展、环境等中级（及以上）专业技术职称人员或具有硕士、博士学位的成员不少于5人，得 15 分；②具有经济、管理、规划、区域发展、环境等中级（及以上）专业技术职称或硕士（含在读）、博士学历学位的成员不少于 3 人，得 10 分；③具有经济、管理、规划、区域发展、环境等中级（及以上）专业技术职称或硕士学历学位的成员不少于 2 人，得 5 分；其他情况不得分。</w:t>
            </w:r>
          </w:p>
        </w:tc>
        <w:tc>
          <w:tcPr>
            <w:tcW w:w="1368" w:type="dxa"/>
            <w:vAlign w:val="center"/>
          </w:tcPr>
          <w:p>
            <w:pPr>
              <w:spacing w:line="312" w:lineRule="auto"/>
              <w:jc w:val="cente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采购评审小组评分</w:t>
            </w:r>
          </w:p>
        </w:tc>
      </w:tr>
    </w:tbl>
    <w:p>
      <w:pPr>
        <w:spacing w:line="560" w:lineRule="exact"/>
        <w:ind w:firstLine="640" w:firstLineChars="200"/>
        <w:rPr>
          <w:rFonts w:ascii="仿宋_GB2312" w:hAnsi="Times New Roman" w:eastAsia="仿宋_GB2312"/>
          <w:bCs/>
          <w:color w:val="0C0C0C"/>
          <w:sz w:val="32"/>
          <w:szCs w:val="32"/>
          <w:highlight w:val="none"/>
          <w:lang w:val="en"/>
        </w:rPr>
      </w:pPr>
      <w:r>
        <w:rPr>
          <w:rFonts w:hint="eastAsia" w:ascii="仿宋_GB2312" w:hAnsi="Times New Roman" w:eastAsia="仿宋_GB2312"/>
          <w:bCs/>
          <w:color w:val="0C0C0C"/>
          <w:sz w:val="32"/>
          <w:szCs w:val="32"/>
          <w:highlight w:val="none"/>
          <w:lang w:val="en"/>
        </w:rPr>
        <w:t>4.报价</w:t>
      </w:r>
    </w:p>
    <w:p>
      <w:pPr>
        <w:spacing w:line="560" w:lineRule="exact"/>
        <w:ind w:firstLine="640" w:firstLineChars="200"/>
        <w:rPr>
          <w:rFonts w:hint="eastAsia" w:ascii="仿宋_GB2312" w:hAnsi="Times New Roman" w:eastAsia="仿宋_GB2312" w:cs="Times New Roman"/>
          <w:bCs/>
          <w:color w:val="0C0C0C"/>
          <w:sz w:val="32"/>
          <w:szCs w:val="32"/>
          <w:lang w:val="en"/>
        </w:rPr>
      </w:pPr>
      <w:r>
        <w:rPr>
          <w:rFonts w:hint="eastAsia" w:ascii="仿宋_GB2312" w:hAnsi="Times New Roman" w:eastAsia="仿宋_GB2312"/>
          <w:bCs/>
          <w:color w:val="0C0C0C"/>
          <w:sz w:val="32"/>
          <w:szCs w:val="32"/>
          <w:highlight w:val="none"/>
          <w:lang w:val="en"/>
        </w:rPr>
        <w:t>投标报价不得超过项目预算金额。以投标人所报的有效报价中的最低价作为基准价，各投标人报价得分=（基准价/投标人报价）*20分</w:t>
      </w:r>
      <w:r>
        <w:rPr>
          <w:rFonts w:hint="eastAsia" w:ascii="仿宋_GB2312" w:hAnsi="Times New Roman" w:eastAsia="仿宋_GB2312" w:cs="Times New Roman"/>
          <w:bCs/>
          <w:color w:val="0C0C0C"/>
          <w:sz w:val="32"/>
          <w:szCs w:val="32"/>
          <w:lang w:val="en"/>
        </w:rPr>
        <w:t>。</w:t>
      </w:r>
    </w:p>
    <w:p>
      <w:pPr>
        <w:spacing w:line="560" w:lineRule="exact"/>
        <w:ind w:firstLine="640" w:firstLineChars="200"/>
        <w:rPr>
          <w:rFonts w:hint="eastAsia" w:ascii="仿宋_GB2312" w:hAnsi="Times New Roman" w:eastAsia="仿宋_GB2312" w:cs="Times New Roman"/>
          <w:bCs/>
          <w:color w:val="0C0C0C"/>
          <w:sz w:val="32"/>
          <w:szCs w:val="32"/>
          <w:lang w:val="en"/>
        </w:rPr>
      </w:pPr>
    </w:p>
    <w:p>
      <w:pPr>
        <w:adjustRightInd w:val="0"/>
        <w:snapToGrid w:val="0"/>
        <w:spacing w:line="560" w:lineRule="exact"/>
        <w:ind w:firstLine="640" w:firstLineChars="200"/>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附件：</w:t>
      </w:r>
      <w:r>
        <w:rPr>
          <w:rFonts w:hint="eastAsia" w:ascii="仿宋_GB2312" w:hAnsi="宋体" w:eastAsia="仿宋_GB2312" w:cs="仿宋_GB2312"/>
          <w:color w:val="0D0D0D" w:themeColor="text1" w:themeTint="F2"/>
          <w:sz w:val="32"/>
          <w:szCs w:val="22"/>
          <w:lang w:val="en-US" w:eastAsia="zh-CN"/>
          <w14:textFill>
            <w14:solidFill>
              <w14:schemeClr w14:val="tx1">
                <w14:lumMod w14:val="95000"/>
                <w14:lumOff w14:val="5000"/>
              </w14:schemeClr>
            </w14:solidFill>
          </w14:textFill>
        </w:rPr>
        <w:t>1.</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投标及履约承诺函</w:t>
      </w:r>
    </w:p>
    <w:p>
      <w:pPr>
        <w:adjustRightInd w:val="0"/>
        <w:snapToGrid w:val="0"/>
        <w:spacing w:line="560" w:lineRule="exact"/>
        <w:ind w:firstLine="1600" w:firstLineChars="500"/>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lang w:val="en-US" w:eastAsia="zh-CN"/>
          <w14:textFill>
            <w14:solidFill>
              <w14:schemeClr w14:val="tx1">
                <w14:lumMod w14:val="95000"/>
                <w14:lumOff w14:val="5000"/>
              </w14:schemeClr>
            </w14:solidFill>
          </w14:textFill>
        </w:rPr>
        <w:t>2.</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供应商基本情况表</w:t>
      </w:r>
    </w:p>
    <w:p>
      <w:pPr>
        <w:pStyle w:val="6"/>
      </w:pPr>
    </w:p>
    <w:p>
      <w:pPr>
        <w:spacing w:line="460" w:lineRule="exact"/>
        <w:jc w:val="left"/>
        <w:rPr>
          <w:rFonts w:hint="eastAsia" w:ascii="仿宋_GB2312" w:hAnsi="宋体" w:eastAsia="黑体" w:cs="仿宋_GB2312"/>
          <w:color w:val="0D0D0D" w:themeColor="text1" w:themeTint="F2"/>
          <w:sz w:val="32"/>
          <w:szCs w:val="22"/>
          <w:lang w:val="en-US" w:eastAsia="zh-CN"/>
          <w14:textFill>
            <w14:solidFill>
              <w14:schemeClr w14:val="tx1">
                <w14:lumMod w14:val="95000"/>
                <w14:lumOff w14:val="5000"/>
              </w14:schemeClr>
            </w14:solidFill>
          </w14:textFill>
        </w:rPr>
      </w:pP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lang w:val="en"/>
          <w14:textFill>
            <w14:solidFill>
              <w14:schemeClr w14:val="tx1">
                <w14:lumMod w14:val="95000"/>
                <w14:lumOff w14:val="5000"/>
              </w14:schemeClr>
            </w14:solidFill>
          </w14:textFill>
        </w:rPr>
        <w:t>附件</w:t>
      </w:r>
      <w:r>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t>1</w:t>
      </w: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44"/>
          <w:szCs w:val="44"/>
          <w14:textFill>
            <w14:solidFill>
              <w14:schemeClr w14:val="tx1">
                <w14:lumMod w14:val="95000"/>
                <w14:lumOff w14:val="5000"/>
              </w14:schemeClr>
            </w14:solidFill>
          </w14:textFill>
        </w:rPr>
        <w:t>投标及履约承诺函</w:t>
      </w: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我单位承诺：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1.依法缴纳税收和社会保障资金。具备项目所必需的人员和专业技术能力。参加政府采购活动前三年内在经营活动中没有重大违法记录。</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2.对本招标项目所提供的服务未侵犯知识产权。</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4</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.如果中标，做到守信，不偷工减料，依照本项目招标文件需求内容、签署的采购合同及在投标中所作的一切承诺履约。项目验收达到全部指标合格，力争优良。</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5</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.我单位已认真阅读本项目需求，我单位承诺按时递交标书。</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6</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.我单位承诺不非法转包或分包。</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以上承诺，如有违反，愿依照国家相关法律处理，并承担由此给采购人带来的损失。</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承诺投标人：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单位地址：</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法定代表人或其委托代理人：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联系电话：</w:t>
      </w:r>
    </w:p>
    <w:p>
      <w:pPr>
        <w:spacing w:line="460" w:lineRule="exact"/>
        <w:ind w:firstLine="640" w:firstLineChars="200"/>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Times New Roman" w:eastAsia="仿宋_GB2312" w:cs="仿宋_GB2312"/>
          <w:color w:val="0D0D0D" w:themeColor="text1" w:themeTint="F2"/>
          <w:sz w:val="32"/>
          <w:szCs w:val="22"/>
          <w14:textFill>
            <w14:solidFill>
              <w14:schemeClr w14:val="tx1">
                <w14:lumMod w14:val="95000"/>
                <w14:lumOff w14:val="5000"/>
              </w14:schemeClr>
            </w14:solidFill>
          </w14:textFill>
        </w:rPr>
        <w:t xml:space="preserve">日期：   年   月   日  </w:t>
      </w:r>
      <w: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t xml:space="preserve"> </w:t>
      </w:r>
    </w:p>
    <w:p>
      <w:pP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br w:type="page"/>
      </w:r>
    </w:p>
    <w:p>
      <w:pPr>
        <w:pStyle w:val="27"/>
        <w:keepNext w:val="0"/>
        <w:keepLines w:val="0"/>
        <w:pageBreakBefore w:val="0"/>
        <w:kinsoku/>
        <w:wordWrap/>
        <w:topLinePunct w:val="0"/>
        <w:bidi w:val="0"/>
        <w:adjustRightInd/>
        <w:spacing w:beforeAutospacing="0" w:afterAutospacing="0" w:line="560" w:lineRule="exact"/>
        <w:ind w:firstLine="0" w:firstLineChars="0"/>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pPr>
        <w:pStyle w:val="9"/>
        <w:snapToGrid w:val="0"/>
        <w:spacing w:before="0" w:after="0" w:line="560" w:lineRule="exact"/>
        <w:rPr>
          <w:rFonts w:hint="eastAsia" w:ascii="宋体" w:hAnsi="宋体" w:eastAsia="宋体" w:cs="宋体"/>
          <w:b/>
          <w:bCs/>
          <w:color w:val="0D0D0D" w:themeColor="text1" w:themeTint="F2"/>
          <w:kern w:val="2"/>
          <w:sz w:val="44"/>
          <w:szCs w:val="44"/>
          <w:lang w:val="en-US" w:eastAsia="zh-CN" w:bidi="ar-SA"/>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2"/>
          <w:sz w:val="44"/>
          <w:szCs w:val="44"/>
          <w:lang w:val="en-US" w:eastAsia="zh-CN" w:bidi="ar-SA"/>
          <w14:textFill>
            <w14:solidFill>
              <w14:schemeClr w14:val="tx1">
                <w14:lumMod w14:val="95000"/>
                <w14:lumOff w14:val="5000"/>
              </w14:schemeClr>
            </w14:solidFill>
          </w14:textFill>
        </w:rPr>
        <w:t>供应商基本情况表</w:t>
      </w:r>
    </w:p>
    <w:p>
      <w:pPr>
        <w:spacing w:line="56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9"/>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tcBorders>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beforeLines="0" w:afterLines="0"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pStyle w:val="6"/>
              <w:snapToGrid w:val="0"/>
              <w:spacing w:line="240" w:lineRule="auto"/>
              <w:ind w:left="0" w:leftChars="0" w:firstLine="0"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27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37" w:type="dxa"/>
            <w:gridSpan w:val="8"/>
            <w:noWrap w:val="0"/>
            <w:vAlign w:val="center"/>
          </w:tcPr>
          <w:p>
            <w:pPr>
              <w:spacing w:line="240" w:lineRule="auto"/>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bottom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12"/>
        <w:rPr>
          <w:rFonts w:hint="eastAsia"/>
          <w:lang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0000500000000020000"/>
    <w:charset w:val="00"/>
    <w:family w:val="roman"/>
    <w:pitch w:val="default"/>
    <w:sig w:usb0="00000000" w:usb1="00000000" w:usb2="00000000" w:usb3="00000000" w:csb0="2000019F" w:csb1="4F01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TU3ZDY1Nzg1ZTNiNDYyNzY5Y2M0MmVlOTgyMjgifQ=="/>
    <w:docVar w:name="KSO_WPS_MARK_KEY" w:val="35481cc0-76d0-410b-b20a-8bacd7d23770"/>
  </w:docVars>
  <w:rsids>
    <w:rsidRoot w:val="FE7FCCCB"/>
    <w:rsid w:val="054A3917"/>
    <w:rsid w:val="07C75183"/>
    <w:rsid w:val="0C57284E"/>
    <w:rsid w:val="0CF7C9CD"/>
    <w:rsid w:val="0F8B5083"/>
    <w:rsid w:val="19F7AB19"/>
    <w:rsid w:val="1B7E63F5"/>
    <w:rsid w:val="1DFEFE21"/>
    <w:rsid w:val="1EF02DBA"/>
    <w:rsid w:val="24E24F53"/>
    <w:rsid w:val="25053EA9"/>
    <w:rsid w:val="26B257AF"/>
    <w:rsid w:val="2B6FDDCC"/>
    <w:rsid w:val="2B77C6A7"/>
    <w:rsid w:val="2BDF91EB"/>
    <w:rsid w:val="2D9F696D"/>
    <w:rsid w:val="2E8FC8B7"/>
    <w:rsid w:val="2FED912B"/>
    <w:rsid w:val="30E17BCF"/>
    <w:rsid w:val="33AFFEFC"/>
    <w:rsid w:val="353C5579"/>
    <w:rsid w:val="36CFE30D"/>
    <w:rsid w:val="37CE779B"/>
    <w:rsid w:val="395068B1"/>
    <w:rsid w:val="3A2D2935"/>
    <w:rsid w:val="3B42756B"/>
    <w:rsid w:val="3BF5870C"/>
    <w:rsid w:val="3CFFC8D0"/>
    <w:rsid w:val="3D731DFB"/>
    <w:rsid w:val="3D7FB8E2"/>
    <w:rsid w:val="3DBFE9C2"/>
    <w:rsid w:val="3DFF9564"/>
    <w:rsid w:val="3ECF8681"/>
    <w:rsid w:val="3ECFD585"/>
    <w:rsid w:val="3EFD6A22"/>
    <w:rsid w:val="3F5F5440"/>
    <w:rsid w:val="3F7F6DC4"/>
    <w:rsid w:val="3FCDAF46"/>
    <w:rsid w:val="42CF5C44"/>
    <w:rsid w:val="472F3348"/>
    <w:rsid w:val="496D6C31"/>
    <w:rsid w:val="4DDA1989"/>
    <w:rsid w:val="4EBFC045"/>
    <w:rsid w:val="4F771699"/>
    <w:rsid w:val="50F9B51C"/>
    <w:rsid w:val="53880583"/>
    <w:rsid w:val="564F50D7"/>
    <w:rsid w:val="57CB39F7"/>
    <w:rsid w:val="5AE07BE8"/>
    <w:rsid w:val="5BFB53B9"/>
    <w:rsid w:val="5CFCD960"/>
    <w:rsid w:val="5DF7F320"/>
    <w:rsid w:val="5DF7FCAF"/>
    <w:rsid w:val="5ED8AEC1"/>
    <w:rsid w:val="5EDB6203"/>
    <w:rsid w:val="5EE52E1D"/>
    <w:rsid w:val="5F7E3F9B"/>
    <w:rsid w:val="5FAE3B07"/>
    <w:rsid w:val="5FDBAD09"/>
    <w:rsid w:val="5FFBF03C"/>
    <w:rsid w:val="62B63680"/>
    <w:rsid w:val="62F43AEE"/>
    <w:rsid w:val="639421D0"/>
    <w:rsid w:val="63E539CF"/>
    <w:rsid w:val="65FA70CA"/>
    <w:rsid w:val="66758732"/>
    <w:rsid w:val="668227E1"/>
    <w:rsid w:val="66853E1C"/>
    <w:rsid w:val="677FB122"/>
    <w:rsid w:val="6ACF41A4"/>
    <w:rsid w:val="6B4B1BCA"/>
    <w:rsid w:val="6BE97F42"/>
    <w:rsid w:val="6BF73BED"/>
    <w:rsid w:val="6EDE7B21"/>
    <w:rsid w:val="6FAF1160"/>
    <w:rsid w:val="6FFBFF42"/>
    <w:rsid w:val="72710C91"/>
    <w:rsid w:val="72DF89E2"/>
    <w:rsid w:val="732E26DE"/>
    <w:rsid w:val="732F2D98"/>
    <w:rsid w:val="74E8EE1C"/>
    <w:rsid w:val="75EE50AB"/>
    <w:rsid w:val="7776B2B1"/>
    <w:rsid w:val="77DF1DEA"/>
    <w:rsid w:val="77FBAB40"/>
    <w:rsid w:val="77FDB132"/>
    <w:rsid w:val="79DF93AB"/>
    <w:rsid w:val="79FF8771"/>
    <w:rsid w:val="7A664E53"/>
    <w:rsid w:val="7BBF2C31"/>
    <w:rsid w:val="7BCFCB66"/>
    <w:rsid w:val="7BFA14DA"/>
    <w:rsid w:val="7BFE4136"/>
    <w:rsid w:val="7CE792F9"/>
    <w:rsid w:val="7D6FFE43"/>
    <w:rsid w:val="7DDF65C1"/>
    <w:rsid w:val="7DEABAB3"/>
    <w:rsid w:val="7E2EA836"/>
    <w:rsid w:val="7EDFC2CA"/>
    <w:rsid w:val="7EE629F6"/>
    <w:rsid w:val="7EE77258"/>
    <w:rsid w:val="7EFDDAAB"/>
    <w:rsid w:val="7F5BA9E8"/>
    <w:rsid w:val="7F634685"/>
    <w:rsid w:val="7F9F6E1B"/>
    <w:rsid w:val="7FF62093"/>
    <w:rsid w:val="7FFDFC7C"/>
    <w:rsid w:val="7FFEBB31"/>
    <w:rsid w:val="7FFFF3E1"/>
    <w:rsid w:val="8F8B2A04"/>
    <w:rsid w:val="9EF69204"/>
    <w:rsid w:val="9EFCAA08"/>
    <w:rsid w:val="A7FD9ACF"/>
    <w:rsid w:val="ABBDB696"/>
    <w:rsid w:val="AFFDF856"/>
    <w:rsid w:val="AFFF7A50"/>
    <w:rsid w:val="B4DD53A8"/>
    <w:rsid w:val="BBEF8E03"/>
    <w:rsid w:val="BEDF2168"/>
    <w:rsid w:val="BEEE8D1A"/>
    <w:rsid w:val="BF5F5A9E"/>
    <w:rsid w:val="BF7B7456"/>
    <w:rsid w:val="BFFA6BDE"/>
    <w:rsid w:val="BFFB79C9"/>
    <w:rsid w:val="BFFC4975"/>
    <w:rsid w:val="C4D1B424"/>
    <w:rsid w:val="C9FF36FF"/>
    <w:rsid w:val="CFF50384"/>
    <w:rsid w:val="D63B044F"/>
    <w:rsid w:val="D79F998B"/>
    <w:rsid w:val="DBBB9BFE"/>
    <w:rsid w:val="DBFB7EF4"/>
    <w:rsid w:val="DC7F2056"/>
    <w:rsid w:val="DCBF4392"/>
    <w:rsid w:val="DF7FD5BF"/>
    <w:rsid w:val="DFFF961E"/>
    <w:rsid w:val="E39F24A0"/>
    <w:rsid w:val="E77F129C"/>
    <w:rsid w:val="E7F58E40"/>
    <w:rsid w:val="E7F743F4"/>
    <w:rsid w:val="EBAFFCB2"/>
    <w:rsid w:val="EF0DC4FA"/>
    <w:rsid w:val="EF960AC1"/>
    <w:rsid w:val="EFEC9B19"/>
    <w:rsid w:val="EFFF24A9"/>
    <w:rsid w:val="F1BC263A"/>
    <w:rsid w:val="F1FFD1CF"/>
    <w:rsid w:val="F57348A6"/>
    <w:rsid w:val="F57633AA"/>
    <w:rsid w:val="F59FEE4B"/>
    <w:rsid w:val="F77F638C"/>
    <w:rsid w:val="F7FE35C1"/>
    <w:rsid w:val="F9FF484D"/>
    <w:rsid w:val="FA7FF16E"/>
    <w:rsid w:val="FAFF878D"/>
    <w:rsid w:val="FB877040"/>
    <w:rsid w:val="FB9DD758"/>
    <w:rsid w:val="FD367460"/>
    <w:rsid w:val="FD6F8556"/>
    <w:rsid w:val="FD776DAA"/>
    <w:rsid w:val="FDF75B41"/>
    <w:rsid w:val="FDFFF864"/>
    <w:rsid w:val="FE3E45D3"/>
    <w:rsid w:val="FE7B2F42"/>
    <w:rsid w:val="FE7FCCCB"/>
    <w:rsid w:val="FE9F9E19"/>
    <w:rsid w:val="FEDD8928"/>
    <w:rsid w:val="FEF71730"/>
    <w:rsid w:val="FEFB99B9"/>
    <w:rsid w:val="FEFF5234"/>
    <w:rsid w:val="FF6FD709"/>
    <w:rsid w:val="FFA8FBA9"/>
    <w:rsid w:val="FFD74B8F"/>
    <w:rsid w:val="FFDFC6EA"/>
    <w:rsid w:val="FFED3EDE"/>
    <w:rsid w:val="FFFB915B"/>
    <w:rsid w:val="FFFFE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jc w:val="left"/>
      <w:outlineLvl w:val="0"/>
    </w:pPr>
    <w:rPr>
      <w:rFonts w:ascii="Arial" w:hAnsi="Arial" w:eastAsia="黑体" w:cs="Times New Roman"/>
      <w:kern w:val="44"/>
      <w:szCs w:val="22"/>
    </w:rPr>
  </w:style>
  <w:style w:type="paragraph" w:styleId="3">
    <w:name w:val="heading 2"/>
    <w:basedOn w:val="1"/>
    <w:next w:val="1"/>
    <w:unhideWhenUsed/>
    <w:qFormat/>
    <w:uiPriority w:val="0"/>
    <w:pPr>
      <w:keepNext/>
      <w:keepLines/>
      <w:outlineLvl w:val="1"/>
    </w:pPr>
    <w:rPr>
      <w:rFonts w:ascii="Calibri Light" w:hAnsi="Calibri Light" w:eastAsia="楷体" w:cs="Times New Roman"/>
      <w:bCs/>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0"/>
    <w:pPr>
      <w:spacing w:line="360" w:lineRule="auto"/>
      <w:ind w:firstLine="640" w:firstLineChars="200"/>
    </w:pPr>
    <w:rPr>
      <w:rFonts w:ascii="宋体" w:hAnsi="宋体" w:eastAsia="宋体"/>
    </w:rPr>
  </w:style>
  <w:style w:type="paragraph" w:styleId="7">
    <w:name w:val="annotation text"/>
    <w:basedOn w:val="1"/>
    <w:unhideWhenUsed/>
    <w:qFormat/>
    <w:uiPriority w:val="0"/>
    <w:pPr>
      <w:adjustRightInd/>
      <w:snapToGrid/>
      <w:spacing w:line="240" w:lineRule="auto"/>
      <w:ind w:firstLine="0" w:firstLineChars="0"/>
      <w:jc w:val="left"/>
    </w:pPr>
    <w:rPr>
      <w:rFonts w:ascii="Calibri" w:hAnsi="Calibri" w:eastAsia="宋体"/>
      <w:sz w:val="21"/>
      <w:szCs w:val="21"/>
    </w:rPr>
  </w:style>
  <w:style w:type="paragraph" w:styleId="8">
    <w:name w:val="Body Text"/>
    <w:basedOn w:val="1"/>
    <w:next w:val="9"/>
    <w:unhideWhenUsed/>
    <w:qFormat/>
    <w:uiPriority w:val="99"/>
    <w:pPr>
      <w:spacing w:after="120"/>
    </w:pPr>
  </w:style>
  <w:style w:type="paragraph" w:styleId="9">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0">
    <w:name w:val="Body Text Indent"/>
    <w:basedOn w:val="1"/>
    <w:unhideWhenUsed/>
    <w:qFormat/>
    <w:uiPriority w:val="99"/>
    <w:pPr>
      <w:spacing w:after="120"/>
      <w:ind w:left="420" w:leftChars="200"/>
    </w:p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next w:val="5"/>
    <w:unhideWhenUsed/>
    <w:qFormat/>
    <w:uiPriority w:val="99"/>
    <w:rPr>
      <w:rFonts w:ascii="宋体" w:hAnsi="Courier New" w:cs="Courier New"/>
      <w:szCs w:val="21"/>
    </w:rPr>
  </w:style>
  <w:style w:type="paragraph" w:styleId="13">
    <w:name w:val="footer"/>
    <w:basedOn w:val="1"/>
    <w:unhideWhenUsed/>
    <w:qFormat/>
    <w:uiPriority w:val="99"/>
    <w:pPr>
      <w:tabs>
        <w:tab w:val="center" w:pos="4153"/>
        <w:tab w:val="right" w:pos="8306"/>
      </w:tabs>
      <w:jc w:val="left"/>
    </w:pPr>
    <w:rPr>
      <w:rFonts w:ascii="Calibri" w:hAnsi="Calibri" w:eastAsia="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Body Text First Indent 2"/>
    <w:basedOn w:val="10"/>
    <w:qFormat/>
    <w:uiPriority w:val="0"/>
    <w:pPr>
      <w:ind w:firstLine="420" w:firstLineChars="200"/>
    </w:pPr>
    <w:rPr>
      <w:rFonts w:ascii="??" w:hAnsi="??"/>
      <w:szCs w:val="22"/>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pPr>
  </w:style>
  <w:style w:type="paragraph" w:customStyle="1" w:styleId="24">
    <w:name w:val="USE 1"/>
    <w:basedOn w:val="1"/>
    <w:qFormat/>
    <w:uiPriority w:val="0"/>
    <w:pPr>
      <w:spacing w:line="200" w:lineRule="atLeast"/>
      <w:jc w:val="left"/>
    </w:pPr>
    <w:rPr>
      <w:rFonts w:ascii="宋体" w:hAnsi="宋体"/>
      <w:b/>
      <w:sz w:val="24"/>
      <w:szCs w:val="28"/>
    </w:rPr>
  </w:style>
  <w:style w:type="character" w:customStyle="1" w:styleId="25">
    <w:name w:val="font11"/>
    <w:basedOn w:val="20"/>
    <w:qFormat/>
    <w:uiPriority w:val="0"/>
    <w:rPr>
      <w:rFonts w:hint="eastAsia" w:ascii="仿宋_GB2312" w:eastAsia="仿宋_GB2312" w:cs="仿宋_GB2312"/>
      <w:b/>
      <w:bCs/>
      <w:color w:val="000000"/>
      <w:sz w:val="28"/>
      <w:szCs w:val="28"/>
      <w:u w:val="none"/>
    </w:rPr>
  </w:style>
  <w:style w:type="character" w:customStyle="1" w:styleId="26">
    <w:name w:val="font21"/>
    <w:basedOn w:val="20"/>
    <w:qFormat/>
    <w:uiPriority w:val="0"/>
    <w:rPr>
      <w:rFonts w:hint="eastAsia" w:ascii="仿宋_GB2312" w:eastAsia="仿宋_GB2312" w:cs="仿宋_GB2312"/>
      <w:color w:val="000000"/>
      <w:sz w:val="28"/>
      <w:szCs w:val="28"/>
      <w:u w:val="none"/>
    </w:rPr>
  </w:style>
  <w:style w:type="paragraph" w:customStyle="1" w:styleId="27">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12054</Words>
  <Characters>12612</Characters>
  <Lines>0</Lines>
  <Paragraphs>0</Paragraphs>
  <TotalTime>56</TotalTime>
  <ScaleCrop>false</ScaleCrop>
  <LinksUpToDate>false</LinksUpToDate>
  <CharactersWithSpaces>12635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zzc</dc:creator>
  <cp:lastModifiedBy>oyh</cp:lastModifiedBy>
  <cp:lastPrinted>2025-11-26T15:40:00Z</cp:lastPrinted>
  <dcterms:modified xsi:type="dcterms:W3CDTF">2026-01-28T14:46:33Z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380CF40A563CA4CF9F1729691E8B369D</vt:lpwstr>
  </property>
</Properties>
</file>