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2026年全国计划单列五城市第六届元老</w:t>
      </w: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网球团体赛</w:t>
      </w:r>
      <w:r>
        <w:rPr>
          <w:rFonts w:hint="eastAsia" w:ascii="方正小标宋简体" w:hAnsi="方正小标宋简体" w:eastAsia="方正小标宋简体" w:cs="方正小标宋简体"/>
          <w:color w:val="auto"/>
          <w:sz w:val="44"/>
          <w:szCs w:val="44"/>
        </w:rPr>
        <w:t>项目需求书</w:t>
      </w:r>
    </w:p>
    <w:p>
      <w:pPr>
        <w:pStyle w:val="9"/>
        <w:spacing w:line="560" w:lineRule="exact"/>
        <w:jc w:val="center"/>
        <w:rPr>
          <w:rFonts w:ascii="方正小标宋简体" w:hAnsi="方正小标宋简体" w:eastAsia="方正小标宋简体" w:cs="方正小标宋简体"/>
          <w:color w:val="auto"/>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olor w:val="auto"/>
          <w:lang w:eastAsia="zh-CN"/>
        </w:rPr>
      </w:pPr>
      <w:r>
        <w:rPr>
          <w:rFonts w:hint="eastAsia" w:ascii="仿宋_GB2312" w:hAnsi="仿宋" w:eastAsia="仿宋_GB2312" w:cs="仿宋"/>
          <w:color w:val="auto"/>
          <w:kern w:val="2"/>
          <w:sz w:val="32"/>
          <w:szCs w:val="32"/>
          <w:lang w:val="en-US" w:eastAsia="zh-CN" w:bidi="ar-SA"/>
        </w:rPr>
        <w:t>完成</w:t>
      </w:r>
      <w:r>
        <w:rPr>
          <w:rFonts w:hint="eastAsia" w:ascii="仿宋_GB2312" w:hAnsi="仿宋_GB2312" w:eastAsia="仿宋_GB2312" w:cs="仿宋_GB2312"/>
          <w:i w:val="0"/>
          <w:caps w:val="0"/>
          <w:color w:val="auto"/>
          <w:spacing w:val="8"/>
          <w:kern w:val="2"/>
          <w:sz w:val="32"/>
          <w:szCs w:val="32"/>
          <w:lang w:val="en-US" w:eastAsia="zh-CN" w:bidi="ar-SA"/>
        </w:rPr>
        <w:t>2026年全国计划单列五城市第六届元老网球团体赛</w:t>
      </w:r>
      <w:r>
        <w:rPr>
          <w:rFonts w:hint="eastAsia" w:ascii="仿宋_GB2312" w:hAnsi="仿宋" w:eastAsia="仿宋_GB2312" w:cs="仿宋"/>
          <w:color w:val="auto"/>
          <w:kern w:val="2"/>
          <w:sz w:val="32"/>
          <w:szCs w:val="32"/>
          <w:lang w:val="en-US" w:eastAsia="zh-CN" w:bidi="ar-SA"/>
        </w:rPr>
        <w:t>项目落地执行。</w:t>
      </w:r>
    </w:p>
    <w:p>
      <w:pPr>
        <w:tabs>
          <w:tab w:val="left" w:pos="1820"/>
        </w:tabs>
        <w:snapToGrid w:val="0"/>
        <w:spacing w:line="560" w:lineRule="exact"/>
        <w:ind w:firstLine="640" w:firstLineChars="200"/>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二、</w:t>
      </w:r>
      <w:r>
        <w:rPr>
          <w:rFonts w:hint="eastAsia" w:ascii="黑体" w:hAnsi="黑体" w:eastAsia="黑体" w:cs="黑体"/>
          <w:bCs/>
          <w:color w:val="auto"/>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 w:eastAsia="zh-CN"/>
        </w:rPr>
        <w:t>202</w:t>
      </w:r>
      <w:r>
        <w:rPr>
          <w:rFonts w:hint="eastAsia" w:ascii="仿宋_GB2312" w:eastAsia="仿宋_GB2312"/>
          <w:color w:val="auto"/>
          <w:sz w:val="32"/>
          <w:szCs w:val="32"/>
          <w:lang w:val="en-US" w:eastAsia="zh-CN"/>
        </w:rPr>
        <w:t>6</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3</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16日-3月17日</w:t>
      </w:r>
      <w:r>
        <w:rPr>
          <w:rFonts w:hint="eastAsia" w:ascii="仿宋_GB2312" w:hAnsi="仿宋_GB2312" w:eastAsia="仿宋_GB2312" w:cs="仿宋_GB2312"/>
          <w:sz w:val="32"/>
          <w:szCs w:val="36"/>
        </w:rPr>
        <w:t>（暂定）</w:t>
      </w:r>
    </w:p>
    <w:p>
      <w:pPr>
        <w:tabs>
          <w:tab w:val="left" w:pos="1820"/>
        </w:tabs>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w:t>
      </w:r>
      <w:bookmarkStart w:id="0" w:name="OLE_LINK2"/>
      <w:r>
        <w:rPr>
          <w:rFonts w:hint="eastAsia" w:ascii="黑体" w:hAnsi="黑体" w:eastAsia="黑体" w:cs="黑体"/>
          <w:bCs/>
          <w:color w:val="auto"/>
          <w:sz w:val="32"/>
          <w:szCs w:val="32"/>
        </w:rPr>
        <w:t>项目内容及要求</w:t>
      </w:r>
      <w:bookmarkEnd w:id="0"/>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（一）项目内容</w:t>
      </w:r>
    </w:p>
    <w:p>
      <w:pPr>
        <w:pStyle w:val="2"/>
        <w:ind w:firstLine="640" w:firstLineChars="200"/>
        <w:rPr>
          <w:rFonts w:hint="eastAsia"/>
          <w:color w:val="auto"/>
        </w:rPr>
      </w:pPr>
      <w:r>
        <w:rPr>
          <w:rFonts w:hint="eastAsia" w:ascii="仿宋_GB2312" w:eastAsia="仿宋_GB2312"/>
          <w:color w:val="auto"/>
          <w:kern w:val="2"/>
          <w:sz w:val="32"/>
          <w:szCs w:val="32"/>
          <w:highlight w:val="none"/>
          <w:lang w:bidi="ar"/>
        </w:rPr>
        <w:t>为全面推进落实全民健身计划，广泛开展群众体育活动与竞赛，促进我区体育健身事业发展，提高我区文旅影响力，</w:t>
      </w:r>
      <w:r>
        <w:rPr>
          <w:rFonts w:hint="eastAsia" w:ascii="仿宋_GB2312" w:eastAsia="仿宋_GB2312"/>
          <w:color w:val="auto"/>
          <w:kern w:val="2"/>
          <w:sz w:val="32"/>
          <w:szCs w:val="32"/>
          <w:highlight w:val="none"/>
          <w:lang w:eastAsia="zh-CN" w:bidi="ar"/>
        </w:rPr>
        <w:t>暂</w:t>
      </w:r>
      <w:r>
        <w:rPr>
          <w:rFonts w:hint="eastAsia" w:ascii="仿宋_GB2312" w:eastAsia="仿宋_GB2312"/>
          <w:color w:val="auto"/>
          <w:kern w:val="2"/>
          <w:sz w:val="32"/>
          <w:szCs w:val="32"/>
          <w:highlight w:val="none"/>
          <w:lang w:bidi="ar"/>
        </w:rPr>
        <w:t>定于202</w:t>
      </w:r>
      <w:r>
        <w:rPr>
          <w:rFonts w:hint="eastAsia" w:ascii="仿宋_GB2312" w:eastAsia="仿宋_GB2312"/>
          <w:color w:val="auto"/>
          <w:kern w:val="2"/>
          <w:sz w:val="32"/>
          <w:szCs w:val="32"/>
          <w:highlight w:val="none"/>
          <w:lang w:val="en-US" w:eastAsia="zh-CN" w:bidi="ar"/>
        </w:rPr>
        <w:t>6</w:t>
      </w:r>
      <w:r>
        <w:rPr>
          <w:rFonts w:hint="eastAsia" w:ascii="仿宋_GB2312" w:eastAsia="仿宋_GB2312"/>
          <w:color w:val="auto"/>
          <w:kern w:val="2"/>
          <w:sz w:val="32"/>
          <w:szCs w:val="32"/>
          <w:highlight w:val="none"/>
          <w:lang w:bidi="ar"/>
        </w:rPr>
        <w:t>年</w:t>
      </w:r>
      <w:r>
        <w:rPr>
          <w:rFonts w:hint="eastAsia" w:ascii="仿宋_GB2312" w:eastAsia="仿宋_GB2312"/>
          <w:color w:val="auto"/>
          <w:kern w:val="2"/>
          <w:sz w:val="32"/>
          <w:szCs w:val="32"/>
          <w:highlight w:val="none"/>
          <w:lang w:val="en-US" w:eastAsia="zh-CN" w:bidi="ar"/>
        </w:rPr>
        <w:t>3</w:t>
      </w:r>
      <w:r>
        <w:rPr>
          <w:rFonts w:hint="eastAsia" w:ascii="仿宋_GB2312" w:eastAsia="仿宋_GB2312"/>
          <w:color w:val="auto"/>
          <w:kern w:val="2"/>
          <w:sz w:val="32"/>
          <w:szCs w:val="32"/>
          <w:highlight w:val="none"/>
          <w:lang w:bidi="ar"/>
        </w:rPr>
        <w:t>月1</w:t>
      </w:r>
      <w:r>
        <w:rPr>
          <w:rFonts w:hint="eastAsia" w:ascii="仿宋_GB2312" w:eastAsia="仿宋_GB2312"/>
          <w:color w:val="auto"/>
          <w:kern w:val="2"/>
          <w:sz w:val="32"/>
          <w:szCs w:val="32"/>
          <w:highlight w:val="none"/>
          <w:lang w:val="en-US" w:eastAsia="zh-CN" w:bidi="ar"/>
        </w:rPr>
        <w:t>6-17</w:t>
      </w:r>
      <w:r>
        <w:rPr>
          <w:rFonts w:hint="eastAsia" w:ascii="仿宋_GB2312" w:eastAsia="仿宋_GB2312"/>
          <w:color w:val="auto"/>
          <w:kern w:val="2"/>
          <w:sz w:val="32"/>
          <w:szCs w:val="32"/>
          <w:highlight w:val="none"/>
          <w:lang w:bidi="ar"/>
        </w:rPr>
        <w:t>日开展</w:t>
      </w:r>
      <w:r>
        <w:rPr>
          <w:rFonts w:hint="eastAsia" w:ascii="仿宋_GB2312" w:hAnsi="仿宋_GB2312" w:eastAsia="仿宋_GB2312" w:cs="仿宋_GB2312"/>
          <w:i w:val="0"/>
          <w:caps w:val="0"/>
          <w:color w:val="auto"/>
          <w:spacing w:val="8"/>
          <w:kern w:val="2"/>
          <w:sz w:val="32"/>
          <w:szCs w:val="32"/>
          <w:lang w:val="en-US" w:eastAsia="zh-CN" w:bidi="ar-SA"/>
        </w:rPr>
        <w:t>2026年全国计划单列五城市第六届元老网球团体赛</w:t>
      </w:r>
      <w:r>
        <w:rPr>
          <w:rFonts w:hint="eastAsia" w:ascii="仿宋_GB2312" w:eastAsia="仿宋_GB2312"/>
          <w:color w:val="auto"/>
          <w:kern w:val="2"/>
          <w:sz w:val="32"/>
          <w:szCs w:val="32"/>
          <w:highlight w:val="none"/>
          <w:lang w:bidi="ar"/>
        </w:rPr>
        <w:t>活动，活动地点暂定于</w:t>
      </w:r>
      <w:r>
        <w:rPr>
          <w:rFonts w:hint="eastAsia" w:ascii="仿宋_GB2312" w:eastAsia="仿宋_GB2312"/>
          <w:color w:val="auto"/>
          <w:kern w:val="2"/>
          <w:sz w:val="32"/>
          <w:szCs w:val="32"/>
          <w:highlight w:val="none"/>
          <w:lang w:eastAsia="zh-CN" w:bidi="ar"/>
        </w:rPr>
        <w:t>简上体育综合体网球场</w:t>
      </w:r>
      <w:r>
        <w:rPr>
          <w:rFonts w:hint="eastAsia" w:ascii="仿宋_GB2312" w:eastAsia="仿宋_GB2312"/>
          <w:color w:val="auto"/>
          <w:kern w:val="2"/>
          <w:sz w:val="32"/>
          <w:szCs w:val="32"/>
          <w:highlight w:val="none"/>
          <w:lang w:bidi="ar"/>
        </w:rPr>
        <w:t>，约</w:t>
      </w:r>
      <w:r>
        <w:rPr>
          <w:rFonts w:hint="eastAsia" w:ascii="仿宋_GB2312" w:eastAsia="仿宋_GB2312"/>
          <w:color w:val="auto"/>
          <w:kern w:val="2"/>
          <w:sz w:val="32"/>
          <w:szCs w:val="32"/>
          <w:highlight w:val="none"/>
          <w:lang w:val="en-US" w:eastAsia="zh-CN" w:bidi="ar"/>
        </w:rPr>
        <w:t>9</w:t>
      </w:r>
      <w:r>
        <w:rPr>
          <w:rFonts w:hint="eastAsia" w:ascii="仿宋_GB2312" w:eastAsia="仿宋_GB2312"/>
          <w:color w:val="auto"/>
          <w:kern w:val="2"/>
          <w:sz w:val="32"/>
          <w:szCs w:val="32"/>
          <w:highlight w:val="none"/>
          <w:lang w:bidi="ar"/>
        </w:rPr>
        <w:t>0人参</w:t>
      </w:r>
      <w:r>
        <w:rPr>
          <w:rFonts w:hint="eastAsia" w:ascii="仿宋_GB2312" w:eastAsia="仿宋_GB2312"/>
          <w:color w:val="auto"/>
          <w:kern w:val="2"/>
          <w:sz w:val="32"/>
          <w:szCs w:val="32"/>
          <w:highlight w:val="none"/>
          <w:lang w:eastAsia="zh-CN" w:bidi="ar"/>
        </w:rPr>
        <w:t>赛</w:t>
      </w:r>
      <w:r>
        <w:rPr>
          <w:rFonts w:hint="eastAsia" w:ascii="仿宋_GB2312" w:eastAsia="仿宋_GB2312"/>
          <w:color w:val="auto"/>
          <w:kern w:val="2"/>
          <w:sz w:val="32"/>
          <w:szCs w:val="32"/>
          <w:highlight w:val="none"/>
          <w:lang w:bidi="ar"/>
        </w:rPr>
        <w:t>。服务内容包括赛事</w:t>
      </w:r>
      <w:r>
        <w:rPr>
          <w:rFonts w:hint="eastAsia" w:ascii="仿宋_GB2312" w:eastAsia="仿宋_GB2312"/>
          <w:color w:val="auto"/>
          <w:kern w:val="2"/>
          <w:sz w:val="32"/>
          <w:szCs w:val="32"/>
          <w:highlight w:val="none"/>
          <w:lang w:eastAsia="zh-CN" w:bidi="ar"/>
        </w:rPr>
        <w:t>物料的设计与搭建</w:t>
      </w:r>
      <w:r>
        <w:rPr>
          <w:rFonts w:hint="eastAsia" w:ascii="仿宋_GB2312" w:hAnsi="仿宋" w:eastAsia="仿宋_GB2312" w:cs="仿宋"/>
          <w:color w:val="auto"/>
          <w:kern w:val="2"/>
          <w:sz w:val="32"/>
          <w:szCs w:val="32"/>
          <w:lang w:val="en-US" w:eastAsia="zh-CN" w:bidi="ar-SA"/>
        </w:rPr>
        <w:t>、奖杯奖牌设计制作、设备租赁、现场搭建</w:t>
      </w:r>
      <w:r>
        <w:rPr>
          <w:rFonts w:hint="eastAsia" w:ascii="仿宋_GB2312" w:eastAsia="仿宋_GB2312"/>
          <w:color w:val="auto"/>
          <w:kern w:val="2"/>
          <w:sz w:val="32"/>
          <w:szCs w:val="32"/>
          <w:highlight w:val="none"/>
          <w:lang w:bidi="ar"/>
        </w:rPr>
        <w:t>、</w:t>
      </w:r>
      <w:r>
        <w:rPr>
          <w:rFonts w:hint="eastAsia" w:ascii="仿宋_GB2312" w:eastAsia="仿宋_GB2312"/>
          <w:color w:val="auto"/>
          <w:kern w:val="2"/>
          <w:sz w:val="32"/>
          <w:szCs w:val="32"/>
          <w:highlight w:val="none"/>
          <w:lang w:eastAsia="zh-CN" w:bidi="ar"/>
        </w:rPr>
        <w:t>赛前筹备、赛事摄影摄像</w:t>
      </w:r>
      <w:r>
        <w:rPr>
          <w:rFonts w:hint="eastAsia" w:ascii="仿宋_GB2312" w:eastAsia="仿宋_GB2312"/>
          <w:color w:val="auto"/>
          <w:kern w:val="2"/>
          <w:sz w:val="32"/>
          <w:szCs w:val="32"/>
          <w:highlight w:val="none"/>
          <w:lang w:bidi="ar"/>
        </w:rPr>
        <w:t>、竞赛组织、医疗保障、</w:t>
      </w:r>
      <w:r>
        <w:rPr>
          <w:rFonts w:hint="eastAsia" w:ascii="仿宋_GB2312" w:hAnsi="仿宋" w:eastAsia="仿宋_GB2312" w:cs="仿宋"/>
          <w:color w:val="auto"/>
          <w:kern w:val="2"/>
          <w:sz w:val="32"/>
          <w:szCs w:val="32"/>
          <w:lang w:val="en-US" w:eastAsia="zh-CN" w:bidi="ar-SA"/>
        </w:rPr>
        <w:t>后勤保障、</w:t>
      </w:r>
      <w:r>
        <w:rPr>
          <w:rFonts w:hint="eastAsia" w:ascii="仿宋_GB2312" w:eastAsia="仿宋_GB2312"/>
          <w:color w:val="auto"/>
          <w:kern w:val="2"/>
          <w:sz w:val="32"/>
          <w:szCs w:val="32"/>
          <w:highlight w:val="none"/>
          <w:lang w:bidi="ar"/>
        </w:rPr>
        <w:t>安</w:t>
      </w:r>
      <w:r>
        <w:rPr>
          <w:rFonts w:hint="eastAsia" w:ascii="仿宋_GB2312" w:eastAsia="仿宋_GB2312"/>
          <w:color w:val="auto"/>
          <w:kern w:val="2"/>
          <w:sz w:val="32"/>
          <w:szCs w:val="32"/>
          <w:highlight w:val="none"/>
          <w:lang w:eastAsia="zh-CN" w:bidi="ar"/>
        </w:rPr>
        <w:t>保、颁奖仪式</w:t>
      </w:r>
      <w:r>
        <w:rPr>
          <w:rFonts w:hint="eastAsia" w:ascii="仿宋_GB2312" w:eastAsia="仿宋_GB2312"/>
          <w:color w:val="auto"/>
          <w:kern w:val="2"/>
          <w:sz w:val="32"/>
          <w:szCs w:val="32"/>
          <w:highlight w:val="none"/>
          <w:lang w:bidi="ar"/>
        </w:rPr>
        <w:t>等</w:t>
      </w:r>
      <w:r>
        <w:rPr>
          <w:rFonts w:hint="eastAsia" w:ascii="仿宋_GB2312" w:hAnsi="Calibri" w:eastAsia="仿宋_GB2312" w:cs="仿宋_GB2312"/>
          <w:color w:val="auto"/>
          <w:kern w:val="2"/>
          <w:sz w:val="32"/>
          <w:szCs w:val="32"/>
          <w:highlight w:val="none"/>
          <w:lang w:val="en-US" w:eastAsia="zh-CN" w:bidi="ar"/>
        </w:rPr>
        <w:t>。</w:t>
      </w:r>
    </w:p>
    <w:p>
      <w:pPr>
        <w:numPr>
          <w:ilvl w:val="0"/>
          <w:numId w:val="2"/>
        </w:num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具体要求</w:t>
      </w:r>
    </w:p>
    <w:p>
      <w:pPr>
        <w:pStyle w:val="9"/>
        <w:ind w:firstLine="640" w:firstLineChars="200"/>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1.制定</w:t>
      </w:r>
      <w:r>
        <w:rPr>
          <w:rFonts w:hint="eastAsia" w:ascii="仿宋_GB2312" w:hAnsi="仿宋_GB2312" w:eastAsia="仿宋_GB2312" w:cs="仿宋_GB2312"/>
          <w:i w:val="0"/>
          <w:caps w:val="0"/>
          <w:color w:val="auto"/>
          <w:spacing w:val="8"/>
          <w:kern w:val="2"/>
          <w:sz w:val="32"/>
          <w:szCs w:val="32"/>
          <w:lang w:val="en-US" w:eastAsia="zh-CN" w:bidi="ar-SA"/>
        </w:rPr>
        <w:t>2026年全国计划单列五城市第六届元老网球团体赛</w:t>
      </w:r>
      <w:r>
        <w:rPr>
          <w:rFonts w:hint="eastAsia" w:ascii="仿宋_GB2312" w:hAnsi="仿宋" w:eastAsia="仿宋_GB2312" w:cs="仿宋"/>
          <w:color w:val="auto"/>
          <w:kern w:val="2"/>
          <w:sz w:val="32"/>
          <w:szCs w:val="32"/>
          <w:lang w:val="en-US" w:eastAsia="zh-CN" w:bidi="ar-SA"/>
        </w:rPr>
        <w:t>的具体实施方案和项目报价；</w:t>
      </w:r>
    </w:p>
    <w:p>
      <w:pPr>
        <w:pStyle w:val="8"/>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2.负责场地布置及赛事相关物资，包括</w:t>
      </w:r>
      <w:r>
        <w:rPr>
          <w:rFonts w:hint="eastAsia" w:ascii="仿宋_GB2312" w:eastAsia="仿宋_GB2312"/>
          <w:color w:val="auto"/>
          <w:kern w:val="2"/>
          <w:sz w:val="32"/>
          <w:szCs w:val="32"/>
          <w:highlight w:val="none"/>
          <w:lang w:eastAsia="zh-CN" w:bidi="ar"/>
        </w:rPr>
        <w:t>赛前筹备、</w:t>
      </w:r>
      <w:r>
        <w:rPr>
          <w:rFonts w:hint="eastAsia" w:ascii="仿宋_GB2312" w:hAnsi="仿宋" w:eastAsia="仿宋_GB2312" w:cs="仿宋"/>
          <w:color w:val="auto"/>
          <w:kern w:val="2"/>
          <w:sz w:val="32"/>
          <w:szCs w:val="32"/>
          <w:lang w:val="en-US" w:eastAsia="zh-CN" w:bidi="ar-SA"/>
        </w:rPr>
        <w:t>赛事物料设计制作、奖杯奖牌设计制作、设备租赁、现场搭建等；</w:t>
      </w:r>
    </w:p>
    <w:p>
      <w:pPr>
        <w:pStyle w:val="8"/>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3.负责赛事组织的相关工作，包括聘请相关工作人员、选派裁判员、赛事摄影摄像、赛事医疗、赛事安保、后勤保障补给等；</w:t>
      </w:r>
    </w:p>
    <w:p>
      <w:pPr>
        <w:pStyle w:val="8"/>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4.负责颁奖仪式、赛事劳务费等发放；</w:t>
      </w:r>
    </w:p>
    <w:p>
      <w:pPr>
        <w:pStyle w:val="8"/>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5.负责主办方交办的其他事项。</w:t>
      </w:r>
    </w:p>
    <w:p>
      <w:pPr>
        <w:tabs>
          <w:tab w:val="left" w:pos="1820"/>
        </w:tabs>
        <w:snapToGrid w:val="0"/>
        <w:spacing w:line="560" w:lineRule="exact"/>
        <w:ind w:firstLine="640" w:firstLineChars="200"/>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四、报价限额</w:t>
      </w:r>
    </w:p>
    <w:p>
      <w:pPr>
        <w:pStyle w:val="9"/>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s="仿宋"/>
          <w:color w:val="auto"/>
          <w:kern w:val="2"/>
          <w:sz w:val="32"/>
          <w:szCs w:val="32"/>
          <w:lang w:val="en-US" w:eastAsia="zh-CN" w:bidi="ar-SA"/>
        </w:rPr>
        <w:t>16</w:t>
      </w:r>
      <w:r>
        <w:rPr>
          <w:rFonts w:hint="eastAsia" w:ascii="仿宋_GB2312" w:hAnsi="仿宋_GB2312" w:eastAsia="仿宋_GB2312" w:cs="仿宋_GB2312"/>
          <w:color w:val="auto"/>
          <w:sz w:val="32"/>
          <w:szCs w:val="36"/>
          <w:lang w:eastAsia="zh-CN"/>
        </w:rPr>
        <w:t>万元，</w:t>
      </w:r>
      <w:r>
        <w:rPr>
          <w:rFonts w:hint="eastAsia" w:ascii="仿宋_GB2312" w:hAnsi="仿宋_GB2312" w:eastAsia="仿宋_GB2312" w:cs="仿宋_GB2312"/>
          <w:b/>
          <w:bCs/>
          <w:color w:val="auto"/>
          <w:sz w:val="32"/>
          <w:szCs w:val="32"/>
          <w:lang w:eastAsia="zh-CN"/>
        </w:rPr>
        <w:t>项目报价表</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sz w:val="32"/>
          <w:szCs w:val="32"/>
          <w:lang w:eastAsia="zh-CN"/>
        </w:rPr>
        <w:t>与下表</w:t>
      </w:r>
      <w:r>
        <w:rPr>
          <w:rFonts w:hint="eastAsia" w:ascii="仿宋_GB2312" w:hAnsi="仿宋_GB2312" w:eastAsia="仿宋_GB2312" w:cs="仿宋_GB2312"/>
          <w:color w:val="auto"/>
          <w:sz w:val="32"/>
          <w:szCs w:val="32"/>
        </w:rPr>
        <w:t>保持一致</w:t>
      </w:r>
      <w:r>
        <w:rPr>
          <w:rFonts w:hint="eastAsia" w:ascii="仿宋_GB2312" w:hAnsi="仿宋_GB2312" w:eastAsia="仿宋_GB2312" w:cs="仿宋_GB2312"/>
          <w:color w:val="auto"/>
          <w:sz w:val="32"/>
          <w:szCs w:val="32"/>
          <w:lang w:eastAsia="zh-CN"/>
        </w:rPr>
        <w:t>：</w:t>
      </w:r>
    </w:p>
    <w:tbl>
      <w:tblPr>
        <w:tblStyle w:val="12"/>
        <w:tblW w:w="90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1355"/>
        <w:gridCol w:w="2399"/>
        <w:gridCol w:w="959"/>
        <w:gridCol w:w="913"/>
        <w:gridCol w:w="2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场地布置及物料</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设计制作主背景板13m*5m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设计制作签到处欢迎背景板6m*5m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设计制作赛场横幅10m*1.2m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指引牌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入场手举牌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接站牌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设计制作A板隔离2m*1m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刀旗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秩序册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成绩公告栏2.2m*1.5m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租用办公设备、办公用品、办公耗材</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办公设备及用品、耗材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租赁音响设备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工作证</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奖杯</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男双、女双、混双前三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纪念奖牌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物料运输及人工费用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w:t>
            </w:r>
          </w:p>
        </w:tc>
        <w:tc>
          <w:tcPr>
            <w:tcW w:w="135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后勤保障</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饮用水、饮料</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饮用水、电解质饮料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水果、能量食品</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香蕉、能量棒、糕点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赛事车辆交通保障</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中巴，3天（含赛前1天接站等），4台</w:t>
            </w:r>
            <w:r>
              <w:rPr>
                <w:rFonts w:hint="eastAsia" w:ascii="宋体" w:hAnsi="宋体" w:cs="宋体"/>
                <w:i w:val="0"/>
                <w:iCs w:val="0"/>
                <w:color w:val="auto"/>
                <w:kern w:val="0"/>
                <w:sz w:val="18"/>
                <w:szCs w:val="18"/>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赛前筹备工作人员工作餐饮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赛前筹备5天，6人</w:t>
            </w:r>
            <w:r>
              <w:rPr>
                <w:rFonts w:hint="eastAsia" w:ascii="宋体" w:hAnsi="宋体" w:cs="宋体"/>
                <w:i w:val="0"/>
                <w:iCs w:val="0"/>
                <w:color w:val="auto"/>
                <w:kern w:val="0"/>
                <w:sz w:val="18"/>
                <w:szCs w:val="18"/>
                <w:u w:val="none"/>
                <w:lang w:val="en-US" w:eastAsia="zh-CN" w:bidi="ar"/>
              </w:rPr>
              <w:t>，不超100元/人/天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赛事期间裁判、工作人员、安保工作餐饮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40人2天</w:t>
            </w:r>
            <w:r>
              <w:rPr>
                <w:rFonts w:hint="eastAsia" w:ascii="宋体" w:hAnsi="宋体" w:cs="宋体"/>
                <w:i w:val="0"/>
                <w:iCs w:val="0"/>
                <w:color w:val="auto"/>
                <w:kern w:val="0"/>
                <w:sz w:val="18"/>
                <w:szCs w:val="18"/>
                <w:u w:val="none"/>
                <w:lang w:val="en-US" w:eastAsia="zh-CN" w:bidi="ar"/>
              </w:rPr>
              <w:t>，不超100元/人/天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裁判长、裁判员住宿</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10人3晚</w:t>
            </w:r>
            <w:r>
              <w:rPr>
                <w:rFonts w:hint="eastAsia" w:ascii="宋体" w:hAnsi="宋体" w:cs="宋体"/>
                <w:i w:val="0"/>
                <w:iCs w:val="0"/>
                <w:color w:val="auto"/>
                <w:kern w:val="0"/>
                <w:sz w:val="18"/>
                <w:szCs w:val="18"/>
                <w:u w:val="none"/>
                <w:lang w:val="en-US" w:eastAsia="zh-CN" w:bidi="ar"/>
              </w:rPr>
              <w:t>，不超280元/人/天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赛事前期筹备及赛事期间工作团队劳务</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赛前筹备工作人员劳务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赛前筹备5天，6人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赛事期间工作人员劳务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20人2天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裁判长劳务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1人2天</w:t>
            </w:r>
            <w:r>
              <w:rPr>
                <w:rFonts w:hint="eastAsia" w:ascii="宋体" w:hAnsi="宋体" w:cs="宋体"/>
                <w:i w:val="0"/>
                <w:iCs w:val="0"/>
                <w:color w:val="auto"/>
                <w:kern w:val="0"/>
                <w:sz w:val="18"/>
                <w:szCs w:val="18"/>
                <w:u w:val="none"/>
                <w:lang w:val="en-US" w:eastAsia="zh-CN" w:bidi="ar"/>
              </w:rPr>
              <w:t>，不超400元/人/天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国家一级裁判员劳务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9人2天</w:t>
            </w:r>
            <w:r>
              <w:rPr>
                <w:rFonts w:hint="eastAsia" w:ascii="宋体" w:hAnsi="宋体" w:cs="宋体"/>
                <w:i w:val="0"/>
                <w:iCs w:val="0"/>
                <w:color w:val="auto"/>
                <w:kern w:val="0"/>
                <w:sz w:val="18"/>
                <w:szCs w:val="18"/>
                <w:u w:val="none"/>
                <w:lang w:val="en-US" w:eastAsia="zh-CN" w:bidi="ar"/>
              </w:rPr>
              <w:t>，不超400元/人/天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安保人员劳务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10人2天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赛事摄像、图片直播</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赛事摄像、图片直播</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3人2天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医疗保障</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医疗保障及医疗用品</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2人2天（含药品）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6</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rPr>
              <w:t>颁奖仪式</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主持人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礼仪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供应商报价：</w:t>
            </w:r>
            <w:r>
              <w:rPr>
                <w:rFonts w:hint="eastAsia" w:ascii="宋体" w:hAnsi="宋体" w:cs="宋体"/>
                <w:b/>
                <w:bCs/>
                <w:i w:val="0"/>
                <w:iCs w:val="0"/>
                <w:color w:val="auto"/>
                <w:kern w:val="0"/>
                <w:sz w:val="18"/>
                <w:szCs w:val="18"/>
                <w:u w:val="single"/>
                <w:lang w:val="en-US" w:eastAsia="zh-CN" w:bidi="ar"/>
              </w:rPr>
              <w:t xml:space="preserve">            </w:t>
            </w:r>
            <w:r>
              <w:rPr>
                <w:rFonts w:hint="eastAsia" w:ascii="宋体" w:hAnsi="宋体" w:cs="宋体"/>
                <w:b/>
                <w:bCs/>
                <w:i w:val="0"/>
                <w:iCs w:val="0"/>
                <w:color w:val="auto"/>
                <w:kern w:val="0"/>
                <w:sz w:val="18"/>
                <w:szCs w:val="18"/>
                <w:u w:val="none"/>
                <w:lang w:val="en-US" w:eastAsia="zh-CN" w:bidi="ar"/>
              </w:rPr>
              <w:t>万元</w:t>
            </w:r>
            <w:r>
              <w:rPr>
                <w:rFonts w:hint="eastAsia" w:ascii="宋体" w:hAnsi="宋体" w:eastAsia="宋体" w:cs="宋体"/>
                <w:b/>
                <w:bCs/>
                <w:i w:val="0"/>
                <w:iCs w:val="0"/>
                <w:color w:val="auto"/>
                <w:kern w:val="0"/>
                <w:sz w:val="18"/>
                <w:szCs w:val="18"/>
                <w:u w:val="none"/>
                <w:lang w:val="en-US" w:eastAsia="zh-CN" w:bidi="ar"/>
              </w:rPr>
              <w:t>（以万元为单位，最多保留两位小数）</w:t>
            </w:r>
          </w:p>
        </w:tc>
      </w:tr>
    </w:tbl>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bCs/>
          <w:color w:val="auto"/>
          <w:sz w:val="32"/>
          <w:szCs w:val="32"/>
        </w:rPr>
        <w:t>五、</w:t>
      </w:r>
      <w:r>
        <w:rPr>
          <w:rFonts w:hint="eastAsia" w:ascii="黑体" w:hAnsi="黑体" w:eastAsia="黑体" w:cs="黑体"/>
          <w:color w:val="auto"/>
          <w:sz w:val="32"/>
          <w:szCs w:val="32"/>
        </w:rPr>
        <w:t>供应商的资质要求</w:t>
      </w:r>
    </w:p>
    <w:p>
      <w:pPr>
        <w:pStyle w:val="15"/>
        <w:spacing w:line="560" w:lineRule="exact"/>
        <w:ind w:firstLine="640"/>
        <w:rPr>
          <w:rFonts w:ascii="仿宋_GB2312" w:hAnsi="仿宋" w:eastAsia="仿宋_GB2312" w:cs="仿宋"/>
          <w:color w:val="auto"/>
          <w:sz w:val="32"/>
          <w:szCs w:val="32"/>
        </w:rPr>
      </w:pPr>
      <w:r>
        <w:rPr>
          <w:rFonts w:hint="eastAsia" w:ascii="仿宋_GB2312" w:hAnsi="仿宋" w:eastAsia="仿宋_GB2312" w:cs="仿宋"/>
          <w:color w:val="auto"/>
          <w:sz w:val="32"/>
          <w:szCs w:val="32"/>
        </w:rPr>
        <w:t>（一）在中国境内注册的独立法人或其他组织（提供营业执照、事业法人证书、社会团体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color w:val="auto"/>
          <w:sz w:val="32"/>
          <w:szCs w:val="32"/>
          <w:lang w:eastAsia="zh-CN"/>
        </w:rPr>
        <w:t>；</w:t>
      </w:r>
    </w:p>
    <w:p>
      <w:pPr>
        <w:pStyle w:val="15"/>
        <w:spacing w:line="560" w:lineRule="exact"/>
        <w:ind w:firstLine="64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（三）</w:t>
      </w:r>
      <w:r>
        <w:rPr>
          <w:rFonts w:hint="eastAsia" w:ascii="仿宋_GB2312" w:hAnsi="仿宋" w:eastAsia="仿宋_GB2312" w:cs="仿宋"/>
          <w:bCs/>
          <w:color w:val="auto"/>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color w:val="auto"/>
          <w:sz w:val="32"/>
          <w:szCs w:val="32"/>
          <w:highlight w:val="none"/>
        </w:rPr>
        <w:t>，不得同时参加本项目的采购活动</w:t>
      </w:r>
      <w:r>
        <w:rPr>
          <w:rFonts w:hint="eastAsia" w:ascii="仿宋_GB2312" w:hAnsi="仿宋" w:cs="仿宋"/>
          <w:color w:val="auto"/>
          <w:sz w:val="32"/>
          <w:szCs w:val="32"/>
          <w:highlight w:val="none"/>
          <w:lang w:eastAsia="zh-CN"/>
        </w:rPr>
        <w:t>。</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六、选定供应商方法</w:t>
      </w:r>
    </w:p>
    <w:p>
      <w:pPr>
        <w:spacing w:line="560" w:lineRule="exact"/>
        <w:ind w:firstLine="640" w:firstLineChars="200"/>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综合评分法</w:t>
      </w:r>
    </w:p>
    <w:p>
      <w:p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七、评分要求</w:t>
      </w:r>
    </w:p>
    <w:p>
      <w:pPr>
        <w:pStyle w:val="17"/>
        <w:spacing w:line="560" w:lineRule="exact"/>
        <w:ind w:firstLine="640" w:firstLineChars="200"/>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（一）评分规则</w:t>
      </w:r>
    </w:p>
    <w:p>
      <w:pPr>
        <w:spacing w:line="560" w:lineRule="exact"/>
        <w:ind w:firstLine="640" w:firstLineChars="200"/>
        <w:rPr>
          <w:rFonts w:ascii="楷体_GB2312" w:hAnsi="楷体_GB2312" w:eastAsia="楷体_GB2312" w:cs="楷体_GB2312"/>
          <w:bCs/>
          <w:color w:val="auto"/>
          <w:sz w:val="32"/>
          <w:szCs w:val="32"/>
        </w:rPr>
      </w:pPr>
      <w:r>
        <w:rPr>
          <w:rFonts w:hint="eastAsia" w:ascii="仿宋_GB2312" w:eastAsia="仿宋_GB2312"/>
          <w:color w:val="auto"/>
          <w:sz w:val="32"/>
          <w:szCs w:val="32"/>
        </w:rPr>
        <w:t>采取综合评分标准，平均分最高的投标人为本项目中标人。</w:t>
      </w:r>
    </w:p>
    <w:p>
      <w:pPr>
        <w:pStyle w:val="17"/>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（二）评分权重</w:t>
      </w:r>
    </w:p>
    <w:tbl>
      <w:tblPr>
        <w:tblStyle w:val="12"/>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2167"/>
        <w:gridCol w:w="2144"/>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12"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评分内容</w:t>
            </w:r>
          </w:p>
        </w:tc>
        <w:tc>
          <w:tcPr>
            <w:tcW w:w="2167"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报价</w:t>
            </w:r>
          </w:p>
        </w:tc>
        <w:tc>
          <w:tcPr>
            <w:tcW w:w="2144"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商务</w:t>
            </w:r>
            <w:r>
              <w:rPr>
                <w:rFonts w:hint="eastAsia" w:ascii="仿宋_GB2312" w:hAnsi="仿宋_GB2312" w:eastAsia="仿宋_GB2312" w:cs="仿宋_GB2312"/>
                <w:b w:val="0"/>
                <w:bCs/>
                <w:color w:val="auto"/>
                <w:szCs w:val="24"/>
                <w:highlight w:val="none"/>
                <w:lang w:eastAsia="zh-CN"/>
              </w:rPr>
              <w:t>部分</w:t>
            </w:r>
          </w:p>
        </w:tc>
        <w:tc>
          <w:tcPr>
            <w:tcW w:w="2252"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技术</w:t>
            </w:r>
            <w:r>
              <w:rPr>
                <w:rFonts w:hint="eastAsia" w:ascii="仿宋_GB2312" w:hAnsi="仿宋_GB2312" w:eastAsia="仿宋_GB2312" w:cs="仿宋_GB2312"/>
                <w:b w:val="0"/>
                <w:bCs/>
                <w:color w:val="auto"/>
                <w:szCs w:val="24"/>
                <w:highlight w:val="none"/>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212"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分值</w:t>
            </w:r>
          </w:p>
        </w:tc>
        <w:tc>
          <w:tcPr>
            <w:tcW w:w="2167"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30</w:t>
            </w:r>
            <w:r>
              <w:rPr>
                <w:rFonts w:hint="eastAsia" w:ascii="仿宋_GB2312" w:hAnsi="仿宋_GB2312" w:eastAsia="仿宋_GB2312" w:cs="仿宋_GB2312"/>
                <w:b w:val="0"/>
                <w:bCs/>
                <w:color w:val="auto"/>
                <w:szCs w:val="24"/>
                <w:highlight w:val="none"/>
              </w:rPr>
              <w:t>分</w:t>
            </w:r>
          </w:p>
        </w:tc>
        <w:tc>
          <w:tcPr>
            <w:tcW w:w="2144"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25</w:t>
            </w:r>
            <w:r>
              <w:rPr>
                <w:rFonts w:hint="eastAsia" w:ascii="仿宋_GB2312" w:hAnsi="仿宋_GB2312" w:eastAsia="仿宋_GB2312" w:cs="仿宋_GB2312"/>
                <w:b w:val="0"/>
                <w:bCs/>
                <w:color w:val="auto"/>
                <w:szCs w:val="24"/>
                <w:highlight w:val="none"/>
              </w:rPr>
              <w:t>分</w:t>
            </w:r>
          </w:p>
        </w:tc>
        <w:tc>
          <w:tcPr>
            <w:tcW w:w="2252"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45</w:t>
            </w:r>
            <w:r>
              <w:rPr>
                <w:rFonts w:hint="eastAsia" w:ascii="仿宋_GB2312" w:hAnsi="仿宋_GB2312" w:eastAsia="仿宋_GB2312" w:cs="仿宋_GB2312"/>
                <w:b w:val="0"/>
                <w:bCs/>
                <w:color w:val="auto"/>
                <w:szCs w:val="24"/>
                <w:highlight w:val="none"/>
              </w:rPr>
              <w:t>分</w:t>
            </w:r>
          </w:p>
        </w:tc>
      </w:tr>
    </w:tbl>
    <w:p>
      <w:pPr>
        <w:pStyle w:val="17"/>
        <w:keepNext w:val="0"/>
        <w:keepLines w:val="0"/>
        <w:pageBreakBefore w:val="0"/>
        <w:numPr>
          <w:ilvl w:val="0"/>
          <w:numId w:val="2"/>
        </w:numPr>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评分标准</w:t>
      </w:r>
    </w:p>
    <w:tbl>
      <w:tblPr>
        <w:tblStyle w:val="13"/>
        <w:tblW w:w="901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128"/>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28"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726"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726" w:type="dxa"/>
            <w:noWrap w:val="0"/>
            <w:vAlign w:val="center"/>
          </w:tcPr>
          <w:p>
            <w:pPr>
              <w:topLinePunct/>
              <w:snapToGrid w:val="0"/>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7"/>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7"/>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1128"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726"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726" w:type="dxa"/>
            <w:noWrap w:val="0"/>
            <w:vAlign w:val="top"/>
          </w:tcPr>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360" w:lineRule="auto"/>
              <w:jc w:val="left"/>
              <w:rPr>
                <w:rFonts w:hint="eastAsia"/>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w:t>
            </w:r>
            <w:r>
              <w:rPr>
                <w:rFonts w:hint="eastAsia" w:ascii="仿宋" w:hAnsi="仿宋" w:eastAsia="仿宋" w:cs="仿宋"/>
                <w:i w:val="0"/>
                <w:iCs w:val="0"/>
                <w:color w:val="auto"/>
                <w:kern w:val="0"/>
                <w:sz w:val="24"/>
                <w:szCs w:val="24"/>
                <w:highlight w:val="none"/>
                <w:u w:val="none"/>
                <w:lang w:val="en-US" w:eastAsia="zh-CN" w:bidi="ar"/>
              </w:rPr>
              <w:t>文体赛事活动</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1、每项业绩按以下要求提供完整准确的证明文件，一个合同计算一个业绩，一年一签的续签合同只计算一个业绩：</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360" w:lineRule="auto"/>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726" w:type="dxa"/>
            <w:noWrap w:val="0"/>
            <w:vAlign w:val="center"/>
          </w:tcPr>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1、具有本科（或以上）学历，每提供上述学历的得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分（注：提供重复学历的其他人员不累计分值。）；</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w:t>
            </w:r>
            <w:r>
              <w:rPr>
                <w:rFonts w:hint="eastAsia" w:ascii="仿宋" w:hAnsi="仿宋" w:eastAsia="仿宋" w:cs="仿宋"/>
                <w:color w:val="auto"/>
                <w:sz w:val="24"/>
                <w:szCs w:val="24"/>
                <w:highlight w:val="none"/>
                <w:lang w:eastAsia="zh-CN"/>
              </w:rPr>
              <w:t>体育赛事</w:t>
            </w:r>
            <w:r>
              <w:rPr>
                <w:rFonts w:hint="eastAsia" w:ascii="仿宋" w:hAnsi="仿宋" w:eastAsia="仿宋" w:cs="仿宋"/>
                <w:color w:val="auto"/>
                <w:sz w:val="24"/>
                <w:szCs w:val="24"/>
                <w:highlight w:val="none"/>
                <w:lang w:val="en-US" w:eastAsia="zh-CN"/>
              </w:rPr>
              <w:t>活动</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同一人具备1至</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pStyle w:val="2"/>
              <w:rPr>
                <w:rFonts w:hint="eastAsia"/>
                <w:lang w:eastAsia="zh-CN"/>
              </w:rPr>
            </w:pPr>
          </w:p>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r>
              <w:rPr>
                <w:rFonts w:hint="eastAsia" w:ascii="仿宋_GB2312" w:hAnsi="仿宋_GB2312" w:eastAsia="仿宋_GB2312" w:cs="仿宋_GB2312"/>
                <w:sz w:val="24"/>
                <w:szCs w:val="24"/>
                <w:lang w:eastAsia="zh-CN"/>
              </w:rPr>
              <w:t>；</w:t>
            </w:r>
          </w:p>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服务承诺（5分）</w:t>
            </w:r>
          </w:p>
        </w:tc>
        <w:tc>
          <w:tcPr>
            <w:tcW w:w="6726" w:type="dxa"/>
            <w:noWrap w:val="0"/>
            <w:vAlign w:val="center"/>
          </w:tcPr>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adjustRightInd w:val="0"/>
              <w:snapToGri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在服务期满后主动交接项目相关资料。</w:t>
            </w:r>
          </w:p>
          <w:p>
            <w:pPr>
              <w:pStyle w:val="2"/>
              <w:rPr>
                <w:rFonts w:hint="eastAsia"/>
              </w:rPr>
            </w:pPr>
          </w:p>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1128"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（25分）</w:t>
            </w:r>
          </w:p>
        </w:tc>
        <w:tc>
          <w:tcPr>
            <w:tcW w:w="6726" w:type="dxa"/>
            <w:noWrap w:val="0"/>
            <w:vAlign w:val="top"/>
          </w:tcPr>
          <w:p>
            <w:pPr>
              <w:topLinePunct/>
              <w:snapToGrid w:val="0"/>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项目整体规划方案</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活动应急处置预案</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活动医疗人员及物品保障方案</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numPr>
                <w:ilvl w:val="0"/>
                <w:numId w:val="0"/>
              </w:numPr>
              <w:snapToGrid/>
              <w:spacing w:line="360" w:lineRule="auto"/>
              <w:jc w:val="left"/>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活动人员配置；</w:t>
            </w:r>
          </w:p>
          <w:p>
            <w:pPr>
              <w:pStyle w:val="2"/>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_GB2312" w:hAnsi="仿宋_GB2312" w:eastAsia="仿宋_GB2312" w:cs="仿宋_GB2312"/>
                <w:sz w:val="24"/>
                <w:szCs w:val="24"/>
              </w:rPr>
              <w:t>、</w:t>
            </w:r>
            <w:r>
              <w:rPr>
                <w:rFonts w:hint="eastAsia" w:ascii="仿宋" w:hAnsi="仿宋" w:eastAsia="仿宋" w:cs="仿宋"/>
                <w:sz w:val="24"/>
                <w:szCs w:val="24"/>
                <w:lang w:val="en-US" w:eastAsia="zh-CN"/>
              </w:rPr>
              <w:t>活动宣传方案</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snapToGrid/>
              <w:spacing w:line="360" w:lineRule="auto"/>
              <w:ind w:leftChars="0"/>
              <w:jc w:val="left"/>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活动后勤保障方案。</w:t>
            </w:r>
          </w:p>
          <w:p>
            <w:pPr>
              <w:pStyle w:val="2"/>
            </w:pPr>
          </w:p>
          <w:p>
            <w:pPr>
              <w:topLinePunct/>
              <w:snapToGri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满足以上任意一项要求得3分，最高得18分，在此基础上。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lang w:val="en-US" w:eastAsia="zh-CN"/>
              </w:rPr>
              <w:t>优：项目实施方案内容全面、具体、针对性强、科学合理、可操作性强得7分；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lang w:val="en-US" w:eastAsia="zh-CN"/>
              </w:rPr>
              <w:t>良：项目实施方案内容较丰富、较具体、针对性较强、较科学合理、可操作性较强得5分；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lang w:val="en-US" w:eastAsia="zh-CN"/>
              </w:rPr>
              <w:t>中：项目实施方案内容、针对性、可操作性一般得3分；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lang w:val="en-US" w:eastAsia="zh-CN"/>
              </w:rPr>
              <w:t>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（20分）</w:t>
            </w:r>
          </w:p>
        </w:tc>
        <w:tc>
          <w:tcPr>
            <w:tcW w:w="6726" w:type="dxa"/>
            <w:noWrap w:val="0"/>
            <w:vAlign w:val="top"/>
          </w:tcPr>
          <w:p>
            <w:pPr>
              <w:topLinePunct/>
              <w:snapToGrid w:val="0"/>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详细阐述本项目存在的重难点问题；</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根据项目重难点，详细阐述对应的应对措施；</w:t>
            </w:r>
          </w:p>
          <w:p>
            <w:pPr>
              <w:pStyle w:val="2"/>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向招</w:t>
            </w:r>
            <w:r>
              <w:rPr>
                <w:rFonts w:hint="eastAsia" w:ascii="仿宋_GB2312" w:hAnsi="仿宋_GB2312" w:eastAsia="仿宋_GB2312" w:cs="仿宋_GB2312"/>
                <w:kern w:val="2"/>
                <w:sz w:val="24"/>
                <w:szCs w:val="24"/>
                <w:lang w:val="en-US" w:eastAsia="zh-CN" w:bidi="ar-SA"/>
              </w:rPr>
              <w:t>标方提出项目实施的其他</w:t>
            </w:r>
            <w:r>
              <w:rPr>
                <w:rFonts w:hint="eastAsia" w:ascii="仿宋_GB2312" w:hAnsi="仿宋_GB2312" w:eastAsia="仿宋_GB2312" w:cs="仿宋_GB2312"/>
                <w:sz w:val="24"/>
                <w:szCs w:val="24"/>
                <w:lang w:val="en-US" w:eastAsia="zh-CN"/>
              </w:rPr>
              <w:t>具体建议。</w:t>
            </w:r>
          </w:p>
          <w:p>
            <w:pPr>
              <w:rPr>
                <w:rFonts w:hint="default"/>
                <w:lang w:val="en-US"/>
              </w:rPr>
            </w:pP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FF0000"/>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8"/>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8"/>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三个月的，可提供加盖公章的情况说明或其他相关证明材料。</w:t>
      </w:r>
    </w:p>
    <w:p>
      <w:pPr>
        <w:pStyle w:val="8"/>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lang w:val="en-US" w:eastAsia="zh-CN"/>
        </w:rPr>
        <w:t>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i w:val="0"/>
          <w:caps w:val="0"/>
          <w:color w:val="auto"/>
          <w:spacing w:val="8"/>
          <w:kern w:val="2"/>
          <w:sz w:val="32"/>
          <w:szCs w:val="32"/>
          <w:lang w:val="en-US" w:eastAsia="zh-CN" w:bidi="ar-SA"/>
        </w:rPr>
        <w:t>2026年全国计划单列五城市第六届元老网球团体赛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pStyle w:val="18"/>
        <w:spacing w:line="560" w:lineRule="exact"/>
        <w:ind w:firstLine="0" w:firstLineChars="0"/>
        <w:rPr>
          <w:rFonts w:hint="default" w:ascii="黑体" w:hAnsi="黑体" w:eastAsia="黑体" w:cs="黑体"/>
          <w:color w:val="auto"/>
          <w:sz w:val="32"/>
          <w:szCs w:val="32"/>
          <w:lang w:val="en-US" w:eastAsia="zh-CN"/>
        </w:rPr>
      </w:pPr>
      <w:bookmarkStart w:id="1" w:name="_GoBack"/>
      <w:bookmarkEnd w:id="1"/>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pStyle w:val="18"/>
        <w:spacing w:line="56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供应商基本情况表</w:t>
      </w:r>
    </w:p>
    <w:p>
      <w:pPr>
        <w:spacing w:line="560" w:lineRule="exact"/>
        <w:jc w:val="lef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填表单位：（加盖单位公章）</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采购人</w:t>
            </w:r>
          </w:p>
        </w:tc>
        <w:tc>
          <w:tcPr>
            <w:tcW w:w="2553" w:type="dxa"/>
            <w:gridSpan w:val="2"/>
            <w:noWrap w:val="0"/>
            <w:vAlign w:val="center"/>
          </w:tcPr>
          <w:p>
            <w:pPr>
              <w:jc w:val="left"/>
              <w:rPr>
                <w:rFonts w:ascii="方正仿宋_GBK" w:hAnsi="方正仿宋_GBK" w:eastAsia="方正仿宋_GBK" w:cs="方正仿宋_GBK"/>
                <w:color w:val="auto"/>
                <w:sz w:val="24"/>
              </w:rPr>
            </w:pPr>
          </w:p>
        </w:tc>
        <w:tc>
          <w:tcPr>
            <w:tcW w:w="1991" w:type="dxa"/>
            <w:gridSpan w:val="2"/>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w:t>
            </w:r>
          </w:p>
        </w:tc>
        <w:tc>
          <w:tcPr>
            <w:tcW w:w="3645" w:type="dxa"/>
            <w:gridSpan w:val="2"/>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投标（响应）供应商</w:t>
            </w:r>
          </w:p>
        </w:tc>
        <w:tc>
          <w:tcPr>
            <w:tcW w:w="2553" w:type="dxa"/>
            <w:gridSpan w:val="2"/>
            <w:noWrap w:val="0"/>
            <w:vAlign w:val="center"/>
          </w:tcPr>
          <w:p>
            <w:pPr>
              <w:jc w:val="left"/>
              <w:rPr>
                <w:rFonts w:ascii="方正仿宋_GBK" w:hAnsi="方正仿宋_GBK" w:eastAsia="方正仿宋_GBK" w:cs="方正仿宋_GBK"/>
                <w:color w:val="auto"/>
                <w:sz w:val="24"/>
              </w:rPr>
            </w:pPr>
          </w:p>
        </w:tc>
        <w:tc>
          <w:tcPr>
            <w:tcW w:w="1991" w:type="dxa"/>
            <w:gridSpan w:val="2"/>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供应商统一社会信用代码</w:t>
            </w:r>
          </w:p>
        </w:tc>
        <w:tc>
          <w:tcPr>
            <w:tcW w:w="3645" w:type="dxa"/>
            <w:gridSpan w:val="2"/>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b/>
                <w:bCs/>
                <w:color w:val="auto"/>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劳动合同</w:t>
            </w:r>
          </w:p>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缴纳社会</w:t>
            </w:r>
          </w:p>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color w:val="auto"/>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color w:val="auto"/>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color w:val="auto"/>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4</w:t>
            </w:r>
          </w:p>
        </w:tc>
        <w:tc>
          <w:tcPr>
            <w:tcW w:w="2345" w:type="dxa"/>
            <w:gridSpan w:val="2"/>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主要技术人员</w:t>
            </w:r>
          </w:p>
        </w:tc>
        <w:tc>
          <w:tcPr>
            <w:tcW w:w="1270" w:type="dxa"/>
            <w:noWrap w:val="0"/>
            <w:vAlign w:val="center"/>
          </w:tcPr>
          <w:p>
            <w:pPr>
              <w:jc w:val="left"/>
              <w:rPr>
                <w:rFonts w:ascii="方正仿宋_GBK" w:hAnsi="方正仿宋_GBK" w:eastAsia="方正仿宋_GBK" w:cs="方正仿宋_GBK"/>
                <w:color w:val="auto"/>
                <w:sz w:val="24"/>
              </w:rPr>
            </w:pPr>
          </w:p>
        </w:tc>
        <w:tc>
          <w:tcPr>
            <w:tcW w:w="1991" w:type="dxa"/>
            <w:gridSpan w:val="2"/>
            <w:noWrap w:val="0"/>
            <w:vAlign w:val="center"/>
          </w:tcPr>
          <w:p>
            <w:pPr>
              <w:jc w:val="left"/>
              <w:rPr>
                <w:rFonts w:ascii="方正仿宋_GBK" w:hAnsi="方正仿宋_GBK" w:eastAsia="方正仿宋_GBK" w:cs="方正仿宋_GBK"/>
                <w:color w:val="auto"/>
                <w:sz w:val="24"/>
              </w:rPr>
            </w:pPr>
          </w:p>
        </w:tc>
        <w:tc>
          <w:tcPr>
            <w:tcW w:w="1500" w:type="dxa"/>
            <w:noWrap w:val="0"/>
            <w:vAlign w:val="center"/>
          </w:tcPr>
          <w:p>
            <w:pPr>
              <w:jc w:val="left"/>
              <w:rPr>
                <w:rFonts w:ascii="方正仿宋_GBK" w:hAnsi="方正仿宋_GBK" w:eastAsia="方正仿宋_GBK" w:cs="方正仿宋_GBK"/>
                <w:color w:val="auto"/>
                <w:sz w:val="24"/>
              </w:rPr>
            </w:pPr>
          </w:p>
        </w:tc>
        <w:tc>
          <w:tcPr>
            <w:tcW w:w="2145" w:type="dxa"/>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投标文件编制人员</w:t>
            </w:r>
          </w:p>
        </w:tc>
        <w:tc>
          <w:tcPr>
            <w:tcW w:w="1270" w:type="dxa"/>
            <w:noWrap w:val="0"/>
            <w:vAlign w:val="center"/>
          </w:tcPr>
          <w:p>
            <w:pPr>
              <w:jc w:val="left"/>
              <w:rPr>
                <w:rFonts w:ascii="方正仿宋_GBK" w:hAnsi="方正仿宋_GBK" w:eastAsia="方正仿宋_GBK" w:cs="方正仿宋_GBK"/>
                <w:color w:val="auto"/>
                <w:sz w:val="24"/>
              </w:rPr>
            </w:pPr>
          </w:p>
        </w:tc>
        <w:tc>
          <w:tcPr>
            <w:tcW w:w="1991" w:type="dxa"/>
            <w:gridSpan w:val="2"/>
            <w:noWrap w:val="0"/>
            <w:vAlign w:val="center"/>
          </w:tcPr>
          <w:p>
            <w:pPr>
              <w:jc w:val="left"/>
              <w:rPr>
                <w:rFonts w:ascii="方正仿宋_GBK" w:hAnsi="方正仿宋_GBK" w:eastAsia="方正仿宋_GBK" w:cs="方正仿宋_GBK"/>
                <w:color w:val="auto"/>
                <w:sz w:val="24"/>
              </w:rPr>
            </w:pPr>
          </w:p>
        </w:tc>
        <w:tc>
          <w:tcPr>
            <w:tcW w:w="1500" w:type="dxa"/>
            <w:noWrap w:val="0"/>
            <w:vAlign w:val="center"/>
          </w:tcPr>
          <w:p>
            <w:pPr>
              <w:jc w:val="left"/>
              <w:rPr>
                <w:rFonts w:ascii="方正仿宋_GBK" w:hAnsi="方正仿宋_GBK" w:eastAsia="方正仿宋_GBK" w:cs="方正仿宋_GBK"/>
                <w:color w:val="auto"/>
                <w:sz w:val="24"/>
              </w:rPr>
            </w:pPr>
          </w:p>
        </w:tc>
        <w:tc>
          <w:tcPr>
            <w:tcW w:w="2145" w:type="dxa"/>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b/>
                <w:bCs/>
                <w:color w:val="auto"/>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color w:val="auto"/>
                <w:sz w:val="24"/>
              </w:rPr>
            </w:pPr>
            <w:r>
              <w:rPr>
                <w:rFonts w:hint="eastAsia" w:ascii="方正仿宋_GBK" w:hAnsi="方正仿宋_GBK" w:eastAsia="方正仿宋_GBK" w:cs="方正仿宋_GBK"/>
                <w:b/>
                <w:bCs/>
                <w:color w:val="auto"/>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b/>
                <w:bCs/>
                <w:color w:val="auto"/>
                <w:sz w:val="24"/>
              </w:rPr>
              <w:t>说明：同一关联关系类型有多个主体的，应分行填写。</w:t>
            </w:r>
          </w:p>
        </w:tc>
      </w:tr>
    </w:tbl>
    <w:p>
      <w:pPr>
        <w:rPr>
          <w:rFonts w:hint="default"/>
          <w:color w:val="auto"/>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Microsoft YaHei U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1D17FD6"/>
    <w:rsid w:val="03711721"/>
    <w:rsid w:val="04D5397F"/>
    <w:rsid w:val="085466BD"/>
    <w:rsid w:val="0A4725AB"/>
    <w:rsid w:val="0A6A407D"/>
    <w:rsid w:val="0D3D3014"/>
    <w:rsid w:val="0D566BC9"/>
    <w:rsid w:val="14A2631D"/>
    <w:rsid w:val="14C34F24"/>
    <w:rsid w:val="165D6C96"/>
    <w:rsid w:val="16DF0992"/>
    <w:rsid w:val="208E19AB"/>
    <w:rsid w:val="20D34CF2"/>
    <w:rsid w:val="21D46991"/>
    <w:rsid w:val="247733EB"/>
    <w:rsid w:val="2479030C"/>
    <w:rsid w:val="255A7798"/>
    <w:rsid w:val="25EC1AD2"/>
    <w:rsid w:val="27A56A4D"/>
    <w:rsid w:val="293E783A"/>
    <w:rsid w:val="2A9B6092"/>
    <w:rsid w:val="2C5E5FE4"/>
    <w:rsid w:val="326E42CA"/>
    <w:rsid w:val="32AA04EC"/>
    <w:rsid w:val="33814EAA"/>
    <w:rsid w:val="340805C4"/>
    <w:rsid w:val="34680952"/>
    <w:rsid w:val="34AE11E9"/>
    <w:rsid w:val="3AFD213B"/>
    <w:rsid w:val="3BC62CE0"/>
    <w:rsid w:val="3DEE05C9"/>
    <w:rsid w:val="448648CA"/>
    <w:rsid w:val="4531456C"/>
    <w:rsid w:val="46762784"/>
    <w:rsid w:val="4B4B2FA2"/>
    <w:rsid w:val="4C6D6897"/>
    <w:rsid w:val="4C8036C3"/>
    <w:rsid w:val="4D786F5D"/>
    <w:rsid w:val="521408D6"/>
    <w:rsid w:val="58A1230D"/>
    <w:rsid w:val="58B24661"/>
    <w:rsid w:val="5F2BE56A"/>
    <w:rsid w:val="5FFF63D0"/>
    <w:rsid w:val="62593BEF"/>
    <w:rsid w:val="635C6772"/>
    <w:rsid w:val="671D4941"/>
    <w:rsid w:val="67BF5D29"/>
    <w:rsid w:val="69701D6D"/>
    <w:rsid w:val="6A68741F"/>
    <w:rsid w:val="6DFFCD9E"/>
    <w:rsid w:val="6EBD5A97"/>
    <w:rsid w:val="71356DFE"/>
    <w:rsid w:val="71BB412E"/>
    <w:rsid w:val="72B96096"/>
    <w:rsid w:val="77280C6D"/>
    <w:rsid w:val="78BC004E"/>
    <w:rsid w:val="795310F0"/>
    <w:rsid w:val="7D9F3A20"/>
    <w:rsid w:val="7DD39989"/>
    <w:rsid w:val="B7FE4D38"/>
    <w:rsid w:val="BBFF548B"/>
    <w:rsid w:val="DFFF69F1"/>
    <w:rsid w:val="E376E1AF"/>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r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default" w:ascii="Microsoft YaHei UI" w:hAnsi="Microsoft YaHei UI" w:eastAsia="Microsoft YaHei UI" w:cs="Microsoft YaHei UI"/>
      <w:color w:val="000000"/>
      <w:sz w:val="22"/>
      <w:szCs w:val="22"/>
      <w:u w:val="none"/>
    </w:rPr>
  </w:style>
  <w:style w:type="character" w:customStyle="1" w:styleId="21">
    <w:name w:val="font61"/>
    <w:basedOn w:val="14"/>
    <w:qFormat/>
    <w:uiPriority w:val="0"/>
    <w:rPr>
      <w:rFonts w:hint="default" w:ascii="仿宋GB2312" w:hAnsi="仿宋GB2312" w:eastAsia="仿宋GB2312" w:cs="仿宋GB2312"/>
      <w:color w:val="000000"/>
      <w:sz w:val="22"/>
      <w:szCs w:val="22"/>
      <w:u w:val="none"/>
    </w:rPr>
  </w:style>
  <w:style w:type="character" w:customStyle="1" w:styleId="22">
    <w:name w:val="font31"/>
    <w:basedOn w:val="14"/>
    <w:qFormat/>
    <w:uiPriority w:val="0"/>
    <w:rPr>
      <w:rFonts w:hint="default" w:ascii="Microsoft YaHei UI" w:hAnsi="Microsoft YaHei UI" w:eastAsia="Microsoft YaHei UI" w:cs="Microsoft YaHei UI"/>
      <w:color w:val="000000"/>
      <w:sz w:val="22"/>
      <w:szCs w:val="22"/>
      <w:u w:val="none"/>
    </w:rPr>
  </w:style>
  <w:style w:type="character" w:customStyle="1" w:styleId="23">
    <w:name w:val="font71"/>
    <w:basedOn w:val="14"/>
    <w:qFormat/>
    <w:uiPriority w:val="0"/>
    <w:rPr>
      <w:rFonts w:hint="default" w:ascii="仿宋GB2312" w:hAnsi="仿宋GB2312" w:eastAsia="仿宋GB2312" w:cs="仿宋GB2312"/>
      <w:color w:val="000000"/>
      <w:sz w:val="22"/>
      <w:szCs w:val="22"/>
      <w:u w:val="none"/>
    </w:rPr>
  </w:style>
  <w:style w:type="character" w:customStyle="1" w:styleId="24">
    <w:name w:val="font51"/>
    <w:basedOn w:val="14"/>
    <w:qFormat/>
    <w:uiPriority w:val="0"/>
    <w:rPr>
      <w:rFonts w:hint="default" w:ascii="仿宋GB2312" w:hAnsi="仿宋GB2312" w:eastAsia="仿宋GB2312" w:cs="仿宋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4240</Words>
  <Characters>4455</Characters>
  <Lines>0</Lines>
  <Paragraphs>0</Paragraphs>
  <TotalTime>3</TotalTime>
  <ScaleCrop>false</ScaleCrop>
  <LinksUpToDate>false</LinksUpToDate>
  <CharactersWithSpaces>4586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2025-04-13T17:16:00Z</dcterms:created>
  <dc:creator>yang</dc:creator>
  <cp:lastModifiedBy>lxy</cp:lastModifiedBy>
  <cp:lastPrinted>2026-01-28T11:00:00Z</cp:lastPrinted>
  <dcterms:modified xsi:type="dcterms:W3CDTF">2026-02-05T17:22:21Z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D1D33C051FD3487186DA5EBA50CEF23B</vt:lpwstr>
  </property>
  <property fmtid="{D5CDD505-2E9C-101B-9397-08002B2CF9AE}" pid="4" name="KSOTemplateDocerSaveRecord">
    <vt:lpwstr>eyJoZGlkIjoiNjI1M2EyYWJiMDc1NDk4Yzc0MzY5NDVhY2ZkY2UxZGEiLCJ1c2VySWQiOiIzODAzMjc4MTgifQ==</vt:lpwstr>
  </property>
</Properties>
</file>