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2026年全国计划单列五城市第六届元老</w:t>
      </w:r>
    </w:p>
    <w:p>
      <w:pPr>
        <w:spacing w:line="56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网球团体赛</w:t>
      </w:r>
      <w:r>
        <w:rPr>
          <w:rFonts w:hint="eastAsia" w:ascii="方正小标宋简体" w:hAnsi="方正小标宋简体" w:eastAsia="方正小标宋简体" w:cs="方正小标宋简体"/>
          <w:color w:val="auto"/>
          <w:sz w:val="44"/>
          <w:szCs w:val="44"/>
        </w:rPr>
        <w:t>项目需求书</w:t>
      </w:r>
    </w:p>
    <w:p>
      <w:pPr>
        <w:pStyle w:val="9"/>
        <w:spacing w:line="560" w:lineRule="exact"/>
        <w:jc w:val="center"/>
        <w:rPr>
          <w:rFonts w:ascii="方正小标宋简体" w:hAnsi="方正小标宋简体" w:eastAsia="方正小标宋简体" w:cs="方正小标宋简体"/>
          <w:color w:val="auto"/>
          <w:spacing w:val="17"/>
          <w:sz w:val="44"/>
          <w:szCs w:val="44"/>
        </w:rPr>
      </w:pPr>
    </w:p>
    <w:p>
      <w:pPr>
        <w:numPr>
          <w:ilvl w:val="0"/>
          <w:numId w:val="1"/>
        </w:numPr>
        <w:tabs>
          <w:tab w:val="left" w:pos="1820"/>
        </w:tabs>
        <w:snapToGrid w:val="0"/>
        <w:spacing w:line="560" w:lineRule="exact"/>
        <w:ind w:firstLine="640" w:firstLineChars="200"/>
        <w:rPr>
          <w:rFonts w:hint="eastAsia" w:ascii="黑体" w:hAnsi="黑体" w:eastAsia="黑体" w:cs="黑体"/>
          <w:bCs/>
          <w:color w:val="auto"/>
          <w:sz w:val="32"/>
          <w:szCs w:val="32"/>
        </w:rPr>
      </w:pPr>
      <w:r>
        <w:rPr>
          <w:rFonts w:hint="eastAsia" w:ascii="黑体" w:hAnsi="黑体" w:eastAsia="黑体" w:cs="黑体"/>
          <w:bCs/>
          <w:color w:val="auto"/>
          <w:sz w:val="32"/>
          <w:szCs w:val="32"/>
        </w:rPr>
        <w:t>项目目标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eastAsia="仿宋_GB2312"/>
          <w:color w:val="auto"/>
          <w:lang w:eastAsia="zh-CN"/>
        </w:rPr>
      </w:pPr>
      <w:r>
        <w:rPr>
          <w:rFonts w:hint="eastAsia" w:ascii="仿宋_GB2312" w:hAnsi="仿宋" w:eastAsia="仿宋_GB2312" w:cs="仿宋"/>
          <w:color w:val="auto"/>
          <w:kern w:val="2"/>
          <w:sz w:val="32"/>
          <w:szCs w:val="32"/>
          <w:lang w:val="en-US" w:eastAsia="zh-CN" w:bidi="ar-SA"/>
        </w:rPr>
        <w:t>完成</w:t>
      </w:r>
      <w:r>
        <w:rPr>
          <w:rFonts w:hint="eastAsia" w:ascii="仿宋_GB2312" w:hAnsi="仿宋_GB2312" w:eastAsia="仿宋_GB2312" w:cs="仿宋_GB2312"/>
          <w:i w:val="0"/>
          <w:caps w:val="0"/>
          <w:color w:val="auto"/>
          <w:spacing w:val="8"/>
          <w:kern w:val="2"/>
          <w:sz w:val="32"/>
          <w:szCs w:val="32"/>
          <w:lang w:val="en-US" w:eastAsia="zh-CN" w:bidi="ar-SA"/>
        </w:rPr>
        <w:t>2026年全国计划单列五城市第六届元老网球团体赛</w:t>
      </w:r>
      <w:r>
        <w:rPr>
          <w:rFonts w:hint="eastAsia" w:ascii="仿宋_GB2312" w:hAnsi="仿宋" w:eastAsia="仿宋_GB2312" w:cs="仿宋"/>
          <w:color w:val="auto"/>
          <w:kern w:val="2"/>
          <w:sz w:val="32"/>
          <w:szCs w:val="32"/>
          <w:lang w:val="en-US" w:eastAsia="zh-CN" w:bidi="ar-SA"/>
        </w:rPr>
        <w:t>项目落地执行。</w:t>
      </w:r>
    </w:p>
    <w:p>
      <w:pPr>
        <w:tabs>
          <w:tab w:val="left" w:pos="1820"/>
        </w:tabs>
        <w:snapToGrid w:val="0"/>
        <w:spacing w:line="560" w:lineRule="exact"/>
        <w:ind w:firstLine="640" w:firstLineChars="200"/>
        <w:rPr>
          <w:rFonts w:hint="eastAsia" w:ascii="黑体" w:hAnsi="黑体" w:eastAsia="黑体" w:cs="黑体"/>
          <w:bCs/>
          <w:color w:val="auto"/>
          <w:sz w:val="32"/>
          <w:szCs w:val="32"/>
          <w:lang w:eastAsia="zh-CN"/>
        </w:rPr>
      </w:pPr>
      <w:r>
        <w:rPr>
          <w:rFonts w:hint="eastAsia" w:ascii="黑体" w:hAnsi="黑体" w:eastAsia="黑体" w:cs="黑体"/>
          <w:bCs/>
          <w:color w:val="auto"/>
          <w:sz w:val="32"/>
          <w:szCs w:val="32"/>
        </w:rPr>
        <w:t>二、</w:t>
      </w:r>
      <w:r>
        <w:rPr>
          <w:rFonts w:hint="eastAsia" w:ascii="黑体" w:hAnsi="黑体" w:eastAsia="黑体" w:cs="黑体"/>
          <w:bCs/>
          <w:color w:val="auto"/>
          <w:sz w:val="32"/>
          <w:szCs w:val="32"/>
          <w:lang w:eastAsia="zh-CN"/>
        </w:rPr>
        <w:t>服务时间</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eastAsia="仿宋_GB2312"/>
          <w:color w:val="auto"/>
          <w:sz w:val="32"/>
          <w:szCs w:val="32"/>
          <w:lang w:val="en-US" w:eastAsia="zh-CN"/>
        </w:rPr>
      </w:pPr>
      <w:r>
        <w:rPr>
          <w:rFonts w:hint="default" w:ascii="仿宋_GB2312" w:eastAsia="仿宋_GB2312"/>
          <w:color w:val="auto"/>
          <w:sz w:val="32"/>
          <w:szCs w:val="32"/>
          <w:lang w:val="en" w:eastAsia="zh-CN"/>
        </w:rPr>
        <w:t>202</w:t>
      </w:r>
      <w:r>
        <w:rPr>
          <w:rFonts w:hint="eastAsia" w:ascii="仿宋_GB2312" w:eastAsia="仿宋_GB2312"/>
          <w:color w:val="auto"/>
          <w:sz w:val="32"/>
          <w:szCs w:val="32"/>
          <w:lang w:val="en-US" w:eastAsia="zh-CN"/>
        </w:rPr>
        <w:t>6</w:t>
      </w:r>
      <w:r>
        <w:rPr>
          <w:rFonts w:hint="default" w:ascii="仿宋_GB2312" w:eastAsia="仿宋_GB2312"/>
          <w:color w:val="auto"/>
          <w:sz w:val="32"/>
          <w:szCs w:val="32"/>
          <w:lang w:val="en" w:eastAsia="zh-CN"/>
        </w:rPr>
        <w:t>年</w:t>
      </w:r>
      <w:r>
        <w:rPr>
          <w:rFonts w:hint="eastAsia" w:ascii="仿宋_GB2312" w:eastAsia="仿宋_GB2312"/>
          <w:color w:val="auto"/>
          <w:sz w:val="32"/>
          <w:szCs w:val="32"/>
          <w:lang w:val="en-US" w:eastAsia="zh-CN"/>
        </w:rPr>
        <w:t>3</w:t>
      </w:r>
      <w:r>
        <w:rPr>
          <w:rFonts w:hint="default" w:ascii="仿宋_GB2312" w:eastAsia="仿宋_GB2312"/>
          <w:color w:val="auto"/>
          <w:sz w:val="32"/>
          <w:szCs w:val="32"/>
          <w:lang w:val="en" w:eastAsia="zh-CN"/>
        </w:rPr>
        <w:t>月</w:t>
      </w:r>
      <w:r>
        <w:rPr>
          <w:rFonts w:hint="eastAsia" w:ascii="仿宋_GB2312" w:eastAsia="仿宋_GB2312"/>
          <w:color w:val="auto"/>
          <w:sz w:val="32"/>
          <w:szCs w:val="32"/>
          <w:lang w:val="en-US" w:eastAsia="zh-CN"/>
        </w:rPr>
        <w:t>16日-3月17日</w:t>
      </w:r>
      <w:r>
        <w:rPr>
          <w:rFonts w:hint="eastAsia" w:ascii="仿宋_GB2312" w:hAnsi="仿宋_GB2312" w:eastAsia="仿宋_GB2312" w:cs="仿宋_GB2312"/>
          <w:sz w:val="32"/>
          <w:szCs w:val="36"/>
        </w:rPr>
        <w:t>（暂定）</w:t>
      </w:r>
    </w:p>
    <w:p>
      <w:pPr>
        <w:tabs>
          <w:tab w:val="left" w:pos="1820"/>
        </w:tabs>
        <w:snapToGrid w:val="0"/>
        <w:spacing w:line="560" w:lineRule="exact"/>
        <w:ind w:firstLine="640" w:firstLineChars="200"/>
        <w:rPr>
          <w:rFonts w:ascii="黑体" w:hAnsi="黑体" w:eastAsia="黑体" w:cs="黑体"/>
          <w:bCs/>
          <w:color w:val="auto"/>
          <w:sz w:val="32"/>
          <w:szCs w:val="32"/>
        </w:rPr>
      </w:pPr>
      <w:r>
        <w:rPr>
          <w:rFonts w:hint="eastAsia" w:ascii="黑体" w:hAnsi="黑体" w:eastAsia="黑体" w:cs="黑体"/>
          <w:bCs/>
          <w:color w:val="auto"/>
          <w:sz w:val="32"/>
          <w:szCs w:val="32"/>
        </w:rPr>
        <w:t>三、</w:t>
      </w:r>
      <w:bookmarkStart w:id="0" w:name="OLE_LINK2"/>
      <w:r>
        <w:rPr>
          <w:rFonts w:hint="eastAsia" w:ascii="黑体" w:hAnsi="黑体" w:eastAsia="黑体" w:cs="黑体"/>
          <w:bCs/>
          <w:color w:val="auto"/>
          <w:sz w:val="32"/>
          <w:szCs w:val="32"/>
        </w:rPr>
        <w:t>项目内容及要求</w:t>
      </w:r>
      <w:bookmarkEnd w:id="0"/>
    </w:p>
    <w:p>
      <w:pPr>
        <w:spacing w:line="560" w:lineRule="exact"/>
        <w:ind w:firstLine="640" w:firstLineChars="20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（一）项目内容</w:t>
      </w:r>
    </w:p>
    <w:p>
      <w:pPr>
        <w:pStyle w:val="2"/>
        <w:ind w:firstLine="640" w:firstLineChars="200"/>
        <w:rPr>
          <w:rFonts w:hint="eastAsia"/>
          <w:color w:val="auto"/>
        </w:rPr>
      </w:pPr>
      <w:r>
        <w:rPr>
          <w:rFonts w:hint="eastAsia" w:ascii="仿宋_GB2312" w:eastAsia="仿宋_GB2312"/>
          <w:color w:val="auto"/>
          <w:kern w:val="2"/>
          <w:sz w:val="32"/>
          <w:szCs w:val="32"/>
          <w:highlight w:val="none"/>
          <w:lang w:bidi="ar"/>
        </w:rPr>
        <w:t>为全面推进落实全民健身计划，广泛开展群众体育活动与竞赛，促进我区体育健身事业发展，提高我区文旅影响力，</w:t>
      </w:r>
      <w:r>
        <w:rPr>
          <w:rFonts w:hint="eastAsia" w:ascii="仿宋_GB2312" w:eastAsia="仿宋_GB2312"/>
          <w:color w:val="auto"/>
          <w:kern w:val="2"/>
          <w:sz w:val="32"/>
          <w:szCs w:val="32"/>
          <w:highlight w:val="none"/>
          <w:lang w:eastAsia="zh-CN" w:bidi="ar"/>
        </w:rPr>
        <w:t>暂</w:t>
      </w:r>
      <w:r>
        <w:rPr>
          <w:rFonts w:hint="eastAsia" w:ascii="仿宋_GB2312" w:eastAsia="仿宋_GB2312"/>
          <w:color w:val="auto"/>
          <w:kern w:val="2"/>
          <w:sz w:val="32"/>
          <w:szCs w:val="32"/>
          <w:highlight w:val="none"/>
          <w:lang w:bidi="ar"/>
        </w:rPr>
        <w:t>定于202</w:t>
      </w:r>
      <w:r>
        <w:rPr>
          <w:rFonts w:hint="eastAsia" w:ascii="仿宋_GB2312" w:eastAsia="仿宋_GB2312"/>
          <w:color w:val="auto"/>
          <w:kern w:val="2"/>
          <w:sz w:val="32"/>
          <w:szCs w:val="32"/>
          <w:highlight w:val="none"/>
          <w:lang w:val="en-US" w:eastAsia="zh-CN" w:bidi="ar"/>
        </w:rPr>
        <w:t>6</w:t>
      </w:r>
      <w:r>
        <w:rPr>
          <w:rFonts w:hint="eastAsia" w:ascii="仿宋_GB2312" w:eastAsia="仿宋_GB2312"/>
          <w:color w:val="auto"/>
          <w:kern w:val="2"/>
          <w:sz w:val="32"/>
          <w:szCs w:val="32"/>
          <w:highlight w:val="none"/>
          <w:lang w:bidi="ar"/>
        </w:rPr>
        <w:t>年</w:t>
      </w:r>
      <w:r>
        <w:rPr>
          <w:rFonts w:hint="eastAsia" w:ascii="仿宋_GB2312" w:eastAsia="仿宋_GB2312"/>
          <w:color w:val="auto"/>
          <w:kern w:val="2"/>
          <w:sz w:val="32"/>
          <w:szCs w:val="32"/>
          <w:highlight w:val="none"/>
          <w:lang w:val="en-US" w:eastAsia="zh-CN" w:bidi="ar"/>
        </w:rPr>
        <w:t>3</w:t>
      </w:r>
      <w:r>
        <w:rPr>
          <w:rFonts w:hint="eastAsia" w:ascii="仿宋_GB2312" w:eastAsia="仿宋_GB2312"/>
          <w:color w:val="auto"/>
          <w:kern w:val="2"/>
          <w:sz w:val="32"/>
          <w:szCs w:val="32"/>
          <w:highlight w:val="none"/>
          <w:lang w:bidi="ar"/>
        </w:rPr>
        <w:t>月1</w:t>
      </w:r>
      <w:r>
        <w:rPr>
          <w:rFonts w:hint="eastAsia" w:ascii="仿宋_GB2312" w:eastAsia="仿宋_GB2312"/>
          <w:color w:val="auto"/>
          <w:kern w:val="2"/>
          <w:sz w:val="32"/>
          <w:szCs w:val="32"/>
          <w:highlight w:val="none"/>
          <w:lang w:val="en-US" w:eastAsia="zh-CN" w:bidi="ar"/>
        </w:rPr>
        <w:t>6-17</w:t>
      </w:r>
      <w:r>
        <w:rPr>
          <w:rFonts w:hint="eastAsia" w:ascii="仿宋_GB2312" w:eastAsia="仿宋_GB2312"/>
          <w:color w:val="auto"/>
          <w:kern w:val="2"/>
          <w:sz w:val="32"/>
          <w:szCs w:val="32"/>
          <w:highlight w:val="none"/>
          <w:lang w:bidi="ar"/>
        </w:rPr>
        <w:t>日开展</w:t>
      </w:r>
      <w:r>
        <w:rPr>
          <w:rFonts w:hint="eastAsia" w:ascii="仿宋_GB2312" w:hAnsi="仿宋_GB2312" w:eastAsia="仿宋_GB2312" w:cs="仿宋_GB2312"/>
          <w:i w:val="0"/>
          <w:caps w:val="0"/>
          <w:color w:val="auto"/>
          <w:spacing w:val="8"/>
          <w:kern w:val="2"/>
          <w:sz w:val="32"/>
          <w:szCs w:val="32"/>
          <w:lang w:val="en-US" w:eastAsia="zh-CN" w:bidi="ar-SA"/>
        </w:rPr>
        <w:t>2026年全国计划单列五城市第六届元老网球团体赛</w:t>
      </w:r>
      <w:r>
        <w:rPr>
          <w:rFonts w:hint="eastAsia" w:ascii="仿宋_GB2312" w:eastAsia="仿宋_GB2312"/>
          <w:color w:val="auto"/>
          <w:kern w:val="2"/>
          <w:sz w:val="32"/>
          <w:szCs w:val="32"/>
          <w:highlight w:val="none"/>
          <w:lang w:bidi="ar"/>
        </w:rPr>
        <w:t>活动，活动地点暂定于</w:t>
      </w:r>
      <w:r>
        <w:rPr>
          <w:rFonts w:hint="eastAsia" w:ascii="仿宋_GB2312" w:eastAsia="仿宋_GB2312"/>
          <w:color w:val="auto"/>
          <w:kern w:val="2"/>
          <w:sz w:val="32"/>
          <w:szCs w:val="32"/>
          <w:highlight w:val="none"/>
          <w:lang w:eastAsia="zh-CN" w:bidi="ar"/>
        </w:rPr>
        <w:t>简上体育综合体网球场</w:t>
      </w:r>
      <w:r>
        <w:rPr>
          <w:rFonts w:hint="eastAsia" w:ascii="仿宋_GB2312" w:eastAsia="仿宋_GB2312"/>
          <w:color w:val="auto"/>
          <w:kern w:val="2"/>
          <w:sz w:val="32"/>
          <w:szCs w:val="32"/>
          <w:highlight w:val="none"/>
          <w:lang w:bidi="ar"/>
        </w:rPr>
        <w:t>，约</w:t>
      </w:r>
      <w:r>
        <w:rPr>
          <w:rFonts w:hint="eastAsia" w:ascii="仿宋_GB2312" w:eastAsia="仿宋_GB2312"/>
          <w:color w:val="auto"/>
          <w:kern w:val="2"/>
          <w:sz w:val="32"/>
          <w:szCs w:val="32"/>
          <w:highlight w:val="none"/>
          <w:lang w:val="en-US" w:eastAsia="zh-CN" w:bidi="ar"/>
        </w:rPr>
        <w:t>9</w:t>
      </w:r>
      <w:r>
        <w:rPr>
          <w:rFonts w:hint="eastAsia" w:ascii="仿宋_GB2312" w:eastAsia="仿宋_GB2312"/>
          <w:color w:val="auto"/>
          <w:kern w:val="2"/>
          <w:sz w:val="32"/>
          <w:szCs w:val="32"/>
          <w:highlight w:val="none"/>
          <w:lang w:bidi="ar"/>
        </w:rPr>
        <w:t>0人参</w:t>
      </w:r>
      <w:r>
        <w:rPr>
          <w:rFonts w:hint="eastAsia" w:ascii="仿宋_GB2312" w:eastAsia="仿宋_GB2312"/>
          <w:color w:val="auto"/>
          <w:kern w:val="2"/>
          <w:sz w:val="32"/>
          <w:szCs w:val="32"/>
          <w:highlight w:val="none"/>
          <w:lang w:eastAsia="zh-CN" w:bidi="ar"/>
        </w:rPr>
        <w:t>赛</w:t>
      </w:r>
      <w:r>
        <w:rPr>
          <w:rFonts w:hint="eastAsia" w:ascii="仿宋_GB2312" w:eastAsia="仿宋_GB2312"/>
          <w:color w:val="auto"/>
          <w:kern w:val="2"/>
          <w:sz w:val="32"/>
          <w:szCs w:val="32"/>
          <w:highlight w:val="none"/>
          <w:lang w:bidi="ar"/>
        </w:rPr>
        <w:t>。服务内容包括赛事</w:t>
      </w:r>
      <w:r>
        <w:rPr>
          <w:rFonts w:hint="eastAsia" w:ascii="仿宋_GB2312" w:eastAsia="仿宋_GB2312"/>
          <w:color w:val="auto"/>
          <w:kern w:val="2"/>
          <w:sz w:val="32"/>
          <w:szCs w:val="32"/>
          <w:highlight w:val="none"/>
          <w:lang w:eastAsia="zh-CN" w:bidi="ar"/>
        </w:rPr>
        <w:t>物料的设计与搭建</w:t>
      </w:r>
      <w:r>
        <w:rPr>
          <w:rFonts w:hint="eastAsia" w:ascii="仿宋_GB2312" w:hAnsi="仿宋" w:eastAsia="仿宋_GB2312" w:cs="仿宋"/>
          <w:color w:val="auto"/>
          <w:kern w:val="2"/>
          <w:sz w:val="32"/>
          <w:szCs w:val="32"/>
          <w:lang w:val="en-US" w:eastAsia="zh-CN" w:bidi="ar-SA"/>
        </w:rPr>
        <w:t>、奖杯奖牌设计制作、设备租赁、现场搭建</w:t>
      </w:r>
      <w:r>
        <w:rPr>
          <w:rFonts w:hint="eastAsia" w:ascii="仿宋_GB2312" w:eastAsia="仿宋_GB2312"/>
          <w:color w:val="auto"/>
          <w:kern w:val="2"/>
          <w:sz w:val="32"/>
          <w:szCs w:val="32"/>
          <w:highlight w:val="none"/>
          <w:lang w:bidi="ar"/>
        </w:rPr>
        <w:t>、</w:t>
      </w:r>
      <w:r>
        <w:rPr>
          <w:rFonts w:hint="eastAsia" w:ascii="仿宋_GB2312" w:eastAsia="仿宋_GB2312"/>
          <w:color w:val="auto"/>
          <w:kern w:val="2"/>
          <w:sz w:val="32"/>
          <w:szCs w:val="32"/>
          <w:highlight w:val="none"/>
          <w:lang w:eastAsia="zh-CN" w:bidi="ar"/>
        </w:rPr>
        <w:t>赛前筹备、赛事摄影摄像</w:t>
      </w:r>
      <w:r>
        <w:rPr>
          <w:rFonts w:hint="eastAsia" w:ascii="仿宋_GB2312" w:eastAsia="仿宋_GB2312"/>
          <w:color w:val="auto"/>
          <w:kern w:val="2"/>
          <w:sz w:val="32"/>
          <w:szCs w:val="32"/>
          <w:highlight w:val="none"/>
          <w:lang w:bidi="ar"/>
        </w:rPr>
        <w:t>、竞赛组织、医疗保障、</w:t>
      </w:r>
      <w:r>
        <w:rPr>
          <w:rFonts w:hint="eastAsia" w:ascii="仿宋_GB2312" w:hAnsi="仿宋" w:eastAsia="仿宋_GB2312" w:cs="仿宋"/>
          <w:color w:val="auto"/>
          <w:kern w:val="2"/>
          <w:sz w:val="32"/>
          <w:szCs w:val="32"/>
          <w:lang w:val="en-US" w:eastAsia="zh-CN" w:bidi="ar-SA"/>
        </w:rPr>
        <w:t>后勤保障、</w:t>
      </w:r>
      <w:r>
        <w:rPr>
          <w:rFonts w:hint="eastAsia" w:ascii="仿宋_GB2312" w:eastAsia="仿宋_GB2312"/>
          <w:color w:val="auto"/>
          <w:kern w:val="2"/>
          <w:sz w:val="32"/>
          <w:szCs w:val="32"/>
          <w:highlight w:val="none"/>
          <w:lang w:bidi="ar"/>
        </w:rPr>
        <w:t>安</w:t>
      </w:r>
      <w:r>
        <w:rPr>
          <w:rFonts w:hint="eastAsia" w:ascii="仿宋_GB2312" w:eastAsia="仿宋_GB2312"/>
          <w:color w:val="auto"/>
          <w:kern w:val="2"/>
          <w:sz w:val="32"/>
          <w:szCs w:val="32"/>
          <w:highlight w:val="none"/>
          <w:lang w:eastAsia="zh-CN" w:bidi="ar"/>
        </w:rPr>
        <w:t>保、颁奖仪式</w:t>
      </w:r>
      <w:r>
        <w:rPr>
          <w:rFonts w:hint="eastAsia" w:ascii="仿宋_GB2312" w:eastAsia="仿宋_GB2312"/>
          <w:color w:val="auto"/>
          <w:kern w:val="2"/>
          <w:sz w:val="32"/>
          <w:szCs w:val="32"/>
          <w:highlight w:val="none"/>
          <w:lang w:bidi="ar"/>
        </w:rPr>
        <w:t>等</w:t>
      </w:r>
      <w:r>
        <w:rPr>
          <w:rFonts w:hint="eastAsia" w:ascii="仿宋_GB2312" w:hAnsi="Calibri" w:eastAsia="仿宋_GB2312" w:cs="仿宋_GB2312"/>
          <w:color w:val="auto"/>
          <w:kern w:val="2"/>
          <w:sz w:val="32"/>
          <w:szCs w:val="32"/>
          <w:highlight w:val="none"/>
          <w:lang w:val="en-US" w:eastAsia="zh-CN" w:bidi="ar"/>
        </w:rPr>
        <w:t>。</w:t>
      </w:r>
    </w:p>
    <w:p>
      <w:pPr>
        <w:numPr>
          <w:ilvl w:val="0"/>
          <w:numId w:val="2"/>
        </w:numPr>
        <w:spacing w:line="560" w:lineRule="exact"/>
        <w:ind w:firstLine="640" w:firstLineChars="20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具体要求</w:t>
      </w:r>
    </w:p>
    <w:p>
      <w:pPr>
        <w:pStyle w:val="9"/>
        <w:ind w:firstLine="640" w:firstLineChars="200"/>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1.制定</w:t>
      </w:r>
      <w:r>
        <w:rPr>
          <w:rFonts w:hint="eastAsia" w:ascii="仿宋_GB2312" w:hAnsi="仿宋_GB2312" w:eastAsia="仿宋_GB2312" w:cs="仿宋_GB2312"/>
          <w:i w:val="0"/>
          <w:caps w:val="0"/>
          <w:color w:val="auto"/>
          <w:spacing w:val="8"/>
          <w:kern w:val="2"/>
          <w:sz w:val="32"/>
          <w:szCs w:val="32"/>
          <w:lang w:val="en-US" w:eastAsia="zh-CN" w:bidi="ar-SA"/>
        </w:rPr>
        <w:t>2026年全国计划单列五城市第六届元老网球团体赛</w:t>
      </w:r>
      <w:r>
        <w:rPr>
          <w:rFonts w:hint="eastAsia" w:ascii="仿宋_GB2312" w:hAnsi="仿宋" w:eastAsia="仿宋_GB2312" w:cs="仿宋"/>
          <w:color w:val="auto"/>
          <w:kern w:val="2"/>
          <w:sz w:val="32"/>
          <w:szCs w:val="32"/>
          <w:lang w:val="en-US" w:eastAsia="zh-CN" w:bidi="ar-SA"/>
        </w:rPr>
        <w:t>的具体实施方案和项目报价；</w:t>
      </w:r>
    </w:p>
    <w:p>
      <w:pPr>
        <w:pStyle w:val="8"/>
        <w:keepNext w:val="0"/>
        <w:keepLines w:val="0"/>
        <w:pageBreakBefore w:val="0"/>
        <w:numPr>
          <w:ilvl w:val="0"/>
          <w:numId w:val="0"/>
        </w:numPr>
        <w:kinsoku/>
        <w:wordWrap/>
        <w:overflowPunct/>
        <w:topLinePunct w:val="0"/>
        <w:autoSpaceDE/>
        <w:autoSpaceDN/>
        <w:bidi w:val="0"/>
        <w:spacing w:after="0" w:line="560" w:lineRule="exact"/>
        <w:ind w:leftChars="0" w:right="0" w:rightChars="0" w:firstLine="640" w:firstLineChars="200"/>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2.负责场地布置及赛事相关物资，包括</w:t>
      </w:r>
      <w:r>
        <w:rPr>
          <w:rFonts w:hint="eastAsia" w:ascii="仿宋_GB2312" w:eastAsia="仿宋_GB2312"/>
          <w:color w:val="auto"/>
          <w:kern w:val="2"/>
          <w:sz w:val="32"/>
          <w:szCs w:val="32"/>
          <w:highlight w:val="none"/>
          <w:lang w:eastAsia="zh-CN" w:bidi="ar"/>
        </w:rPr>
        <w:t>赛前筹备、</w:t>
      </w:r>
      <w:r>
        <w:rPr>
          <w:rFonts w:hint="eastAsia" w:ascii="仿宋_GB2312" w:hAnsi="仿宋" w:eastAsia="仿宋_GB2312" w:cs="仿宋"/>
          <w:color w:val="auto"/>
          <w:kern w:val="2"/>
          <w:sz w:val="32"/>
          <w:szCs w:val="32"/>
          <w:lang w:val="en-US" w:eastAsia="zh-CN" w:bidi="ar-SA"/>
        </w:rPr>
        <w:t>赛事物料设计制作、奖杯奖牌设计制作、设备租赁、现场搭建等；</w:t>
      </w:r>
    </w:p>
    <w:p>
      <w:pPr>
        <w:pStyle w:val="8"/>
        <w:keepNext w:val="0"/>
        <w:keepLines w:val="0"/>
        <w:pageBreakBefore w:val="0"/>
        <w:numPr>
          <w:ilvl w:val="0"/>
          <w:numId w:val="0"/>
        </w:numPr>
        <w:kinsoku/>
        <w:wordWrap/>
        <w:overflowPunct/>
        <w:topLinePunct w:val="0"/>
        <w:autoSpaceDE/>
        <w:autoSpaceDN/>
        <w:bidi w:val="0"/>
        <w:spacing w:after="0" w:line="560" w:lineRule="exact"/>
        <w:ind w:leftChars="0" w:right="0" w:rightChars="0" w:firstLine="640" w:firstLineChars="200"/>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3.负责赛事组织的相关工作，包括聘请相关工作人员、选派裁判员、赛事摄影摄像、赛事医疗、赛事安保、后勤保障补给等；</w:t>
      </w:r>
    </w:p>
    <w:p>
      <w:pPr>
        <w:pStyle w:val="8"/>
        <w:keepNext w:val="0"/>
        <w:keepLines w:val="0"/>
        <w:pageBreakBefore w:val="0"/>
        <w:numPr>
          <w:ilvl w:val="0"/>
          <w:numId w:val="0"/>
        </w:numPr>
        <w:kinsoku/>
        <w:wordWrap/>
        <w:overflowPunct/>
        <w:topLinePunct w:val="0"/>
        <w:autoSpaceDE/>
        <w:autoSpaceDN/>
        <w:bidi w:val="0"/>
        <w:spacing w:after="0" w:line="560" w:lineRule="exact"/>
        <w:ind w:leftChars="0" w:right="0" w:rightChars="0" w:firstLine="640" w:firstLineChars="200"/>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4.负责颁奖仪式、赛事劳务费等发放；</w:t>
      </w:r>
    </w:p>
    <w:p>
      <w:pPr>
        <w:pStyle w:val="8"/>
        <w:keepNext w:val="0"/>
        <w:keepLines w:val="0"/>
        <w:pageBreakBefore w:val="0"/>
        <w:numPr>
          <w:ilvl w:val="0"/>
          <w:numId w:val="0"/>
        </w:numPr>
        <w:kinsoku/>
        <w:wordWrap/>
        <w:overflowPunct/>
        <w:topLinePunct w:val="0"/>
        <w:autoSpaceDE/>
        <w:autoSpaceDN/>
        <w:bidi w:val="0"/>
        <w:spacing w:after="0" w:line="560" w:lineRule="exact"/>
        <w:ind w:leftChars="0" w:right="0" w:rightChars="0" w:firstLine="640" w:firstLineChars="200"/>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5.负责主办方交办的其他事项。</w:t>
      </w:r>
    </w:p>
    <w:p>
      <w:pPr>
        <w:tabs>
          <w:tab w:val="left" w:pos="1820"/>
        </w:tabs>
        <w:snapToGrid w:val="0"/>
        <w:spacing w:line="560" w:lineRule="exact"/>
        <w:ind w:firstLine="640" w:firstLineChars="200"/>
        <w:rPr>
          <w:rFonts w:hint="eastAsia" w:ascii="黑体" w:hAnsi="黑体" w:eastAsia="黑体" w:cs="黑体"/>
          <w:bCs/>
          <w:color w:val="auto"/>
          <w:sz w:val="32"/>
          <w:szCs w:val="32"/>
          <w:lang w:eastAsia="zh-CN"/>
        </w:rPr>
      </w:pPr>
      <w:r>
        <w:rPr>
          <w:rFonts w:hint="eastAsia" w:ascii="黑体" w:hAnsi="黑体" w:eastAsia="黑体" w:cs="黑体"/>
          <w:bCs/>
          <w:color w:val="auto"/>
          <w:sz w:val="32"/>
          <w:szCs w:val="32"/>
          <w:lang w:eastAsia="zh-CN"/>
        </w:rPr>
        <w:t>四、报价限额</w:t>
      </w:r>
    </w:p>
    <w:p>
      <w:pPr>
        <w:pStyle w:val="9"/>
        <w:ind w:firstLine="640" w:firstLineChars="200"/>
        <w:rPr>
          <w:rFonts w:hint="eastAsia" w:ascii="仿宋_GB2312" w:hAnsi="仿宋_GB2312" w:eastAsia="仿宋_GB2312" w:cs="仿宋_GB2312"/>
          <w:color w:val="auto"/>
          <w:sz w:val="32"/>
          <w:szCs w:val="32"/>
          <w:lang w:eastAsia="zh-CN"/>
        </w:rPr>
      </w:pPr>
      <w:r>
        <w:rPr>
          <w:rFonts w:hint="eastAsia" w:ascii="仿宋_GB2312" w:hAnsi="仿宋" w:eastAsia="仿宋_GB2312" w:cs="仿宋"/>
          <w:color w:val="auto"/>
          <w:kern w:val="2"/>
          <w:sz w:val="32"/>
          <w:szCs w:val="32"/>
          <w:lang w:val="en-US" w:eastAsia="zh-CN" w:bidi="ar-SA"/>
        </w:rPr>
        <w:t>16</w:t>
      </w:r>
      <w:r>
        <w:rPr>
          <w:rFonts w:hint="eastAsia" w:ascii="仿宋_GB2312" w:hAnsi="仿宋_GB2312" w:eastAsia="仿宋_GB2312" w:cs="仿宋_GB2312"/>
          <w:color w:val="auto"/>
          <w:sz w:val="32"/>
          <w:szCs w:val="36"/>
          <w:lang w:eastAsia="zh-CN"/>
        </w:rPr>
        <w:t>万元，</w:t>
      </w:r>
      <w:r>
        <w:rPr>
          <w:rFonts w:hint="eastAsia" w:ascii="仿宋_GB2312" w:hAnsi="仿宋_GB2312" w:eastAsia="仿宋_GB2312" w:cs="仿宋_GB2312"/>
          <w:b/>
          <w:bCs/>
          <w:color w:val="auto"/>
          <w:sz w:val="32"/>
          <w:szCs w:val="32"/>
          <w:lang w:eastAsia="zh-CN"/>
        </w:rPr>
        <w:t>项目报价表</w:t>
      </w:r>
      <w:r>
        <w:rPr>
          <w:rFonts w:hint="eastAsia" w:ascii="仿宋_GB2312" w:hAnsi="仿宋_GB2312" w:eastAsia="仿宋_GB2312" w:cs="仿宋_GB2312"/>
          <w:color w:val="auto"/>
          <w:sz w:val="32"/>
          <w:szCs w:val="32"/>
        </w:rPr>
        <w:t>需</w:t>
      </w:r>
      <w:r>
        <w:rPr>
          <w:rFonts w:hint="eastAsia" w:ascii="仿宋_GB2312" w:hAnsi="仿宋_GB2312" w:eastAsia="仿宋_GB2312" w:cs="仿宋_GB2312"/>
          <w:color w:val="auto"/>
          <w:sz w:val="32"/>
          <w:szCs w:val="32"/>
          <w:lang w:eastAsia="zh-CN"/>
        </w:rPr>
        <w:t>与下表</w:t>
      </w:r>
      <w:r>
        <w:rPr>
          <w:rFonts w:hint="eastAsia" w:ascii="仿宋_GB2312" w:hAnsi="仿宋_GB2312" w:eastAsia="仿宋_GB2312" w:cs="仿宋_GB2312"/>
          <w:color w:val="auto"/>
          <w:sz w:val="32"/>
          <w:szCs w:val="32"/>
        </w:rPr>
        <w:t>保持一致</w:t>
      </w:r>
      <w:r>
        <w:rPr>
          <w:rFonts w:hint="eastAsia" w:ascii="仿宋_GB2312" w:hAnsi="仿宋_GB2312" w:eastAsia="仿宋_GB2312" w:cs="仿宋_GB2312"/>
          <w:color w:val="auto"/>
          <w:sz w:val="32"/>
          <w:szCs w:val="32"/>
          <w:lang w:eastAsia="zh-CN"/>
        </w:rPr>
        <w:t>：</w:t>
      </w:r>
    </w:p>
    <w:tbl>
      <w:tblPr>
        <w:tblStyle w:val="12"/>
        <w:tblW w:w="90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8"/>
        <w:gridCol w:w="1355"/>
        <w:gridCol w:w="2399"/>
        <w:gridCol w:w="959"/>
        <w:gridCol w:w="913"/>
        <w:gridCol w:w="28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序号</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项目</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数量</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单位</w:t>
            </w:r>
          </w:p>
        </w:tc>
        <w:tc>
          <w:tcPr>
            <w:tcW w:w="2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8"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1</w:t>
            </w: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场地布置及物料</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设计制作主背景板13m*5m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块</w:t>
            </w:r>
          </w:p>
        </w:tc>
        <w:tc>
          <w:tcPr>
            <w:tcW w:w="28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设计制作签到处欢迎背景板6m*5m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块</w:t>
            </w:r>
          </w:p>
        </w:tc>
        <w:tc>
          <w:tcPr>
            <w:tcW w:w="28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设计制作赛场横幅10m*1.2m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r>
              <w:rPr>
                <w:rFonts w:hint="eastAsia" w:ascii="宋体" w:hAnsi="宋体" w:cs="宋体"/>
                <w:i w:val="0"/>
                <w:iCs w:val="0"/>
                <w:color w:val="auto"/>
                <w:kern w:val="0"/>
                <w:sz w:val="18"/>
                <w:szCs w:val="18"/>
                <w:u w:val="none"/>
                <w:lang w:val="en-US" w:eastAsia="zh-CN" w:bidi="ar"/>
              </w:rPr>
              <w:t>6</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条</w:t>
            </w:r>
          </w:p>
        </w:tc>
        <w:tc>
          <w:tcPr>
            <w:tcW w:w="28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指引牌</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28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入场手举牌</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28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接站牌</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28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设计制作A板隔离2m*1m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28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刀旗</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面</w:t>
            </w:r>
          </w:p>
        </w:tc>
        <w:tc>
          <w:tcPr>
            <w:tcW w:w="28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秩序册</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本</w:t>
            </w:r>
          </w:p>
        </w:tc>
        <w:tc>
          <w:tcPr>
            <w:tcW w:w="28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成绩公告栏2.2m*1.5m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块</w:t>
            </w:r>
          </w:p>
        </w:tc>
        <w:tc>
          <w:tcPr>
            <w:tcW w:w="28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8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租用办公设备、办公用品、办公耗材</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w:t>
            </w:r>
          </w:p>
        </w:tc>
        <w:tc>
          <w:tcPr>
            <w:tcW w:w="2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办公设备及用品、耗材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58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租赁音响设备</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项</w:t>
            </w:r>
          </w:p>
        </w:tc>
        <w:tc>
          <w:tcPr>
            <w:tcW w:w="2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网球</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箱</w:t>
            </w:r>
          </w:p>
        </w:tc>
        <w:tc>
          <w:tcPr>
            <w:tcW w:w="28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工作证</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w:t>
            </w:r>
          </w:p>
        </w:tc>
        <w:tc>
          <w:tcPr>
            <w:tcW w:w="28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奖杯</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2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男双、女双、混双前三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纪念奖牌</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28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物料运输及人工费用</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w:t>
            </w:r>
          </w:p>
        </w:tc>
        <w:tc>
          <w:tcPr>
            <w:tcW w:w="28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88"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2</w:t>
            </w:r>
          </w:p>
        </w:tc>
        <w:tc>
          <w:tcPr>
            <w:tcW w:w="1355" w:type="dxa"/>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后勤保障</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饮用水、饮料</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w:t>
            </w:r>
          </w:p>
        </w:tc>
        <w:tc>
          <w:tcPr>
            <w:tcW w:w="2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饮用水、电解质饮料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8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355"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水果、能量食品</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w:t>
            </w:r>
          </w:p>
        </w:tc>
        <w:tc>
          <w:tcPr>
            <w:tcW w:w="2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香蕉、能量棒、糕点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8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355"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赛事车辆交通保障</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w:t>
            </w:r>
          </w:p>
        </w:tc>
        <w:tc>
          <w:tcPr>
            <w:tcW w:w="2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kern w:val="0"/>
                <w:sz w:val="18"/>
                <w:szCs w:val="18"/>
                <w:u w:val="none"/>
                <w:lang w:val="en-US" w:eastAsia="zh-CN" w:bidi="ar"/>
              </w:rPr>
              <w:t>中巴，3天（含赛前1天接站等），4台</w:t>
            </w:r>
            <w:r>
              <w:rPr>
                <w:rFonts w:hint="eastAsia" w:ascii="宋体" w:hAnsi="宋体" w:cs="宋体"/>
                <w:i w:val="0"/>
                <w:iCs w:val="0"/>
                <w:color w:val="auto"/>
                <w:kern w:val="0"/>
                <w:sz w:val="18"/>
                <w:szCs w:val="18"/>
                <w:u w:val="none"/>
                <w:lang w:val="en-US" w:eastAsia="zh-CN" w:bidi="ar"/>
              </w:rPr>
              <w:t>/天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8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355"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赛前筹备工作人员工作餐饮</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人次</w:t>
            </w:r>
          </w:p>
        </w:tc>
        <w:tc>
          <w:tcPr>
            <w:tcW w:w="2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赛前筹备5天，6人</w:t>
            </w:r>
            <w:r>
              <w:rPr>
                <w:rFonts w:hint="eastAsia" w:ascii="宋体" w:hAnsi="宋体" w:cs="宋体"/>
                <w:i w:val="0"/>
                <w:iCs w:val="0"/>
                <w:color w:val="auto"/>
                <w:kern w:val="0"/>
                <w:sz w:val="18"/>
                <w:szCs w:val="18"/>
                <w:u w:val="none"/>
                <w:lang w:val="en-US" w:eastAsia="zh-CN" w:bidi="ar"/>
              </w:rPr>
              <w:t>，不超100元/人/天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355"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赛事期间裁判、工作人员、安保工作餐饮</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人次</w:t>
            </w:r>
          </w:p>
        </w:tc>
        <w:tc>
          <w:tcPr>
            <w:tcW w:w="2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kern w:val="0"/>
                <w:sz w:val="18"/>
                <w:szCs w:val="18"/>
                <w:u w:val="none"/>
                <w:lang w:val="en-US" w:eastAsia="zh-CN" w:bidi="ar"/>
              </w:rPr>
              <w:t>40人2天</w:t>
            </w:r>
            <w:r>
              <w:rPr>
                <w:rFonts w:hint="eastAsia" w:ascii="宋体" w:hAnsi="宋体" w:cs="宋体"/>
                <w:i w:val="0"/>
                <w:iCs w:val="0"/>
                <w:color w:val="auto"/>
                <w:kern w:val="0"/>
                <w:sz w:val="18"/>
                <w:szCs w:val="18"/>
                <w:u w:val="none"/>
                <w:lang w:val="en-US" w:eastAsia="zh-CN" w:bidi="ar"/>
              </w:rPr>
              <w:t>，不超100元/人/天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355"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裁判长、裁判员住宿</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人次</w:t>
            </w:r>
          </w:p>
        </w:tc>
        <w:tc>
          <w:tcPr>
            <w:tcW w:w="2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kern w:val="0"/>
                <w:sz w:val="18"/>
                <w:szCs w:val="18"/>
                <w:u w:val="none"/>
                <w:lang w:val="en-US" w:eastAsia="zh-CN" w:bidi="ar"/>
              </w:rPr>
              <w:t>10人3晚</w:t>
            </w:r>
            <w:r>
              <w:rPr>
                <w:rFonts w:hint="eastAsia" w:ascii="宋体" w:hAnsi="宋体" w:cs="宋体"/>
                <w:i w:val="0"/>
                <w:iCs w:val="0"/>
                <w:color w:val="auto"/>
                <w:kern w:val="0"/>
                <w:sz w:val="18"/>
                <w:szCs w:val="18"/>
                <w:u w:val="none"/>
                <w:lang w:val="en-US" w:eastAsia="zh-CN" w:bidi="ar"/>
              </w:rPr>
              <w:t>，不超280元/人/天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3</w:t>
            </w: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赛事前期筹备及赛事期间工作团队劳务</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赛前筹备工作人员劳务</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人次</w:t>
            </w:r>
          </w:p>
        </w:tc>
        <w:tc>
          <w:tcPr>
            <w:tcW w:w="2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赛前筹备5天，6人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赛事期间工作人员劳务</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人次</w:t>
            </w:r>
          </w:p>
        </w:tc>
        <w:tc>
          <w:tcPr>
            <w:tcW w:w="2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20人2天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裁判长劳务</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人次</w:t>
            </w:r>
          </w:p>
        </w:tc>
        <w:tc>
          <w:tcPr>
            <w:tcW w:w="2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1人2天</w:t>
            </w:r>
            <w:r>
              <w:rPr>
                <w:rFonts w:hint="eastAsia" w:ascii="宋体" w:hAnsi="宋体" w:cs="宋体"/>
                <w:i w:val="0"/>
                <w:iCs w:val="0"/>
                <w:color w:val="auto"/>
                <w:kern w:val="0"/>
                <w:sz w:val="18"/>
                <w:szCs w:val="18"/>
                <w:u w:val="none"/>
                <w:lang w:val="en-US" w:eastAsia="zh-CN" w:bidi="ar"/>
              </w:rPr>
              <w:t>，不超400元/人/天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国家一级裁判员劳务</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人次</w:t>
            </w:r>
          </w:p>
        </w:tc>
        <w:tc>
          <w:tcPr>
            <w:tcW w:w="2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9人2天</w:t>
            </w:r>
            <w:r>
              <w:rPr>
                <w:rFonts w:hint="eastAsia" w:ascii="宋体" w:hAnsi="宋体" w:cs="宋体"/>
                <w:i w:val="0"/>
                <w:iCs w:val="0"/>
                <w:color w:val="auto"/>
                <w:kern w:val="0"/>
                <w:sz w:val="18"/>
                <w:szCs w:val="18"/>
                <w:u w:val="none"/>
                <w:lang w:val="en-US" w:eastAsia="zh-CN" w:bidi="ar"/>
              </w:rPr>
              <w:t>，不超400元/人/天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安保人员劳务</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人次</w:t>
            </w:r>
          </w:p>
        </w:tc>
        <w:tc>
          <w:tcPr>
            <w:tcW w:w="2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10人2天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4</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赛事摄像、图片直播</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赛事摄像、图片直播</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w:t>
            </w:r>
          </w:p>
        </w:tc>
        <w:tc>
          <w:tcPr>
            <w:tcW w:w="2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3人2天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5</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医疗保障</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医疗保障及医疗用品</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w:t>
            </w:r>
          </w:p>
        </w:tc>
        <w:tc>
          <w:tcPr>
            <w:tcW w:w="2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2人2天（含药品）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88"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lang w:val="en-US" w:eastAsia="zh-CN"/>
              </w:rPr>
            </w:pPr>
            <w:r>
              <w:rPr>
                <w:rFonts w:hint="eastAsia" w:ascii="宋体" w:hAnsi="宋体" w:cs="宋体"/>
                <w:b/>
                <w:bCs/>
                <w:i w:val="0"/>
                <w:iCs w:val="0"/>
                <w:color w:val="auto"/>
                <w:sz w:val="18"/>
                <w:szCs w:val="18"/>
                <w:u w:val="none"/>
                <w:lang w:val="en-US" w:eastAsia="zh-CN"/>
              </w:rPr>
              <w:t>6</w:t>
            </w:r>
          </w:p>
        </w:tc>
        <w:tc>
          <w:tcPr>
            <w:tcW w:w="1355"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sz w:val="18"/>
                <w:szCs w:val="18"/>
                <w:u w:val="none"/>
              </w:rPr>
              <w:t>颁奖仪式</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主持人</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人</w:t>
            </w:r>
          </w:p>
        </w:tc>
        <w:tc>
          <w:tcPr>
            <w:tcW w:w="28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礼仪</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人</w:t>
            </w:r>
          </w:p>
        </w:tc>
        <w:tc>
          <w:tcPr>
            <w:tcW w:w="28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904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供应商报价：</w:t>
            </w:r>
            <w:r>
              <w:rPr>
                <w:rFonts w:hint="eastAsia" w:ascii="宋体" w:hAnsi="宋体" w:cs="宋体"/>
                <w:b/>
                <w:bCs/>
                <w:i w:val="0"/>
                <w:iCs w:val="0"/>
                <w:color w:val="auto"/>
                <w:kern w:val="0"/>
                <w:sz w:val="18"/>
                <w:szCs w:val="18"/>
                <w:u w:val="single"/>
                <w:lang w:val="en-US" w:eastAsia="zh-CN" w:bidi="ar"/>
              </w:rPr>
              <w:t xml:space="preserve">            </w:t>
            </w:r>
            <w:r>
              <w:rPr>
                <w:rFonts w:hint="eastAsia" w:ascii="宋体" w:hAnsi="宋体" w:cs="宋体"/>
                <w:b/>
                <w:bCs/>
                <w:i w:val="0"/>
                <w:iCs w:val="0"/>
                <w:color w:val="auto"/>
                <w:kern w:val="0"/>
                <w:sz w:val="18"/>
                <w:szCs w:val="18"/>
                <w:u w:val="none"/>
                <w:lang w:val="en-US" w:eastAsia="zh-CN" w:bidi="ar"/>
              </w:rPr>
              <w:t>万元</w:t>
            </w:r>
            <w:r>
              <w:rPr>
                <w:rFonts w:hint="eastAsia" w:ascii="宋体" w:hAnsi="宋体" w:eastAsia="宋体" w:cs="宋体"/>
                <w:b/>
                <w:bCs/>
                <w:i w:val="0"/>
                <w:iCs w:val="0"/>
                <w:color w:val="auto"/>
                <w:kern w:val="0"/>
                <w:sz w:val="18"/>
                <w:szCs w:val="18"/>
                <w:u w:val="none"/>
                <w:lang w:val="en-US" w:eastAsia="zh-CN" w:bidi="ar"/>
              </w:rPr>
              <w:t>（以万元为单位，最多保留两位小数）</w:t>
            </w:r>
          </w:p>
        </w:tc>
      </w:tr>
    </w:tbl>
    <w:p>
      <w:pPr>
        <w:spacing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bCs/>
          <w:color w:val="auto"/>
          <w:sz w:val="32"/>
          <w:szCs w:val="32"/>
        </w:rPr>
        <w:t>五、</w:t>
      </w:r>
      <w:r>
        <w:rPr>
          <w:rFonts w:hint="eastAsia" w:ascii="黑体" w:hAnsi="黑体" w:eastAsia="黑体" w:cs="黑体"/>
          <w:color w:val="auto"/>
          <w:sz w:val="32"/>
          <w:szCs w:val="32"/>
        </w:rPr>
        <w:t>供应商的资质要求</w:t>
      </w:r>
    </w:p>
    <w:p>
      <w:pPr>
        <w:pStyle w:val="15"/>
        <w:spacing w:line="560" w:lineRule="exact"/>
        <w:ind w:firstLine="640"/>
        <w:rPr>
          <w:rFonts w:ascii="仿宋_GB2312" w:hAnsi="仿宋" w:eastAsia="仿宋_GB2312" w:cs="仿宋"/>
          <w:color w:val="auto"/>
          <w:sz w:val="32"/>
          <w:szCs w:val="32"/>
        </w:rPr>
      </w:pPr>
      <w:r>
        <w:rPr>
          <w:rFonts w:hint="eastAsia" w:ascii="仿宋_GB2312" w:hAnsi="仿宋" w:eastAsia="仿宋_GB2312" w:cs="仿宋"/>
          <w:color w:val="auto"/>
          <w:sz w:val="32"/>
          <w:szCs w:val="32"/>
        </w:rPr>
        <w:t>（一）在中国境内注册的独立法人或其他组织（提供营业执照、事业法人证书、社会团体法人登记证书等扫描件），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扫描件；</w:t>
      </w:r>
    </w:p>
    <w:p>
      <w:pPr>
        <w:pStyle w:val="15"/>
        <w:spacing w:line="560" w:lineRule="exact"/>
        <w:ind w:firstLine="640"/>
        <w:rPr>
          <w:rFonts w:hint="eastAsia" w:ascii="仿宋_GB2312" w:hAnsi="仿宋" w:eastAsia="仿宋_GB2312" w:cs="仿宋"/>
          <w:color w:val="auto"/>
          <w:sz w:val="32"/>
          <w:szCs w:val="32"/>
          <w:lang w:eastAsia="zh-CN"/>
        </w:rPr>
      </w:pPr>
      <w:r>
        <w:rPr>
          <w:rFonts w:hint="eastAsia" w:ascii="仿宋_GB2312" w:hAnsi="仿宋" w:eastAsia="仿宋_GB2312" w:cs="仿宋"/>
          <w:color w:val="auto"/>
          <w:sz w:val="32"/>
          <w:szCs w:val="32"/>
        </w:rPr>
        <w:t>（二）参与本项目投标近三年内（供应商成立不足三年的可从成立之日起算），在经营活动中没有重大违法记录以及不存在被有关部门禁止参与政府采购活动且在有效期内的情况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 w:cs="仿宋"/>
          <w:color w:val="auto"/>
          <w:sz w:val="32"/>
          <w:szCs w:val="32"/>
          <w:lang w:eastAsia="zh-CN"/>
        </w:rPr>
        <w:t>；</w:t>
      </w:r>
    </w:p>
    <w:p>
      <w:pPr>
        <w:pStyle w:val="15"/>
        <w:spacing w:line="560" w:lineRule="exact"/>
        <w:ind w:firstLine="640"/>
        <w:rPr>
          <w:rFonts w:hint="eastAsia" w:ascii="仿宋_GB2312" w:hAnsi="仿宋" w:eastAsia="仿宋_GB2312" w:cs="仿宋"/>
          <w:color w:val="auto"/>
          <w:sz w:val="32"/>
          <w:szCs w:val="32"/>
          <w:highlight w:val="none"/>
          <w:lang w:eastAsia="zh-CN"/>
        </w:rPr>
      </w:pPr>
      <w:r>
        <w:rPr>
          <w:rFonts w:hint="eastAsia" w:ascii="仿宋_GB2312" w:hAnsi="仿宋" w:eastAsia="仿宋_GB2312" w:cs="仿宋"/>
          <w:color w:val="auto"/>
          <w:sz w:val="32"/>
          <w:szCs w:val="32"/>
          <w:highlight w:val="none"/>
        </w:rPr>
        <w:t>（三）</w:t>
      </w:r>
      <w:r>
        <w:rPr>
          <w:rFonts w:hint="eastAsia" w:ascii="仿宋_GB2312" w:hAnsi="仿宋" w:eastAsia="仿宋_GB2312" w:cs="仿宋"/>
          <w:bCs/>
          <w:color w:val="auto"/>
          <w:kern w:val="2"/>
          <w:sz w:val="32"/>
          <w:szCs w:val="32"/>
          <w:highlight w:val="none"/>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w:t>
      </w:r>
      <w:r>
        <w:rPr>
          <w:rFonts w:hint="eastAsia" w:ascii="仿宋_GB2312" w:hAnsi="仿宋" w:eastAsia="仿宋_GB2312" w:cs="仿宋"/>
          <w:color w:val="auto"/>
          <w:sz w:val="32"/>
          <w:szCs w:val="32"/>
          <w:highlight w:val="none"/>
        </w:rPr>
        <w:t>，不得同时参加本项目的采购活动</w:t>
      </w:r>
      <w:r>
        <w:rPr>
          <w:rFonts w:hint="eastAsia" w:ascii="仿宋_GB2312" w:hAnsi="仿宋" w:cs="仿宋"/>
          <w:color w:val="auto"/>
          <w:sz w:val="32"/>
          <w:szCs w:val="32"/>
          <w:highlight w:val="none"/>
          <w:lang w:eastAsia="zh-CN"/>
        </w:rPr>
        <w:t>。</w:t>
      </w:r>
    </w:p>
    <w:p>
      <w:pPr>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六、选定供应商方法</w:t>
      </w:r>
    </w:p>
    <w:p>
      <w:pPr>
        <w:spacing w:line="560" w:lineRule="exact"/>
        <w:ind w:firstLine="640" w:firstLineChars="200"/>
        <w:rPr>
          <w:rFonts w:hint="eastAsia" w:ascii="仿宋_GB2312" w:hAnsi="仿宋" w:eastAsia="仿宋_GB2312"/>
          <w:color w:val="auto"/>
          <w:sz w:val="32"/>
          <w:highlight w:val="none"/>
        </w:rPr>
      </w:pPr>
      <w:r>
        <w:rPr>
          <w:rFonts w:hint="eastAsia" w:ascii="仿宋_GB2312" w:hAnsi="仿宋" w:eastAsia="仿宋_GB2312"/>
          <w:color w:val="auto"/>
          <w:sz w:val="32"/>
          <w:highlight w:val="none"/>
        </w:rPr>
        <w:t>综合评分法</w:t>
      </w:r>
    </w:p>
    <w:p>
      <w:pPr>
        <w:spacing w:line="560" w:lineRule="exact"/>
        <w:ind w:firstLine="640" w:firstLineChars="200"/>
        <w:rPr>
          <w:rFonts w:hint="eastAsia" w:ascii="黑体" w:hAnsi="黑体" w:eastAsia="黑体" w:cs="黑体"/>
          <w:color w:val="auto"/>
          <w:sz w:val="32"/>
          <w:szCs w:val="32"/>
          <w:lang w:eastAsia="zh-CN"/>
        </w:rPr>
      </w:pPr>
      <w:r>
        <w:rPr>
          <w:rFonts w:hint="eastAsia" w:ascii="黑体" w:hAnsi="黑体" w:eastAsia="黑体" w:cs="黑体"/>
          <w:color w:val="auto"/>
          <w:sz w:val="32"/>
          <w:szCs w:val="32"/>
        </w:rPr>
        <w:t>七、评分要求</w:t>
      </w:r>
    </w:p>
    <w:p>
      <w:pPr>
        <w:pStyle w:val="17"/>
        <w:spacing w:line="560" w:lineRule="exact"/>
        <w:ind w:firstLine="640" w:firstLineChars="200"/>
        <w:rPr>
          <w:rFonts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（一）评分规则</w:t>
      </w:r>
    </w:p>
    <w:p>
      <w:pPr>
        <w:spacing w:line="560" w:lineRule="exact"/>
        <w:ind w:firstLine="640" w:firstLineChars="200"/>
        <w:rPr>
          <w:rFonts w:ascii="楷体_GB2312" w:hAnsi="楷体_GB2312" w:eastAsia="楷体_GB2312" w:cs="楷体_GB2312"/>
          <w:bCs/>
          <w:color w:val="auto"/>
          <w:sz w:val="32"/>
          <w:szCs w:val="32"/>
        </w:rPr>
      </w:pPr>
      <w:r>
        <w:rPr>
          <w:rFonts w:hint="eastAsia" w:ascii="仿宋_GB2312" w:eastAsia="仿宋_GB2312"/>
          <w:color w:val="auto"/>
          <w:sz w:val="32"/>
          <w:szCs w:val="32"/>
        </w:rPr>
        <w:t>采取综合评分标准，平均分最高的投标人为本项目中标人。</w:t>
      </w:r>
    </w:p>
    <w:p>
      <w:pPr>
        <w:pStyle w:val="17"/>
        <w:keepNext w:val="0"/>
        <w:keepLines w:val="0"/>
        <w:pageBreakBefore w:val="0"/>
        <w:kinsoku/>
        <w:wordWrap/>
        <w:overflowPunct/>
        <w:topLinePunct w:val="0"/>
        <w:autoSpaceDE/>
        <w:autoSpaceDN/>
        <w:bidi w:val="0"/>
        <w:spacing w:line="560" w:lineRule="exact"/>
        <w:ind w:leftChars="0" w:right="0" w:rightChars="0" w:firstLine="640" w:firstLineChars="200"/>
        <w:textAlignment w:val="auto"/>
        <w:rPr>
          <w:rFonts w:hint="eastAsia" w:ascii="楷体" w:hAnsi="楷体" w:eastAsia="楷体" w:cs="楷体"/>
          <w:b w:val="0"/>
          <w:bCs/>
          <w:color w:val="auto"/>
          <w:sz w:val="32"/>
          <w:szCs w:val="32"/>
        </w:rPr>
      </w:pPr>
      <w:r>
        <w:rPr>
          <w:rFonts w:hint="eastAsia" w:ascii="楷体" w:hAnsi="楷体" w:eastAsia="楷体" w:cs="楷体"/>
          <w:b w:val="0"/>
          <w:bCs/>
          <w:color w:val="auto"/>
          <w:sz w:val="32"/>
          <w:szCs w:val="32"/>
        </w:rPr>
        <w:t>（二）评分权重</w:t>
      </w:r>
    </w:p>
    <w:tbl>
      <w:tblPr>
        <w:tblStyle w:val="12"/>
        <w:tblW w:w="8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2"/>
        <w:gridCol w:w="2167"/>
        <w:gridCol w:w="2144"/>
        <w:gridCol w:w="2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212" w:type="dxa"/>
            <w:noWrap w:val="0"/>
            <w:vAlign w:val="top"/>
          </w:tcPr>
          <w:p>
            <w:pPr>
              <w:pStyle w:val="17"/>
              <w:keepNext w:val="0"/>
              <w:keepLines w:val="0"/>
              <w:pageBreakBefore w:val="0"/>
              <w:kinsoku/>
              <w:wordWrap/>
              <w:overflowPunct/>
              <w:topLinePunct w:val="0"/>
              <w:autoSpaceDE/>
              <w:autoSpaceDN/>
              <w:bidi w:val="0"/>
              <w:spacing w:line="560" w:lineRule="exact"/>
              <w:ind w:leftChars="0" w:right="0" w:rightChars="0"/>
              <w:jc w:val="center"/>
              <w:textAlignment w:val="auto"/>
              <w:rPr>
                <w:rFonts w:hint="eastAsia" w:ascii="仿宋_GB2312" w:hAnsi="仿宋_GB2312" w:eastAsia="仿宋_GB2312" w:cs="仿宋_GB2312"/>
                <w:b w:val="0"/>
                <w:bCs/>
                <w:color w:val="auto"/>
                <w:szCs w:val="24"/>
                <w:highlight w:val="none"/>
              </w:rPr>
            </w:pPr>
            <w:r>
              <w:rPr>
                <w:rFonts w:hint="eastAsia" w:ascii="仿宋_GB2312" w:hAnsi="仿宋_GB2312" w:eastAsia="仿宋_GB2312" w:cs="仿宋_GB2312"/>
                <w:b w:val="0"/>
                <w:bCs/>
                <w:color w:val="auto"/>
                <w:szCs w:val="24"/>
                <w:highlight w:val="none"/>
              </w:rPr>
              <w:t>评分内容</w:t>
            </w:r>
          </w:p>
        </w:tc>
        <w:tc>
          <w:tcPr>
            <w:tcW w:w="2167" w:type="dxa"/>
            <w:noWrap w:val="0"/>
            <w:vAlign w:val="top"/>
          </w:tcPr>
          <w:p>
            <w:pPr>
              <w:pStyle w:val="17"/>
              <w:keepNext w:val="0"/>
              <w:keepLines w:val="0"/>
              <w:pageBreakBefore w:val="0"/>
              <w:kinsoku/>
              <w:wordWrap/>
              <w:overflowPunct/>
              <w:topLinePunct w:val="0"/>
              <w:autoSpaceDE/>
              <w:autoSpaceDN/>
              <w:bidi w:val="0"/>
              <w:spacing w:line="560" w:lineRule="exact"/>
              <w:ind w:leftChars="0" w:right="0" w:rightChars="0"/>
              <w:jc w:val="center"/>
              <w:textAlignment w:val="auto"/>
              <w:rPr>
                <w:rFonts w:hint="eastAsia" w:ascii="仿宋_GB2312" w:hAnsi="仿宋_GB2312" w:eastAsia="仿宋_GB2312" w:cs="仿宋_GB2312"/>
                <w:b w:val="0"/>
                <w:bCs/>
                <w:color w:val="auto"/>
                <w:szCs w:val="24"/>
                <w:highlight w:val="none"/>
                <w:lang w:eastAsia="zh-CN"/>
              </w:rPr>
            </w:pPr>
            <w:r>
              <w:rPr>
                <w:rFonts w:hint="eastAsia" w:ascii="仿宋_GB2312" w:hAnsi="仿宋_GB2312" w:eastAsia="仿宋_GB2312" w:cs="仿宋_GB2312"/>
                <w:b w:val="0"/>
                <w:bCs/>
                <w:color w:val="auto"/>
                <w:szCs w:val="24"/>
                <w:highlight w:val="none"/>
              </w:rPr>
              <w:t>报价</w:t>
            </w:r>
          </w:p>
        </w:tc>
        <w:tc>
          <w:tcPr>
            <w:tcW w:w="2144" w:type="dxa"/>
            <w:noWrap w:val="0"/>
            <w:vAlign w:val="top"/>
          </w:tcPr>
          <w:p>
            <w:pPr>
              <w:pStyle w:val="17"/>
              <w:keepNext w:val="0"/>
              <w:keepLines w:val="0"/>
              <w:pageBreakBefore w:val="0"/>
              <w:kinsoku/>
              <w:wordWrap/>
              <w:overflowPunct/>
              <w:topLinePunct w:val="0"/>
              <w:autoSpaceDE/>
              <w:autoSpaceDN/>
              <w:bidi w:val="0"/>
              <w:spacing w:line="560" w:lineRule="exact"/>
              <w:ind w:leftChars="0" w:right="0" w:rightChars="0"/>
              <w:jc w:val="center"/>
              <w:textAlignment w:val="auto"/>
              <w:rPr>
                <w:rFonts w:hint="eastAsia" w:ascii="仿宋_GB2312" w:hAnsi="仿宋_GB2312" w:eastAsia="仿宋_GB2312" w:cs="仿宋_GB2312"/>
                <w:b w:val="0"/>
                <w:bCs/>
                <w:color w:val="auto"/>
                <w:szCs w:val="24"/>
                <w:highlight w:val="none"/>
                <w:lang w:eastAsia="zh-CN"/>
              </w:rPr>
            </w:pPr>
            <w:r>
              <w:rPr>
                <w:rFonts w:hint="eastAsia" w:ascii="仿宋_GB2312" w:hAnsi="仿宋_GB2312" w:eastAsia="仿宋_GB2312" w:cs="仿宋_GB2312"/>
                <w:b w:val="0"/>
                <w:bCs/>
                <w:color w:val="auto"/>
                <w:szCs w:val="24"/>
                <w:highlight w:val="none"/>
              </w:rPr>
              <w:t>商务</w:t>
            </w:r>
            <w:r>
              <w:rPr>
                <w:rFonts w:hint="eastAsia" w:ascii="仿宋_GB2312" w:hAnsi="仿宋_GB2312" w:eastAsia="仿宋_GB2312" w:cs="仿宋_GB2312"/>
                <w:b w:val="0"/>
                <w:bCs/>
                <w:color w:val="auto"/>
                <w:szCs w:val="24"/>
                <w:highlight w:val="none"/>
                <w:lang w:eastAsia="zh-CN"/>
              </w:rPr>
              <w:t>部分</w:t>
            </w:r>
          </w:p>
        </w:tc>
        <w:tc>
          <w:tcPr>
            <w:tcW w:w="2252" w:type="dxa"/>
            <w:noWrap w:val="0"/>
            <w:vAlign w:val="top"/>
          </w:tcPr>
          <w:p>
            <w:pPr>
              <w:pStyle w:val="17"/>
              <w:keepNext w:val="0"/>
              <w:keepLines w:val="0"/>
              <w:pageBreakBefore w:val="0"/>
              <w:kinsoku/>
              <w:wordWrap/>
              <w:overflowPunct/>
              <w:topLinePunct w:val="0"/>
              <w:autoSpaceDE/>
              <w:autoSpaceDN/>
              <w:bidi w:val="0"/>
              <w:spacing w:line="560" w:lineRule="exact"/>
              <w:ind w:leftChars="0" w:right="0" w:rightChars="0"/>
              <w:jc w:val="center"/>
              <w:textAlignment w:val="auto"/>
              <w:rPr>
                <w:rFonts w:hint="eastAsia" w:ascii="仿宋_GB2312" w:hAnsi="仿宋_GB2312" w:eastAsia="仿宋_GB2312" w:cs="仿宋_GB2312"/>
                <w:b w:val="0"/>
                <w:bCs/>
                <w:color w:val="auto"/>
                <w:szCs w:val="24"/>
                <w:highlight w:val="none"/>
              </w:rPr>
            </w:pPr>
            <w:r>
              <w:rPr>
                <w:rFonts w:hint="eastAsia" w:ascii="仿宋_GB2312" w:hAnsi="仿宋_GB2312" w:eastAsia="仿宋_GB2312" w:cs="仿宋_GB2312"/>
                <w:b w:val="0"/>
                <w:bCs/>
                <w:color w:val="auto"/>
                <w:szCs w:val="24"/>
                <w:highlight w:val="none"/>
              </w:rPr>
              <w:t>技术</w:t>
            </w:r>
            <w:r>
              <w:rPr>
                <w:rFonts w:hint="eastAsia" w:ascii="仿宋_GB2312" w:hAnsi="仿宋_GB2312" w:eastAsia="仿宋_GB2312" w:cs="仿宋_GB2312"/>
                <w:b w:val="0"/>
                <w:bCs/>
                <w:color w:val="auto"/>
                <w:szCs w:val="24"/>
                <w:highlight w:val="none"/>
                <w:lang w:eastAsia="zh-CN"/>
              </w:rPr>
              <w:t>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212" w:type="dxa"/>
            <w:noWrap w:val="0"/>
            <w:vAlign w:val="top"/>
          </w:tcPr>
          <w:p>
            <w:pPr>
              <w:pStyle w:val="17"/>
              <w:keepNext w:val="0"/>
              <w:keepLines w:val="0"/>
              <w:pageBreakBefore w:val="0"/>
              <w:kinsoku/>
              <w:wordWrap/>
              <w:overflowPunct/>
              <w:topLinePunct w:val="0"/>
              <w:autoSpaceDE/>
              <w:autoSpaceDN/>
              <w:bidi w:val="0"/>
              <w:spacing w:line="560" w:lineRule="exact"/>
              <w:ind w:leftChars="0" w:right="0" w:rightChars="0"/>
              <w:jc w:val="center"/>
              <w:textAlignment w:val="auto"/>
              <w:rPr>
                <w:rFonts w:hint="eastAsia" w:ascii="仿宋_GB2312" w:hAnsi="仿宋_GB2312" w:eastAsia="仿宋_GB2312" w:cs="仿宋_GB2312"/>
                <w:b w:val="0"/>
                <w:bCs/>
                <w:color w:val="auto"/>
                <w:szCs w:val="24"/>
                <w:highlight w:val="none"/>
              </w:rPr>
            </w:pPr>
            <w:r>
              <w:rPr>
                <w:rFonts w:hint="eastAsia" w:ascii="仿宋_GB2312" w:hAnsi="仿宋_GB2312" w:eastAsia="仿宋_GB2312" w:cs="仿宋_GB2312"/>
                <w:b w:val="0"/>
                <w:bCs/>
                <w:color w:val="auto"/>
                <w:szCs w:val="24"/>
                <w:highlight w:val="none"/>
              </w:rPr>
              <w:t>分值</w:t>
            </w:r>
          </w:p>
        </w:tc>
        <w:tc>
          <w:tcPr>
            <w:tcW w:w="2167" w:type="dxa"/>
            <w:noWrap w:val="0"/>
            <w:vAlign w:val="top"/>
          </w:tcPr>
          <w:p>
            <w:pPr>
              <w:pStyle w:val="17"/>
              <w:keepNext w:val="0"/>
              <w:keepLines w:val="0"/>
              <w:pageBreakBefore w:val="0"/>
              <w:kinsoku/>
              <w:wordWrap/>
              <w:overflowPunct/>
              <w:topLinePunct w:val="0"/>
              <w:autoSpaceDE/>
              <w:autoSpaceDN/>
              <w:bidi w:val="0"/>
              <w:spacing w:line="560" w:lineRule="exact"/>
              <w:ind w:leftChars="0" w:right="0" w:rightChars="0"/>
              <w:jc w:val="center"/>
              <w:textAlignment w:val="auto"/>
              <w:rPr>
                <w:rFonts w:hint="eastAsia" w:ascii="仿宋_GB2312" w:hAnsi="仿宋_GB2312" w:eastAsia="仿宋_GB2312" w:cs="仿宋_GB2312"/>
                <w:b w:val="0"/>
                <w:bCs/>
                <w:color w:val="auto"/>
                <w:szCs w:val="24"/>
                <w:highlight w:val="none"/>
              </w:rPr>
            </w:pPr>
            <w:r>
              <w:rPr>
                <w:rFonts w:hint="eastAsia" w:ascii="仿宋_GB2312" w:hAnsi="仿宋_GB2312" w:eastAsia="仿宋_GB2312" w:cs="仿宋_GB2312"/>
                <w:b w:val="0"/>
                <w:bCs/>
                <w:color w:val="auto"/>
                <w:szCs w:val="24"/>
                <w:highlight w:val="none"/>
                <w:lang w:val="en-US" w:eastAsia="zh-CN"/>
              </w:rPr>
              <w:t>30</w:t>
            </w:r>
            <w:r>
              <w:rPr>
                <w:rFonts w:hint="eastAsia" w:ascii="仿宋_GB2312" w:hAnsi="仿宋_GB2312" w:eastAsia="仿宋_GB2312" w:cs="仿宋_GB2312"/>
                <w:b w:val="0"/>
                <w:bCs/>
                <w:color w:val="auto"/>
                <w:szCs w:val="24"/>
                <w:highlight w:val="none"/>
              </w:rPr>
              <w:t>分</w:t>
            </w:r>
          </w:p>
        </w:tc>
        <w:tc>
          <w:tcPr>
            <w:tcW w:w="2144" w:type="dxa"/>
            <w:noWrap w:val="0"/>
            <w:vAlign w:val="top"/>
          </w:tcPr>
          <w:p>
            <w:pPr>
              <w:pStyle w:val="17"/>
              <w:keepNext w:val="0"/>
              <w:keepLines w:val="0"/>
              <w:pageBreakBefore w:val="0"/>
              <w:kinsoku/>
              <w:wordWrap/>
              <w:overflowPunct/>
              <w:topLinePunct w:val="0"/>
              <w:autoSpaceDE/>
              <w:autoSpaceDN/>
              <w:bidi w:val="0"/>
              <w:spacing w:line="560" w:lineRule="exact"/>
              <w:ind w:leftChars="0" w:right="0" w:rightChars="0"/>
              <w:jc w:val="center"/>
              <w:textAlignment w:val="auto"/>
              <w:rPr>
                <w:rFonts w:hint="eastAsia" w:ascii="仿宋_GB2312" w:hAnsi="仿宋_GB2312" w:eastAsia="仿宋_GB2312" w:cs="仿宋_GB2312"/>
                <w:b w:val="0"/>
                <w:bCs/>
                <w:color w:val="auto"/>
                <w:szCs w:val="24"/>
                <w:highlight w:val="none"/>
              </w:rPr>
            </w:pPr>
            <w:r>
              <w:rPr>
                <w:rFonts w:hint="eastAsia" w:ascii="仿宋_GB2312" w:hAnsi="仿宋_GB2312" w:eastAsia="仿宋_GB2312" w:cs="仿宋_GB2312"/>
                <w:b w:val="0"/>
                <w:bCs/>
                <w:color w:val="auto"/>
                <w:szCs w:val="24"/>
                <w:highlight w:val="none"/>
                <w:lang w:val="en-US" w:eastAsia="zh-CN"/>
              </w:rPr>
              <w:t>25</w:t>
            </w:r>
            <w:r>
              <w:rPr>
                <w:rFonts w:hint="eastAsia" w:ascii="仿宋_GB2312" w:hAnsi="仿宋_GB2312" w:eastAsia="仿宋_GB2312" w:cs="仿宋_GB2312"/>
                <w:b w:val="0"/>
                <w:bCs/>
                <w:color w:val="auto"/>
                <w:szCs w:val="24"/>
                <w:highlight w:val="none"/>
              </w:rPr>
              <w:t>分</w:t>
            </w:r>
          </w:p>
        </w:tc>
        <w:tc>
          <w:tcPr>
            <w:tcW w:w="2252" w:type="dxa"/>
            <w:noWrap w:val="0"/>
            <w:vAlign w:val="top"/>
          </w:tcPr>
          <w:p>
            <w:pPr>
              <w:pStyle w:val="17"/>
              <w:keepNext w:val="0"/>
              <w:keepLines w:val="0"/>
              <w:pageBreakBefore w:val="0"/>
              <w:kinsoku/>
              <w:wordWrap/>
              <w:overflowPunct/>
              <w:topLinePunct w:val="0"/>
              <w:autoSpaceDE/>
              <w:autoSpaceDN/>
              <w:bidi w:val="0"/>
              <w:spacing w:line="560" w:lineRule="exact"/>
              <w:ind w:leftChars="0" w:right="0" w:rightChars="0"/>
              <w:jc w:val="center"/>
              <w:textAlignment w:val="auto"/>
              <w:rPr>
                <w:rFonts w:hint="eastAsia" w:ascii="仿宋_GB2312" w:hAnsi="仿宋_GB2312" w:eastAsia="仿宋_GB2312" w:cs="仿宋_GB2312"/>
                <w:b w:val="0"/>
                <w:bCs/>
                <w:color w:val="auto"/>
                <w:szCs w:val="24"/>
                <w:highlight w:val="none"/>
              </w:rPr>
            </w:pPr>
            <w:r>
              <w:rPr>
                <w:rFonts w:hint="eastAsia" w:ascii="仿宋_GB2312" w:hAnsi="仿宋_GB2312" w:eastAsia="仿宋_GB2312" w:cs="仿宋_GB2312"/>
                <w:b w:val="0"/>
                <w:bCs/>
                <w:color w:val="auto"/>
                <w:szCs w:val="24"/>
                <w:highlight w:val="none"/>
                <w:lang w:val="en-US" w:eastAsia="zh-CN"/>
              </w:rPr>
              <w:t>45</w:t>
            </w:r>
            <w:r>
              <w:rPr>
                <w:rFonts w:hint="eastAsia" w:ascii="仿宋_GB2312" w:hAnsi="仿宋_GB2312" w:eastAsia="仿宋_GB2312" w:cs="仿宋_GB2312"/>
                <w:b w:val="0"/>
                <w:bCs/>
                <w:color w:val="auto"/>
                <w:szCs w:val="24"/>
                <w:highlight w:val="none"/>
              </w:rPr>
              <w:t>分</w:t>
            </w:r>
          </w:p>
        </w:tc>
      </w:tr>
    </w:tbl>
    <w:p>
      <w:pPr>
        <w:pStyle w:val="17"/>
        <w:keepNext w:val="0"/>
        <w:keepLines w:val="0"/>
        <w:pageBreakBefore w:val="0"/>
        <w:numPr>
          <w:ilvl w:val="0"/>
          <w:numId w:val="2"/>
        </w:numPr>
        <w:kinsoku/>
        <w:wordWrap/>
        <w:overflowPunct/>
        <w:topLinePunct w:val="0"/>
        <w:autoSpaceDE/>
        <w:autoSpaceDN/>
        <w:bidi w:val="0"/>
        <w:spacing w:line="560" w:lineRule="exact"/>
        <w:ind w:left="0" w:leftChars="0" w:right="0" w:rightChars="0" w:firstLine="640" w:firstLineChars="200"/>
        <w:textAlignment w:val="auto"/>
        <w:rPr>
          <w:rFonts w:hint="eastAsia" w:ascii="楷体" w:hAnsi="楷体" w:eastAsia="楷体" w:cs="楷体"/>
          <w:b w:val="0"/>
          <w:bCs/>
          <w:color w:val="auto"/>
          <w:sz w:val="32"/>
          <w:szCs w:val="32"/>
          <w:highlight w:val="none"/>
        </w:rPr>
      </w:pPr>
      <w:r>
        <w:rPr>
          <w:rFonts w:hint="eastAsia" w:ascii="楷体" w:hAnsi="楷体" w:eastAsia="楷体" w:cs="楷体"/>
          <w:b w:val="0"/>
          <w:bCs/>
          <w:color w:val="auto"/>
          <w:sz w:val="32"/>
          <w:szCs w:val="32"/>
          <w:highlight w:val="none"/>
        </w:rPr>
        <w:t>评分标准</w:t>
      </w:r>
    </w:p>
    <w:tbl>
      <w:tblPr>
        <w:tblStyle w:val="13"/>
        <w:tblW w:w="9014"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1128"/>
        <w:gridCol w:w="6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restart"/>
            <w:noWrap w:val="0"/>
            <w:vAlign w:val="center"/>
          </w:tcPr>
          <w:p>
            <w:pPr>
              <w:spacing w:line="560" w:lineRule="exact"/>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报价</w:t>
            </w:r>
          </w:p>
          <w:p>
            <w:pPr>
              <w:spacing w:line="560" w:lineRule="exact"/>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30分</w:t>
            </w:r>
            <w:r>
              <w:rPr>
                <w:rFonts w:hint="eastAsia" w:ascii="仿宋_GB2312" w:hAnsi="仿宋_GB2312" w:eastAsia="仿宋_GB2312" w:cs="仿宋_GB2312"/>
                <w:sz w:val="24"/>
                <w:szCs w:val="24"/>
                <w:vertAlign w:val="baseline"/>
                <w:lang w:eastAsia="zh-CN"/>
              </w:rPr>
              <w:t>）</w:t>
            </w:r>
          </w:p>
        </w:tc>
        <w:tc>
          <w:tcPr>
            <w:tcW w:w="1128" w:type="dxa"/>
            <w:noWrap w:val="0"/>
            <w:vAlign w:val="top"/>
          </w:tcPr>
          <w:p>
            <w:pPr>
              <w:spacing w:line="560" w:lineRule="exact"/>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评分</w:t>
            </w:r>
          </w:p>
          <w:p>
            <w:pPr>
              <w:spacing w:line="560" w:lineRule="exact"/>
              <w:jc w:val="left"/>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因素</w:t>
            </w:r>
          </w:p>
        </w:tc>
        <w:tc>
          <w:tcPr>
            <w:tcW w:w="6726" w:type="dxa"/>
            <w:noWrap w:val="0"/>
            <w:vAlign w:val="center"/>
          </w:tcPr>
          <w:p>
            <w:pPr>
              <w:spacing w:line="560" w:lineRule="exact"/>
              <w:jc w:val="left"/>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continue"/>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28" w:type="dxa"/>
            <w:noWrap w:val="0"/>
            <w:vAlign w:val="center"/>
          </w:tcPr>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价格</w:t>
            </w:r>
          </w:p>
        </w:tc>
        <w:tc>
          <w:tcPr>
            <w:tcW w:w="6726" w:type="dxa"/>
            <w:noWrap w:val="0"/>
            <w:vAlign w:val="center"/>
          </w:tcPr>
          <w:p>
            <w:pPr>
              <w:topLinePunct/>
              <w:snapToGrid w:val="0"/>
              <w:spacing w:line="360" w:lineRule="auto"/>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以本次报价或投标人所报的有效报价中的最低价作为基准报价。投标人报价得分=（基准价/投标人报价）*30分。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restart"/>
            <w:noWrap w:val="0"/>
            <w:vAlign w:val="center"/>
          </w:tcPr>
          <w:p>
            <w:pPr>
              <w:spacing w:line="560" w:lineRule="exact"/>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商务</w:t>
            </w:r>
          </w:p>
          <w:p>
            <w:pPr>
              <w:pStyle w:val="7"/>
              <w:spacing w:line="560" w:lineRule="exact"/>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部分</w:t>
            </w:r>
          </w:p>
          <w:p>
            <w:pPr>
              <w:pStyle w:val="7"/>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25分</w:t>
            </w:r>
            <w:r>
              <w:rPr>
                <w:rFonts w:hint="eastAsia" w:ascii="仿宋_GB2312" w:hAnsi="仿宋_GB2312" w:eastAsia="仿宋_GB2312" w:cs="仿宋_GB2312"/>
                <w:sz w:val="24"/>
                <w:szCs w:val="24"/>
                <w:vertAlign w:val="baseline"/>
                <w:lang w:eastAsia="zh-CN"/>
              </w:rPr>
              <w:t>）</w:t>
            </w:r>
          </w:p>
        </w:tc>
        <w:tc>
          <w:tcPr>
            <w:tcW w:w="1128" w:type="dxa"/>
            <w:noWrap w:val="0"/>
            <w:vAlign w:val="top"/>
          </w:tcPr>
          <w:p>
            <w:pPr>
              <w:spacing w:line="560" w:lineRule="exact"/>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评分</w:t>
            </w:r>
          </w:p>
          <w:p>
            <w:pPr>
              <w:spacing w:line="560" w:lineRule="exact"/>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因素</w:t>
            </w:r>
          </w:p>
        </w:tc>
        <w:tc>
          <w:tcPr>
            <w:tcW w:w="6726" w:type="dxa"/>
            <w:noWrap w:val="0"/>
            <w:vAlign w:val="center"/>
          </w:tcPr>
          <w:p>
            <w:pPr>
              <w:spacing w:line="560" w:lineRule="exact"/>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60" w:type="dxa"/>
            <w:vMerge w:val="continue"/>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28" w:type="dxa"/>
            <w:noWrap w:val="0"/>
            <w:vAlign w:val="center"/>
          </w:tcPr>
          <w:p>
            <w:pPr>
              <w:spacing w:line="560" w:lineRule="exact"/>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lang w:eastAsia="zh-CN"/>
              </w:rPr>
              <w:t>同类项目经验（</w:t>
            </w:r>
            <w:r>
              <w:rPr>
                <w:rFonts w:hint="eastAsia" w:ascii="仿宋_GB2312" w:hAnsi="仿宋_GB2312" w:eastAsia="仿宋_GB2312" w:cs="仿宋_GB2312"/>
                <w:sz w:val="24"/>
                <w:szCs w:val="24"/>
                <w:lang w:val="en-US" w:eastAsia="zh-CN"/>
              </w:rPr>
              <w:t>10分</w:t>
            </w:r>
            <w:r>
              <w:rPr>
                <w:rFonts w:hint="eastAsia" w:ascii="仿宋_GB2312" w:hAnsi="仿宋_GB2312" w:eastAsia="仿宋_GB2312" w:cs="仿宋_GB2312"/>
                <w:sz w:val="24"/>
                <w:szCs w:val="24"/>
                <w:lang w:eastAsia="zh-CN"/>
              </w:rPr>
              <w:t>）</w:t>
            </w:r>
          </w:p>
        </w:tc>
        <w:tc>
          <w:tcPr>
            <w:tcW w:w="6726" w:type="dxa"/>
            <w:noWrap w:val="0"/>
            <w:vAlign w:val="top"/>
          </w:tcPr>
          <w:p>
            <w:pPr>
              <w:topLinePunct/>
              <w:snapToGrid w:val="0"/>
              <w:spacing w:line="360" w:lineRule="auto"/>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（一）评审内容：</w:t>
            </w:r>
          </w:p>
          <w:p>
            <w:pPr>
              <w:topLinePunct/>
              <w:snapToGrid w:val="0"/>
              <w:spacing w:line="360" w:lineRule="auto"/>
              <w:jc w:val="left"/>
              <w:rPr>
                <w:rFonts w:hint="eastAsia"/>
                <w:lang w:val="en-US" w:eastAsia="zh-CN"/>
              </w:rPr>
            </w:pPr>
            <w:r>
              <w:rPr>
                <w:rFonts w:hint="eastAsia" w:ascii="仿宋_GB2312" w:hAnsi="仿宋_GB2312" w:eastAsia="仿宋_GB2312" w:cs="仿宋_GB2312"/>
                <w:sz w:val="24"/>
                <w:szCs w:val="24"/>
                <w:lang w:eastAsia="zh-CN"/>
              </w:rPr>
              <w:t>投标人自202</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年1月1日至本项目投标截止日（以合同签订日期为准），</w:t>
            </w:r>
            <w:r>
              <w:rPr>
                <w:rFonts w:hint="eastAsia" w:ascii="仿宋_GB2312" w:hAnsi="仿宋_GB2312" w:eastAsia="仿宋_GB2312" w:cs="仿宋_GB2312"/>
                <w:sz w:val="24"/>
                <w:szCs w:val="24"/>
                <w:lang w:val="en-US" w:eastAsia="zh-CN"/>
              </w:rPr>
              <w:t>每提供一项</w:t>
            </w:r>
            <w:r>
              <w:rPr>
                <w:rFonts w:hint="eastAsia" w:ascii="仿宋" w:hAnsi="仿宋" w:eastAsia="仿宋" w:cs="仿宋"/>
                <w:i w:val="0"/>
                <w:iCs w:val="0"/>
                <w:color w:val="auto"/>
                <w:kern w:val="0"/>
                <w:sz w:val="24"/>
                <w:szCs w:val="24"/>
                <w:highlight w:val="none"/>
                <w:u w:val="none"/>
                <w:lang w:val="en-US" w:eastAsia="zh-CN" w:bidi="ar"/>
              </w:rPr>
              <w:t>文体赛事活动</w:t>
            </w:r>
            <w:r>
              <w:rPr>
                <w:rFonts w:hint="eastAsia" w:ascii="仿宋_GB2312" w:hAnsi="仿宋_GB2312" w:eastAsia="仿宋_GB2312" w:cs="仿宋_GB2312"/>
                <w:sz w:val="24"/>
                <w:szCs w:val="24"/>
                <w:lang w:eastAsia="zh-CN"/>
              </w:rPr>
              <w:t>同类业绩得</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分，最高得</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lang w:eastAsia="zh-CN"/>
              </w:rPr>
              <w:t>分</w:t>
            </w:r>
            <w:r>
              <w:rPr>
                <w:rFonts w:hint="eastAsia" w:ascii="仿宋_GB2312" w:hAnsi="仿宋_GB2312" w:eastAsia="仿宋_GB2312" w:cs="仿宋_GB2312"/>
                <w:sz w:val="24"/>
                <w:szCs w:val="24"/>
                <w:lang w:val="en-US" w:eastAsia="zh-CN"/>
              </w:rPr>
              <w:t>。</w:t>
            </w:r>
          </w:p>
          <w:p>
            <w:pPr>
              <w:topLinePunct/>
              <w:snapToGrid w:val="0"/>
              <w:spacing w:line="360" w:lineRule="auto"/>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lang w:eastAsia="zh-CN"/>
              </w:rPr>
              <w:t>）评审依据：</w:t>
            </w:r>
          </w:p>
          <w:p>
            <w:pPr>
              <w:topLinePunct/>
              <w:snapToGrid w:val="0"/>
              <w:spacing w:line="360" w:lineRule="auto"/>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1、每项业绩按以下要求提供完整准确的证明文件，一个合同计算一个业绩，一年一签的续签合同只计算一个业绩：</w:t>
            </w:r>
          </w:p>
          <w:p>
            <w:pPr>
              <w:topLinePunct/>
              <w:snapToGrid w:val="0"/>
              <w:spacing w:line="360" w:lineRule="auto"/>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合同关键页（关键信息包括但不仅限于合同的项目名称、服务内容、合同服务的起止时间、合同双方的盖章、签订日期等）；</w:t>
            </w:r>
          </w:p>
          <w:p>
            <w:pPr>
              <w:topLinePunct/>
              <w:snapToGrid w:val="0"/>
              <w:spacing w:line="360" w:lineRule="auto"/>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2、未提供证明材料或者提供的证明材料不符合要求或提供的证明材料不清晰导致（临时）采购小组无法辨认的，不得分。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continue"/>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28" w:type="dxa"/>
            <w:noWrap w:val="0"/>
            <w:vAlign w:val="center"/>
          </w:tcPr>
          <w:p>
            <w:pPr>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拟安排项目</w:t>
            </w:r>
            <w:bookmarkStart w:id="1" w:name="_GoBack"/>
            <w:bookmarkEnd w:id="1"/>
            <w:r>
              <w:rPr>
                <w:rFonts w:hint="eastAsia" w:ascii="仿宋_GB2312" w:hAnsi="仿宋_GB2312" w:eastAsia="仿宋_GB2312" w:cs="仿宋_GB2312"/>
                <w:sz w:val="24"/>
                <w:szCs w:val="24"/>
                <w:lang w:val="en-US" w:eastAsia="zh-CN"/>
              </w:rPr>
              <w:t>团队成员</w:t>
            </w:r>
          </w:p>
          <w:p>
            <w:pPr>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（10分）</w:t>
            </w:r>
          </w:p>
        </w:tc>
        <w:tc>
          <w:tcPr>
            <w:tcW w:w="6726" w:type="dxa"/>
            <w:noWrap w:val="0"/>
            <w:vAlign w:val="center"/>
          </w:tcPr>
          <w:p>
            <w:pPr>
              <w:topLinePunct/>
              <w:snapToGrid w:val="0"/>
              <w:spacing w:line="360" w:lineRule="auto"/>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（一）评审内容</w:t>
            </w:r>
          </w:p>
          <w:p>
            <w:pPr>
              <w:topLinePunct/>
              <w:snapToGrid w:val="0"/>
              <w:spacing w:line="360" w:lineRule="auto"/>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拟安排的项目团队成员情况：</w:t>
            </w:r>
          </w:p>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1、具有本科（或以上）学历，每提供上述学历的得</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分，最高得</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分（注：提供重复学历的其他人员不累计分值。）；</w:t>
            </w:r>
          </w:p>
          <w:p>
            <w:pPr>
              <w:topLinePunct/>
              <w:snapToGrid w:val="0"/>
              <w:spacing w:line="360" w:lineRule="auto"/>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、具有</w:t>
            </w:r>
            <w:r>
              <w:rPr>
                <w:rFonts w:hint="eastAsia" w:ascii="仿宋" w:hAnsi="仿宋" w:eastAsia="仿宋" w:cs="仿宋"/>
                <w:color w:val="auto"/>
                <w:sz w:val="24"/>
                <w:szCs w:val="24"/>
                <w:highlight w:val="none"/>
                <w:lang w:eastAsia="zh-CN"/>
              </w:rPr>
              <w:t>体育赛事</w:t>
            </w:r>
            <w:r>
              <w:rPr>
                <w:rFonts w:hint="eastAsia" w:ascii="仿宋" w:hAnsi="仿宋" w:eastAsia="仿宋" w:cs="仿宋"/>
                <w:color w:val="auto"/>
                <w:sz w:val="24"/>
                <w:szCs w:val="24"/>
                <w:highlight w:val="none"/>
                <w:lang w:val="en-US" w:eastAsia="zh-CN"/>
              </w:rPr>
              <w:t>活动</w:t>
            </w:r>
            <w:r>
              <w:rPr>
                <w:rFonts w:hint="eastAsia" w:ascii="仿宋_GB2312" w:hAnsi="仿宋_GB2312" w:eastAsia="仿宋_GB2312" w:cs="仿宋_GB2312"/>
                <w:sz w:val="24"/>
                <w:szCs w:val="24"/>
                <w:lang w:eastAsia="zh-CN"/>
              </w:rPr>
              <w:t>有关工作经验，每提供一人得</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分，最高得</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分；</w:t>
            </w:r>
          </w:p>
          <w:p>
            <w:pPr>
              <w:topLinePunct/>
              <w:snapToGrid w:val="0"/>
              <w:spacing w:line="360" w:lineRule="auto"/>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同一人具备1至</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项情况的可</w:t>
            </w:r>
            <w:r>
              <w:rPr>
                <w:rFonts w:hint="eastAsia" w:ascii="仿宋_GB2312" w:hAnsi="仿宋_GB2312" w:eastAsia="仿宋_GB2312" w:cs="仿宋_GB2312"/>
                <w:sz w:val="24"/>
                <w:szCs w:val="24"/>
                <w:lang w:val="en-US" w:eastAsia="zh-CN"/>
              </w:rPr>
              <w:t>重复得</w:t>
            </w:r>
            <w:r>
              <w:rPr>
                <w:rFonts w:hint="eastAsia" w:ascii="仿宋_GB2312" w:hAnsi="仿宋_GB2312" w:eastAsia="仿宋_GB2312" w:cs="仿宋_GB2312"/>
                <w:sz w:val="24"/>
                <w:szCs w:val="24"/>
                <w:lang w:eastAsia="zh-CN"/>
              </w:rPr>
              <w:t>分，本项最高得</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lang w:eastAsia="zh-CN"/>
              </w:rPr>
              <w:t>分。</w:t>
            </w:r>
          </w:p>
          <w:p>
            <w:pPr>
              <w:pStyle w:val="2"/>
              <w:rPr>
                <w:rFonts w:hint="eastAsia"/>
                <w:lang w:eastAsia="zh-CN"/>
              </w:rPr>
            </w:pPr>
          </w:p>
          <w:p>
            <w:pPr>
              <w:topLinePunct/>
              <w:snapToGrid w:val="0"/>
              <w:spacing w:line="360" w:lineRule="auto"/>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lang w:eastAsia="zh-CN"/>
              </w:rPr>
              <w:t>）评审依据：</w:t>
            </w:r>
          </w:p>
          <w:p>
            <w:pPr>
              <w:topLinePunct/>
              <w:snapToGrid w:val="0"/>
              <w:spacing w:line="360" w:lineRule="auto"/>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提供学位或学历证书</w:t>
            </w:r>
            <w:r>
              <w:rPr>
                <w:rFonts w:hint="eastAsia" w:ascii="仿宋_GB2312" w:hAnsi="仿宋_GB2312" w:eastAsia="仿宋_GB2312" w:cs="仿宋_GB2312"/>
                <w:sz w:val="24"/>
                <w:szCs w:val="24"/>
                <w:lang w:eastAsia="zh-CN"/>
              </w:rPr>
              <w:t>或</w:t>
            </w:r>
            <w:r>
              <w:rPr>
                <w:rFonts w:hint="eastAsia" w:ascii="仿宋_GB2312" w:hAnsi="仿宋_GB2312" w:eastAsia="仿宋_GB2312" w:cs="仿宋_GB2312"/>
                <w:sz w:val="24"/>
                <w:szCs w:val="24"/>
              </w:rPr>
              <w:t>学信网查询记录，原件备查</w:t>
            </w:r>
            <w:r>
              <w:rPr>
                <w:rFonts w:hint="eastAsia" w:ascii="仿宋_GB2312" w:hAnsi="仿宋_GB2312" w:eastAsia="仿宋_GB2312" w:cs="仿宋_GB2312"/>
                <w:sz w:val="24"/>
                <w:szCs w:val="24"/>
                <w:lang w:eastAsia="zh-CN"/>
              </w:rPr>
              <w:t>；</w:t>
            </w:r>
          </w:p>
          <w:p>
            <w:pPr>
              <w:spacing w:line="360" w:lineRule="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工作经验</w:t>
            </w:r>
            <w:r>
              <w:rPr>
                <w:rFonts w:hint="eastAsia" w:ascii="仿宋_GB2312" w:hAnsi="仿宋_GB2312" w:eastAsia="仿宋_GB2312" w:cs="仿宋_GB2312"/>
                <w:sz w:val="24"/>
                <w:szCs w:val="24"/>
              </w:rPr>
              <w:t>需提供合同关键页或其他可以证明的材料；合同关键（关键信息包括但不仅限于合同的项目名称、</w:t>
            </w:r>
            <w:r>
              <w:rPr>
                <w:rFonts w:hint="eastAsia" w:ascii="仿宋_GB2312" w:hAnsi="仿宋_GB2312" w:eastAsia="仿宋_GB2312" w:cs="仿宋_GB2312"/>
                <w:sz w:val="24"/>
                <w:szCs w:val="24"/>
                <w:lang w:val="en-US" w:eastAsia="zh-CN"/>
              </w:rPr>
              <w:t>项目负责人/团队成员名字、</w:t>
            </w:r>
            <w:r>
              <w:rPr>
                <w:rFonts w:hint="eastAsia" w:ascii="仿宋_GB2312" w:hAnsi="仿宋_GB2312" w:eastAsia="仿宋_GB2312" w:cs="仿宋_GB2312"/>
                <w:sz w:val="24"/>
                <w:szCs w:val="24"/>
              </w:rPr>
              <w:t>服务内容、</w:t>
            </w:r>
            <w:r>
              <w:rPr>
                <w:rFonts w:hint="eastAsia" w:ascii="仿宋_GB2312" w:hAnsi="仿宋_GB2312" w:eastAsia="仿宋_GB2312" w:cs="仿宋_GB2312"/>
                <w:sz w:val="24"/>
                <w:szCs w:val="24"/>
                <w:lang w:val="en-US" w:eastAsia="zh-CN"/>
              </w:rPr>
              <w:t>合同双方盖章页</w:t>
            </w:r>
            <w:r>
              <w:rPr>
                <w:rFonts w:hint="eastAsia" w:ascii="仿宋_GB2312" w:hAnsi="仿宋_GB2312" w:eastAsia="仿宋_GB2312" w:cs="仿宋_GB2312"/>
                <w:sz w:val="24"/>
                <w:szCs w:val="24"/>
              </w:rPr>
              <w:t>），以及满足评分要求的服务内容。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continue"/>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28" w:type="dxa"/>
            <w:noWrap w:val="0"/>
            <w:vAlign w:val="center"/>
          </w:tcPr>
          <w:p>
            <w:pPr>
              <w:spacing w:line="560" w:lineRule="exact"/>
              <w:jc w:val="left"/>
              <w:rPr>
                <w:rFonts w:hint="eastAsia"/>
                <w:lang w:eastAsia="zh-CN"/>
              </w:rPr>
            </w:pPr>
            <w:r>
              <w:rPr>
                <w:rFonts w:hint="eastAsia" w:ascii="仿宋_GB2312" w:hAnsi="仿宋_GB2312" w:eastAsia="仿宋_GB2312" w:cs="仿宋_GB2312"/>
                <w:sz w:val="24"/>
                <w:szCs w:val="24"/>
                <w:lang w:val="en-US" w:eastAsia="zh-CN"/>
              </w:rPr>
              <w:t>服务承诺（5分）</w:t>
            </w:r>
          </w:p>
        </w:tc>
        <w:tc>
          <w:tcPr>
            <w:tcW w:w="6726" w:type="dxa"/>
            <w:noWrap w:val="0"/>
            <w:vAlign w:val="center"/>
          </w:tcPr>
          <w:p>
            <w:pPr>
              <w:topLinePunct/>
              <w:snapToGrid w:val="0"/>
              <w:spacing w:line="360" w:lineRule="auto"/>
              <w:jc w:val="left"/>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（一）</w:t>
            </w:r>
            <w:r>
              <w:rPr>
                <w:rFonts w:hint="eastAsia" w:ascii="仿宋_GB2312" w:hAnsi="仿宋_GB2312" w:eastAsia="仿宋_GB2312" w:cs="仿宋_GB2312"/>
                <w:b/>
                <w:bCs/>
                <w:sz w:val="24"/>
                <w:szCs w:val="24"/>
                <w:highlight w:val="none"/>
                <w:lang w:eastAsia="zh-CN"/>
              </w:rPr>
              <w:t>评审</w:t>
            </w:r>
            <w:r>
              <w:rPr>
                <w:rFonts w:hint="eastAsia" w:ascii="仿宋_GB2312" w:hAnsi="仿宋_GB2312" w:eastAsia="仿宋_GB2312" w:cs="仿宋_GB2312"/>
                <w:b/>
                <w:bCs/>
                <w:sz w:val="24"/>
                <w:szCs w:val="24"/>
                <w:highlight w:val="none"/>
              </w:rPr>
              <w:t>内容：</w:t>
            </w:r>
          </w:p>
          <w:p>
            <w:pPr>
              <w:adjustRightInd w:val="0"/>
              <w:snapToGrid w:val="0"/>
              <w:spacing w:line="360" w:lineRule="auto"/>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根据针对本项目做出的服务承诺，考察包括但不限于以下内容：</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在服务期满后主动交接项目相关资料。</w:t>
            </w:r>
          </w:p>
          <w:p>
            <w:pPr>
              <w:pStyle w:val="2"/>
              <w:rPr>
                <w:rFonts w:hint="eastAsia"/>
              </w:rPr>
            </w:pPr>
          </w:p>
          <w:p>
            <w:pPr>
              <w:topLinePunct/>
              <w:snapToGrid w:val="0"/>
              <w:spacing w:line="360" w:lineRule="auto"/>
              <w:jc w:val="left"/>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（二）</w:t>
            </w:r>
            <w:r>
              <w:rPr>
                <w:rFonts w:hint="eastAsia" w:ascii="仿宋_GB2312" w:hAnsi="仿宋_GB2312" w:eastAsia="仿宋_GB2312" w:cs="仿宋_GB2312"/>
                <w:b/>
                <w:bCs/>
                <w:sz w:val="24"/>
                <w:szCs w:val="24"/>
                <w:highlight w:val="none"/>
                <w:lang w:eastAsia="zh-CN"/>
              </w:rPr>
              <w:t>评审</w:t>
            </w:r>
            <w:r>
              <w:rPr>
                <w:rFonts w:hint="eastAsia" w:ascii="仿宋_GB2312" w:hAnsi="仿宋_GB2312" w:eastAsia="仿宋_GB2312" w:cs="仿宋_GB2312"/>
                <w:b/>
                <w:bCs/>
                <w:sz w:val="24"/>
                <w:szCs w:val="24"/>
                <w:highlight w:val="none"/>
              </w:rPr>
              <w:t>依据：</w:t>
            </w:r>
          </w:p>
          <w:p>
            <w:pPr>
              <w:topLinePunct/>
              <w:snapToGrid w:val="0"/>
              <w:spacing w:line="360" w:lineRule="auto"/>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highlight w:val="none"/>
              </w:rPr>
              <w:t>提供</w:t>
            </w:r>
            <w:r>
              <w:rPr>
                <w:rFonts w:hint="eastAsia" w:ascii="仿宋_GB2312" w:hAnsi="仿宋_GB2312" w:eastAsia="仿宋_GB2312" w:cs="仿宋_GB2312"/>
                <w:sz w:val="24"/>
                <w:szCs w:val="24"/>
                <w:highlight w:val="none"/>
                <w:lang w:eastAsia="zh-CN"/>
              </w:rPr>
              <w:t>服务</w:t>
            </w:r>
            <w:r>
              <w:rPr>
                <w:rFonts w:hint="eastAsia" w:ascii="仿宋_GB2312" w:hAnsi="仿宋_GB2312" w:eastAsia="仿宋_GB2312" w:cs="仿宋_GB2312"/>
                <w:sz w:val="24"/>
                <w:szCs w:val="24"/>
                <w:highlight w:val="none"/>
              </w:rPr>
              <w:t>承诺函（格式自拟）并加盖投标人公章，未提供承诺或承诺内容不满足要求不得分。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restart"/>
            <w:noWrap w:val="0"/>
            <w:vAlign w:val="center"/>
          </w:tcPr>
          <w:p>
            <w:pPr>
              <w:spacing w:line="560" w:lineRule="exact"/>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技术部分（45分）</w:t>
            </w:r>
          </w:p>
        </w:tc>
        <w:tc>
          <w:tcPr>
            <w:tcW w:w="1128" w:type="dxa"/>
            <w:noWrap w:val="0"/>
            <w:vAlign w:val="center"/>
          </w:tcPr>
          <w:p>
            <w:pPr>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实</w:t>
            </w:r>
            <w:r>
              <w:rPr>
                <w:rFonts w:hint="eastAsia" w:ascii="仿宋_GB2312" w:hAnsi="仿宋_GB2312" w:eastAsia="仿宋_GB2312" w:cs="仿宋_GB2312"/>
                <w:sz w:val="24"/>
                <w:szCs w:val="24"/>
                <w:lang w:val="en-US" w:eastAsia="zh-CN"/>
              </w:rPr>
              <w:t>施</w:t>
            </w:r>
          </w:p>
          <w:p>
            <w:pPr>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方案</w:t>
            </w:r>
          </w:p>
          <w:p>
            <w:pPr>
              <w:spacing w:line="560" w:lineRule="exact"/>
              <w:jc w:val="left"/>
              <w:rPr>
                <w:rFonts w:hint="eastAsia"/>
                <w:lang w:eastAsia="zh-CN"/>
              </w:rPr>
            </w:pPr>
            <w:r>
              <w:rPr>
                <w:rFonts w:hint="eastAsia" w:ascii="仿宋_GB2312" w:hAnsi="仿宋_GB2312" w:eastAsia="仿宋_GB2312" w:cs="仿宋_GB2312"/>
                <w:sz w:val="24"/>
                <w:szCs w:val="24"/>
                <w:lang w:val="en-US" w:eastAsia="zh-CN"/>
              </w:rPr>
              <w:t>（25分）</w:t>
            </w:r>
          </w:p>
        </w:tc>
        <w:tc>
          <w:tcPr>
            <w:tcW w:w="6726" w:type="dxa"/>
            <w:noWrap w:val="0"/>
            <w:vAlign w:val="top"/>
          </w:tcPr>
          <w:p>
            <w:pPr>
              <w:topLinePunct/>
              <w:snapToGrid w:val="0"/>
              <w:spacing w:line="360" w:lineRule="auto"/>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内容：</w:t>
            </w:r>
          </w:p>
          <w:p>
            <w:pPr>
              <w:keepNext w:val="0"/>
              <w:keepLines w:val="0"/>
              <w:pageBreakBefore w:val="0"/>
              <w:widowControl w:val="0"/>
              <w:snapToGrid/>
              <w:spacing w:line="360" w:lineRule="auto"/>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根据投标人提供的实施方案，考察包括但不限于：</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sz w:val="24"/>
                <w:szCs w:val="24"/>
              </w:rPr>
              <w:t>、</w:t>
            </w:r>
            <w:r>
              <w:rPr>
                <w:rFonts w:hint="eastAsia" w:ascii="仿宋_GB2312" w:hAnsi="宋体" w:eastAsia="仿宋_GB2312" w:cs="仿宋_GB2312"/>
                <w:i w:val="0"/>
                <w:iCs w:val="0"/>
                <w:color w:val="auto"/>
                <w:kern w:val="0"/>
                <w:sz w:val="24"/>
                <w:szCs w:val="24"/>
                <w:highlight w:val="none"/>
                <w:u w:val="none"/>
                <w:lang w:val="en-US" w:eastAsia="zh-CN" w:bidi="ar"/>
              </w:rPr>
              <w:t>项目整体规划方案</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sz w:val="24"/>
                <w:szCs w:val="24"/>
              </w:rPr>
              <w:t>、</w:t>
            </w:r>
            <w:r>
              <w:rPr>
                <w:rFonts w:hint="eastAsia" w:ascii="仿宋_GB2312" w:hAnsi="宋体" w:eastAsia="仿宋_GB2312" w:cs="仿宋_GB2312"/>
                <w:i w:val="0"/>
                <w:iCs w:val="0"/>
                <w:color w:val="auto"/>
                <w:kern w:val="0"/>
                <w:sz w:val="24"/>
                <w:szCs w:val="24"/>
                <w:highlight w:val="none"/>
                <w:u w:val="none"/>
                <w:lang w:val="en-US" w:eastAsia="zh-CN" w:bidi="ar"/>
              </w:rPr>
              <w:t>活动应急处置预案</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sz w:val="24"/>
                <w:szCs w:val="24"/>
              </w:rPr>
              <w:t>、</w:t>
            </w:r>
            <w:r>
              <w:rPr>
                <w:rFonts w:hint="eastAsia" w:ascii="仿宋_GB2312" w:hAnsi="宋体" w:eastAsia="仿宋_GB2312" w:cs="仿宋_GB2312"/>
                <w:i w:val="0"/>
                <w:iCs w:val="0"/>
                <w:color w:val="auto"/>
                <w:kern w:val="0"/>
                <w:sz w:val="24"/>
                <w:szCs w:val="24"/>
                <w:highlight w:val="none"/>
                <w:u w:val="none"/>
                <w:lang w:val="en-US" w:eastAsia="zh-CN" w:bidi="ar"/>
              </w:rPr>
              <w:t>活动医疗人员及物品保障方案</w:t>
            </w:r>
            <w:r>
              <w:rPr>
                <w:rFonts w:hint="eastAsia" w:ascii="仿宋_GB2312" w:hAnsi="仿宋_GB2312" w:eastAsia="仿宋_GB2312" w:cs="仿宋_GB2312"/>
                <w:color w:val="auto"/>
                <w:sz w:val="24"/>
                <w:szCs w:val="24"/>
                <w:highlight w:val="none"/>
                <w:lang w:val="en-US" w:eastAsia="zh-CN"/>
              </w:rPr>
              <w:t>；</w:t>
            </w:r>
          </w:p>
          <w:p>
            <w:pPr>
              <w:keepNext w:val="0"/>
              <w:keepLines w:val="0"/>
              <w:pageBreakBefore w:val="0"/>
              <w:widowControl w:val="0"/>
              <w:numPr>
                <w:ilvl w:val="0"/>
                <w:numId w:val="0"/>
              </w:numPr>
              <w:snapToGrid/>
              <w:spacing w:line="360" w:lineRule="auto"/>
              <w:jc w:val="left"/>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4</w:t>
            </w:r>
            <w:r>
              <w:rPr>
                <w:rFonts w:hint="eastAsia" w:ascii="仿宋_GB2312" w:hAnsi="仿宋_GB2312" w:eastAsia="仿宋_GB2312" w:cs="仿宋_GB2312"/>
                <w:sz w:val="24"/>
                <w:szCs w:val="24"/>
              </w:rPr>
              <w:t>、</w:t>
            </w:r>
            <w:r>
              <w:rPr>
                <w:rFonts w:hint="eastAsia" w:ascii="仿宋_GB2312" w:hAnsi="宋体" w:eastAsia="仿宋_GB2312" w:cs="仿宋_GB2312"/>
                <w:i w:val="0"/>
                <w:iCs w:val="0"/>
                <w:color w:val="auto"/>
                <w:kern w:val="0"/>
                <w:sz w:val="24"/>
                <w:szCs w:val="24"/>
                <w:highlight w:val="none"/>
                <w:u w:val="none"/>
                <w:lang w:val="en-US" w:eastAsia="zh-CN" w:bidi="ar"/>
              </w:rPr>
              <w:t>活动人员配置；</w:t>
            </w:r>
          </w:p>
          <w:p>
            <w:pPr>
              <w:pStyle w:val="2"/>
              <w:numPr>
                <w:ilvl w:val="0"/>
                <w:numId w:val="0"/>
              </w:num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r>
              <w:rPr>
                <w:rFonts w:hint="eastAsia" w:ascii="仿宋_GB2312" w:hAnsi="仿宋_GB2312" w:eastAsia="仿宋_GB2312" w:cs="仿宋_GB2312"/>
                <w:sz w:val="24"/>
                <w:szCs w:val="24"/>
              </w:rPr>
              <w:t>、</w:t>
            </w:r>
            <w:r>
              <w:rPr>
                <w:rFonts w:hint="eastAsia" w:ascii="仿宋" w:hAnsi="仿宋" w:eastAsia="仿宋" w:cs="仿宋"/>
                <w:sz w:val="24"/>
                <w:szCs w:val="24"/>
                <w:lang w:val="en-US" w:eastAsia="zh-CN"/>
              </w:rPr>
              <w:t>活动宣传方案</w:t>
            </w:r>
            <w:r>
              <w:rPr>
                <w:rFonts w:hint="eastAsia" w:ascii="仿宋_GB2312" w:hAnsi="仿宋_GB2312" w:eastAsia="仿宋_GB2312" w:cs="仿宋_GB2312"/>
                <w:sz w:val="24"/>
                <w:szCs w:val="24"/>
                <w:lang w:eastAsia="zh-CN"/>
              </w:rPr>
              <w:t>；</w:t>
            </w:r>
          </w:p>
          <w:p>
            <w:pPr>
              <w:keepNext w:val="0"/>
              <w:keepLines w:val="0"/>
              <w:pageBreakBefore w:val="0"/>
              <w:widowControl w:val="0"/>
              <w:numPr>
                <w:ilvl w:val="0"/>
                <w:numId w:val="0"/>
              </w:numPr>
              <w:snapToGrid/>
              <w:spacing w:line="360" w:lineRule="auto"/>
              <w:ind w:leftChars="0"/>
              <w:jc w:val="left"/>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6</w:t>
            </w:r>
            <w:r>
              <w:rPr>
                <w:rFonts w:hint="eastAsia" w:ascii="仿宋_GB2312" w:hAnsi="仿宋_GB2312" w:eastAsia="仿宋_GB2312" w:cs="仿宋_GB2312"/>
                <w:sz w:val="24"/>
                <w:szCs w:val="24"/>
              </w:rPr>
              <w:t>、</w:t>
            </w:r>
            <w:r>
              <w:rPr>
                <w:rFonts w:hint="eastAsia" w:ascii="仿宋_GB2312" w:hAnsi="宋体" w:eastAsia="仿宋_GB2312" w:cs="仿宋_GB2312"/>
                <w:i w:val="0"/>
                <w:iCs w:val="0"/>
                <w:color w:val="auto"/>
                <w:kern w:val="0"/>
                <w:sz w:val="24"/>
                <w:szCs w:val="24"/>
                <w:highlight w:val="none"/>
                <w:u w:val="none"/>
                <w:lang w:val="en-US" w:eastAsia="zh-CN" w:bidi="ar"/>
              </w:rPr>
              <w:t>活动后勤保障方案。</w:t>
            </w:r>
          </w:p>
          <w:p>
            <w:pPr>
              <w:pStyle w:val="2"/>
            </w:pPr>
          </w:p>
          <w:p>
            <w:pPr>
              <w:topLinePunct/>
              <w:snapToGrid w:val="0"/>
              <w:spacing w:line="360" w:lineRule="auto"/>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sz w:val="24"/>
                <w:szCs w:val="24"/>
              </w:rPr>
              <w:t>（二）</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依据：</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满足以上任意一项要求得3分，最高得18分，在此基础上。</w:t>
            </w:r>
            <w:r>
              <w:rPr>
                <w:rFonts w:hint="eastAsia" w:ascii="仿宋_GB2312" w:hAnsi="仿宋_GB2312" w:eastAsia="仿宋_GB2312" w:cs="仿宋_GB2312"/>
                <w:sz w:val="24"/>
                <w:szCs w:val="24"/>
              </w:rPr>
              <w:t>根据各供应商的具体响应内容按照量化的评审因素指标进一步评审，设定优、良、中、差四个评分标准：</w:t>
            </w:r>
          </w:p>
          <w:p>
            <w:pPr>
              <w:keepNext w:val="0"/>
              <w:keepLines w:val="0"/>
              <w:pageBreakBefore w:val="0"/>
              <w:widowControl w:val="0"/>
              <w:snapToGrid/>
              <w:spacing w:line="360" w:lineRule="auto"/>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sz w:val="24"/>
                <w:szCs w:val="24"/>
              </w:rPr>
              <w:t>、</w:t>
            </w:r>
            <w:r>
              <w:rPr>
                <w:rFonts w:hint="eastAsia" w:ascii="仿宋_GB2312" w:hAnsi="仿宋_GB2312" w:eastAsia="仿宋_GB2312" w:cs="仿宋_GB2312"/>
                <w:color w:val="auto"/>
                <w:sz w:val="24"/>
                <w:szCs w:val="24"/>
                <w:highlight w:val="none"/>
                <w:lang w:val="en-US" w:eastAsia="zh-CN"/>
              </w:rPr>
              <w:t>优：项目实施方案内容全面、具体、针对性强、科学合理、可操作性强得7分；</w:t>
            </w:r>
          </w:p>
          <w:p>
            <w:pPr>
              <w:keepNext w:val="0"/>
              <w:keepLines w:val="0"/>
              <w:pageBreakBefore w:val="0"/>
              <w:widowControl w:val="0"/>
              <w:snapToGrid/>
              <w:spacing w:line="360" w:lineRule="auto"/>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sz w:val="24"/>
                <w:szCs w:val="24"/>
              </w:rPr>
              <w:t>、</w:t>
            </w:r>
            <w:r>
              <w:rPr>
                <w:rFonts w:hint="eastAsia" w:ascii="仿宋_GB2312" w:hAnsi="仿宋_GB2312" w:eastAsia="仿宋_GB2312" w:cs="仿宋_GB2312"/>
                <w:color w:val="auto"/>
                <w:sz w:val="24"/>
                <w:szCs w:val="24"/>
                <w:highlight w:val="none"/>
                <w:lang w:val="en-US" w:eastAsia="zh-CN"/>
              </w:rPr>
              <w:t>良：项目实施方案内容较丰富、较具体、针对性较强、较科学合理、可操作性较强得5分；</w:t>
            </w:r>
          </w:p>
          <w:p>
            <w:pPr>
              <w:keepNext w:val="0"/>
              <w:keepLines w:val="0"/>
              <w:pageBreakBefore w:val="0"/>
              <w:widowControl w:val="0"/>
              <w:snapToGrid/>
              <w:spacing w:line="360" w:lineRule="auto"/>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sz w:val="24"/>
                <w:szCs w:val="24"/>
              </w:rPr>
              <w:t>、</w:t>
            </w:r>
            <w:r>
              <w:rPr>
                <w:rFonts w:hint="eastAsia" w:ascii="仿宋_GB2312" w:hAnsi="仿宋_GB2312" w:eastAsia="仿宋_GB2312" w:cs="仿宋_GB2312"/>
                <w:color w:val="auto"/>
                <w:sz w:val="24"/>
                <w:szCs w:val="24"/>
                <w:highlight w:val="none"/>
                <w:lang w:val="en-US" w:eastAsia="zh-CN"/>
              </w:rPr>
              <w:t>中：项目实施方案内容、针对性、可操作性一般得3分；</w:t>
            </w:r>
          </w:p>
          <w:p>
            <w:pPr>
              <w:keepNext w:val="0"/>
              <w:keepLines w:val="0"/>
              <w:pageBreakBefore w:val="0"/>
              <w:widowControl w:val="0"/>
              <w:snapToGrid/>
              <w:spacing w:line="360" w:lineRule="auto"/>
              <w:ind w:firstLine="0" w:firstLineChars="0"/>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sz w:val="24"/>
                <w:szCs w:val="24"/>
              </w:rPr>
              <w:t>、</w:t>
            </w:r>
            <w:r>
              <w:rPr>
                <w:rFonts w:hint="eastAsia" w:ascii="仿宋_GB2312" w:hAnsi="仿宋_GB2312" w:eastAsia="仿宋_GB2312" w:cs="仿宋_GB2312"/>
                <w:color w:val="auto"/>
                <w:sz w:val="24"/>
                <w:szCs w:val="24"/>
                <w:highlight w:val="none"/>
                <w:lang w:val="en-US" w:eastAsia="zh-CN"/>
              </w:rPr>
              <w:t>差：其它情况不得分。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60" w:type="dxa"/>
            <w:vMerge w:val="continue"/>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28" w:type="dxa"/>
            <w:noWrap w:val="0"/>
            <w:vAlign w:val="center"/>
          </w:tcPr>
          <w:p>
            <w:pPr>
              <w:spacing w:line="560" w:lineRule="exact"/>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项目重点难点分析、应对措施及相关的合理化建议</w:t>
            </w:r>
          </w:p>
          <w:p>
            <w:pPr>
              <w:spacing w:line="560" w:lineRule="exact"/>
              <w:jc w:val="left"/>
              <w:rPr>
                <w:rFonts w:hint="eastAsia"/>
                <w:lang w:eastAsia="zh-CN"/>
              </w:rPr>
            </w:pPr>
            <w:r>
              <w:rPr>
                <w:rFonts w:hint="eastAsia" w:ascii="仿宋_GB2312" w:hAnsi="仿宋_GB2312" w:eastAsia="仿宋_GB2312" w:cs="仿宋_GB2312"/>
                <w:sz w:val="24"/>
                <w:szCs w:val="24"/>
                <w:vertAlign w:val="baseline"/>
                <w:lang w:val="en-US" w:eastAsia="zh-CN"/>
              </w:rPr>
              <w:t>（20分）</w:t>
            </w:r>
          </w:p>
        </w:tc>
        <w:tc>
          <w:tcPr>
            <w:tcW w:w="6726" w:type="dxa"/>
            <w:noWrap w:val="0"/>
            <w:vAlign w:val="top"/>
          </w:tcPr>
          <w:p>
            <w:pPr>
              <w:topLinePunct/>
              <w:snapToGrid w:val="0"/>
              <w:spacing w:line="360" w:lineRule="auto"/>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内容：</w:t>
            </w:r>
          </w:p>
          <w:p>
            <w:pPr>
              <w:keepNext w:val="0"/>
              <w:keepLines w:val="0"/>
              <w:pageBreakBefore w:val="0"/>
              <w:widowControl w:val="0"/>
              <w:snapToGrid/>
              <w:spacing w:line="360" w:lineRule="auto"/>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考察对项目工作量、可完成度等重点难点问题的识别和分析能力，并就识别出的重点难点提出可行的应对措施及合理化建议。</w:t>
            </w:r>
          </w:p>
          <w:p>
            <w:pPr>
              <w:keepNext w:val="0"/>
              <w:keepLines w:val="0"/>
              <w:pageBreakBefore w:val="0"/>
              <w:widowControl w:val="0"/>
              <w:snapToGrid/>
              <w:spacing w:line="360" w:lineRule="auto"/>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包括但不限于以下内容：</w:t>
            </w:r>
          </w:p>
          <w:p>
            <w:pPr>
              <w:keepNext w:val="0"/>
              <w:keepLines w:val="0"/>
              <w:pageBreakBefore w:val="0"/>
              <w:widowControl w:val="0"/>
              <w:snapToGrid/>
              <w:spacing w:line="360" w:lineRule="auto"/>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详细阐述本项目存在的重难点问题；</w:t>
            </w:r>
          </w:p>
          <w:p>
            <w:pPr>
              <w:keepNext w:val="0"/>
              <w:keepLines w:val="0"/>
              <w:pageBreakBefore w:val="0"/>
              <w:widowControl w:val="0"/>
              <w:snapToGrid/>
              <w:spacing w:line="360" w:lineRule="auto"/>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根据项目重难点，详细阐述对应的应对措施；</w:t>
            </w:r>
          </w:p>
          <w:p>
            <w:pPr>
              <w:pStyle w:val="2"/>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向招</w:t>
            </w:r>
            <w:r>
              <w:rPr>
                <w:rFonts w:hint="eastAsia" w:ascii="仿宋_GB2312" w:hAnsi="仿宋_GB2312" w:eastAsia="仿宋_GB2312" w:cs="仿宋_GB2312"/>
                <w:kern w:val="2"/>
                <w:sz w:val="24"/>
                <w:szCs w:val="24"/>
                <w:lang w:val="en-US" w:eastAsia="zh-CN" w:bidi="ar-SA"/>
              </w:rPr>
              <w:t>标方提出项目实施的其他</w:t>
            </w:r>
            <w:r>
              <w:rPr>
                <w:rFonts w:hint="eastAsia" w:ascii="仿宋_GB2312" w:hAnsi="仿宋_GB2312" w:eastAsia="仿宋_GB2312" w:cs="仿宋_GB2312"/>
                <w:sz w:val="24"/>
                <w:szCs w:val="24"/>
                <w:lang w:val="en-US" w:eastAsia="zh-CN"/>
              </w:rPr>
              <w:t>具体建议。</w:t>
            </w:r>
          </w:p>
          <w:p>
            <w:pPr>
              <w:rPr>
                <w:rFonts w:hint="default"/>
                <w:lang w:val="en-US"/>
              </w:rPr>
            </w:pPr>
          </w:p>
          <w:p>
            <w:pPr>
              <w:keepNext w:val="0"/>
              <w:keepLines w:val="0"/>
              <w:pageBreakBefore w:val="0"/>
              <w:widowControl w:val="0"/>
              <w:snapToGrid/>
              <w:spacing w:line="360" w:lineRule="auto"/>
              <w:ind w:firstLine="0" w:firstLineChars="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依据：</w:t>
            </w:r>
          </w:p>
          <w:p>
            <w:pPr>
              <w:keepNext w:val="0"/>
              <w:keepLines w:val="0"/>
              <w:pageBreakBefore w:val="0"/>
              <w:widowControl w:val="0"/>
              <w:snapToGrid/>
              <w:spacing w:line="360" w:lineRule="auto"/>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满足以上任意一项要求得4分，最高得12分，在此基础上。</w:t>
            </w:r>
            <w:r>
              <w:rPr>
                <w:rFonts w:hint="eastAsia" w:ascii="仿宋_GB2312" w:hAnsi="仿宋_GB2312" w:eastAsia="仿宋_GB2312" w:cs="仿宋_GB2312"/>
                <w:sz w:val="24"/>
                <w:szCs w:val="24"/>
              </w:rPr>
              <w:t>根据各供应商的具体响应内容按照量化的评审因素指标进一步评审，设定优、良、中、差四个评分标准：</w:t>
            </w:r>
          </w:p>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、优：以上项目重点难点分析、应对措施及相关的合理化建议的三点内容全面具体、针对性强、可操作性强，加</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分；</w:t>
            </w:r>
          </w:p>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、良：以上项目重点难点分析、应对措施及相关的合理化建议的三点内容较</w:t>
            </w:r>
            <w:r>
              <w:rPr>
                <w:rFonts w:hint="eastAsia" w:ascii="仿宋_GB2312" w:hAnsi="仿宋_GB2312" w:eastAsia="仿宋_GB2312" w:cs="仿宋_GB2312"/>
                <w:sz w:val="24"/>
                <w:szCs w:val="24"/>
                <w:lang w:eastAsia="zh-CN"/>
              </w:rPr>
              <w:t>丰富</w:t>
            </w:r>
            <w:r>
              <w:rPr>
                <w:rFonts w:hint="eastAsia" w:ascii="仿宋_GB2312" w:hAnsi="仿宋_GB2312" w:eastAsia="仿宋_GB2312" w:cs="仿宋_GB2312"/>
                <w:sz w:val="24"/>
                <w:szCs w:val="24"/>
              </w:rPr>
              <w:t>、针对性较强、可操作性较强，加</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分；</w:t>
            </w:r>
          </w:p>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、中：以上项目重点难点分析、应对措施及相关的合理化建议的三点内容完整性、针对性、可操作性均一般，加</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分；</w:t>
            </w:r>
          </w:p>
          <w:p>
            <w:pPr>
              <w:keepNext w:val="0"/>
              <w:keepLines w:val="0"/>
              <w:pageBreakBefore w:val="0"/>
              <w:widowControl w:val="0"/>
              <w:snapToGrid/>
              <w:spacing w:line="360" w:lineRule="auto"/>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、差：</w:t>
            </w:r>
            <w:r>
              <w:rPr>
                <w:rFonts w:hint="eastAsia" w:ascii="仿宋_GB2312" w:hAnsi="仿宋_GB2312" w:eastAsia="仿宋_GB2312" w:cs="仿宋_GB2312"/>
                <w:color w:val="auto"/>
                <w:sz w:val="24"/>
                <w:szCs w:val="24"/>
                <w:highlight w:val="none"/>
                <w:lang w:val="en-US" w:eastAsia="zh-CN"/>
              </w:rPr>
              <w:t>其它情况不得分。</w:t>
            </w:r>
          </w:p>
        </w:tc>
      </w:tr>
    </w:tbl>
    <w:p>
      <w:pPr>
        <w:pStyle w:val="17"/>
        <w:spacing w:line="560" w:lineRule="exact"/>
        <w:ind w:firstLine="640" w:firstLineChars="200"/>
        <w:rPr>
          <w:rFonts w:hint="eastAsia" w:ascii="方正黑体_GBK" w:hAnsi="方正黑体_GBK" w:eastAsia="方正黑体_GBK" w:cs="方正黑体_GBK"/>
          <w:b w:val="0"/>
          <w:bCs/>
          <w:color w:val="000000"/>
          <w:sz w:val="32"/>
          <w:szCs w:val="32"/>
          <w:lang w:eastAsia="zh-CN"/>
        </w:rPr>
      </w:pPr>
      <w:r>
        <w:rPr>
          <w:rFonts w:hint="eastAsia" w:ascii="方正黑体_GBK" w:hAnsi="方正黑体_GBK" w:eastAsia="方正黑体_GBK" w:cs="方正黑体_GBK"/>
          <w:b w:val="0"/>
          <w:bCs/>
          <w:color w:val="000000"/>
          <w:sz w:val="32"/>
          <w:szCs w:val="32"/>
          <w:lang w:eastAsia="zh-CN"/>
        </w:rPr>
        <w:t>八、</w:t>
      </w:r>
      <w:r>
        <w:rPr>
          <w:rFonts w:hint="eastAsia" w:ascii="方正黑体_GBK" w:hAnsi="方正黑体_GBK" w:eastAsia="方正黑体_GBK" w:cs="方正黑体_GBK"/>
          <w:b w:val="0"/>
          <w:bCs/>
          <w:color w:val="000000"/>
          <w:sz w:val="32"/>
          <w:szCs w:val="32"/>
        </w:rPr>
        <w:t>供应商提供资料清单</w:t>
      </w:r>
      <w:r>
        <w:rPr>
          <w:rFonts w:hint="eastAsia" w:ascii="方正黑体_GBK" w:hAnsi="方正黑体_GBK" w:eastAsia="方正黑体_GBK" w:cs="方正黑体_GBK"/>
          <w:b/>
          <w:bCs w:val="0"/>
          <w:color w:val="FF0000"/>
          <w:sz w:val="32"/>
          <w:szCs w:val="32"/>
          <w:lang w:eastAsia="zh-CN"/>
        </w:rPr>
        <w:t>（均需每页加盖公章）</w:t>
      </w:r>
    </w:p>
    <w:p>
      <w:pPr>
        <w:spacing w:line="560" w:lineRule="exact"/>
        <w:ind w:firstLine="640" w:firstLineChars="200"/>
        <w:jc w:val="left"/>
        <w:rPr>
          <w:rFonts w:ascii="仿宋_GB2312" w:hAnsi="仿宋" w:eastAsia="仿宋_GB2312" w:cs="Times New Roman"/>
          <w:sz w:val="32"/>
        </w:rPr>
      </w:pPr>
      <w:r>
        <w:rPr>
          <w:rFonts w:hint="eastAsia" w:ascii="仿宋_GB2312" w:hAnsi="仿宋" w:eastAsia="仿宋_GB2312" w:cs="Times New Roman"/>
          <w:sz w:val="32"/>
        </w:rPr>
        <w:t>1.营业执照、事业法人证书、社会团体法人登记证书；</w:t>
      </w:r>
    </w:p>
    <w:p>
      <w:pPr>
        <w:spacing w:line="560" w:lineRule="exact"/>
        <w:ind w:firstLine="640" w:firstLineChars="200"/>
        <w:jc w:val="left"/>
        <w:rPr>
          <w:sz w:val="32"/>
          <w:szCs w:val="32"/>
        </w:rPr>
      </w:pPr>
      <w:r>
        <w:rPr>
          <w:rFonts w:hint="eastAsia" w:ascii="仿宋_GB2312" w:hAnsi="仿宋" w:eastAsia="仿宋_GB2312" w:cs="Times New Roman"/>
          <w:sz w:val="32"/>
          <w:szCs w:val="32"/>
        </w:rPr>
        <w:t>2.法定代表人身份证复印件；</w:t>
      </w:r>
    </w:p>
    <w:p>
      <w:pPr>
        <w:pStyle w:val="8"/>
        <w:spacing w:after="0" w:line="560" w:lineRule="exact"/>
        <w:ind w:left="0" w:leftChars="0" w:right="0" w:rightChars="0" w:firstLine="640"/>
        <w:jc w:val="left"/>
        <w:rPr>
          <w:rFonts w:ascii="仿宋_GB2312" w:hAnsi="仿宋" w:eastAsia="仿宋_GB2312" w:cs="Times New Roman"/>
          <w:sz w:val="32"/>
        </w:rPr>
      </w:pPr>
      <w:r>
        <w:rPr>
          <w:rFonts w:hint="eastAsia" w:ascii="仿宋_GB2312" w:hAnsi="仿宋" w:eastAsia="仿宋_GB2312" w:cs="Times New Roman"/>
          <w:sz w:val="32"/>
        </w:rPr>
        <w:t>3.项目报价</w:t>
      </w:r>
      <w:r>
        <w:rPr>
          <w:rFonts w:hint="eastAsia" w:ascii="仿宋_GB2312" w:hAnsi="仿宋" w:eastAsia="仿宋_GB2312" w:cs="Times New Roman"/>
          <w:sz w:val="32"/>
          <w:lang w:eastAsia="zh-CN"/>
        </w:rPr>
        <w:t>表</w:t>
      </w:r>
      <w:r>
        <w:rPr>
          <w:rFonts w:hint="eastAsia" w:ascii="仿宋_GB2312" w:hAnsi="仿宋" w:eastAsia="仿宋_GB2312" w:cs="Times New Roman"/>
          <w:b/>
          <w:bCs/>
          <w:sz w:val="32"/>
          <w:lang w:eastAsia="zh-CN"/>
        </w:rPr>
        <w:t>（需按格式提供）</w:t>
      </w:r>
      <w:r>
        <w:rPr>
          <w:rFonts w:hint="eastAsia" w:ascii="仿宋_GB2312" w:hAnsi="仿宋" w:eastAsia="仿宋_GB2312" w:cs="Times New Roman"/>
          <w:sz w:val="32"/>
        </w:rPr>
        <w:t>；</w:t>
      </w:r>
    </w:p>
    <w:p>
      <w:pPr>
        <w:pStyle w:val="8"/>
        <w:spacing w:after="0" w:line="560" w:lineRule="exact"/>
        <w:ind w:left="0" w:leftChars="0" w:right="0" w:rightChars="0" w:firstLine="640"/>
        <w:jc w:val="left"/>
        <w:rPr>
          <w:rFonts w:hint="eastAsia" w:ascii="仿宋_GB2312" w:hAnsi="仿宋" w:eastAsia="仿宋_GB2312" w:cs="Times New Roman"/>
          <w:sz w:val="32"/>
        </w:rPr>
      </w:pPr>
      <w:r>
        <w:rPr>
          <w:rFonts w:hint="eastAsia" w:ascii="仿宋_GB2312" w:hAnsi="仿宋" w:eastAsia="仿宋_GB2312" w:cs="Times New Roman"/>
          <w:sz w:val="32"/>
        </w:rPr>
        <w:t>4.评分规则所需资料（同类业绩证明、方案等）；</w:t>
      </w:r>
    </w:p>
    <w:p>
      <w:pPr>
        <w:pStyle w:val="8"/>
        <w:spacing w:after="0" w:line="560" w:lineRule="exact"/>
        <w:ind w:left="0" w:leftChars="0" w:right="0" w:rightChars="0" w:firstLine="640"/>
        <w:jc w:val="left"/>
        <w:rPr>
          <w:rFonts w:hint="default" w:ascii="仿宋_GB2312" w:hAnsi="仿宋" w:eastAsia="仿宋_GB2312" w:cs="Times New Roman"/>
          <w:sz w:val="32"/>
          <w:lang w:val="en-US" w:eastAsia="zh-CN"/>
        </w:rPr>
      </w:pPr>
      <w:r>
        <w:rPr>
          <w:rFonts w:hint="eastAsia" w:ascii="仿宋_GB2312" w:hAnsi="仿宋" w:eastAsia="仿宋_GB2312" w:cs="Times New Roman"/>
          <w:sz w:val="32"/>
          <w:lang w:val="en-US" w:eastAsia="zh-CN"/>
        </w:rPr>
        <w:t>5.诚信承诺书（详见附件1）；</w:t>
      </w:r>
    </w:p>
    <w:p>
      <w:pPr>
        <w:pStyle w:val="8"/>
        <w:spacing w:after="0" w:line="560" w:lineRule="exact"/>
        <w:ind w:left="0" w:leftChars="0" w:right="0" w:rightChars="0" w:firstLine="640"/>
        <w:jc w:val="left"/>
        <w:rPr>
          <w:rFonts w:hint="eastAsia" w:ascii="仿宋_GB2312" w:hAnsi="仿宋" w:eastAsia="仿宋_GB2312" w:cs="Times New Roman"/>
          <w:sz w:val="32"/>
          <w:highlight w:val="none"/>
          <w:lang w:eastAsia="zh-CN"/>
        </w:rPr>
      </w:pPr>
      <w:r>
        <w:rPr>
          <w:rFonts w:hint="eastAsia" w:ascii="仿宋_GB2312" w:hAnsi="仿宋" w:eastAsia="仿宋_GB2312" w:cs="Times New Roman"/>
          <w:sz w:val="32"/>
          <w:highlight w:val="none"/>
          <w:lang w:val="en-US" w:eastAsia="zh-CN"/>
        </w:rPr>
        <w:t>6</w:t>
      </w:r>
      <w:r>
        <w:rPr>
          <w:rFonts w:hint="eastAsia" w:ascii="仿宋_GB2312" w:hAnsi="仿宋" w:eastAsia="仿宋_GB2312" w:cs="Times New Roman"/>
          <w:sz w:val="32"/>
          <w:highlight w:val="none"/>
        </w:rPr>
        <w:t>.</w:t>
      </w:r>
      <w:r>
        <w:rPr>
          <w:rFonts w:hint="eastAsia" w:ascii="仿宋_GB2312" w:hAnsi="仿宋" w:eastAsia="仿宋_GB2312" w:cs="Times New Roman"/>
          <w:sz w:val="32"/>
          <w:highlight w:val="none"/>
          <w:lang w:eastAsia="zh-CN"/>
        </w:rPr>
        <w:t>填写</w:t>
      </w:r>
      <w:r>
        <w:rPr>
          <w:rFonts w:hint="eastAsia" w:ascii="仿宋_GB2312" w:hAnsi="仿宋" w:eastAsia="仿宋_GB2312" w:cs="Times New Roman"/>
          <w:sz w:val="32"/>
          <w:highlight w:val="none"/>
        </w:rPr>
        <w:t>《供应商基本情况表》</w:t>
      </w:r>
      <w:r>
        <w:rPr>
          <w:rFonts w:hint="eastAsia" w:ascii="仿宋_GB2312" w:hAnsi="仿宋" w:eastAsia="仿宋_GB2312" w:cs="Times New Roman"/>
          <w:sz w:val="32"/>
          <w:highlight w:val="none"/>
          <w:lang w:eastAsia="zh-CN"/>
        </w:rPr>
        <w:t>（加盖公章，</w:t>
      </w:r>
      <w:r>
        <w:rPr>
          <w:rFonts w:hint="eastAsia" w:ascii="仿宋_GB2312" w:hAnsi="仿宋" w:eastAsia="仿宋_GB2312" w:cs="Times New Roman"/>
          <w:sz w:val="32"/>
          <w:highlight w:val="none"/>
        </w:rPr>
        <w:t>详见附件</w:t>
      </w:r>
      <w:r>
        <w:rPr>
          <w:rFonts w:hint="eastAsia" w:ascii="仿宋_GB2312" w:hAnsi="仿宋" w:eastAsia="仿宋_GB2312" w:cs="Times New Roman"/>
          <w:sz w:val="32"/>
          <w:highlight w:val="none"/>
          <w:lang w:val="en-US" w:eastAsia="zh-CN"/>
        </w:rPr>
        <w:t>2</w:t>
      </w:r>
      <w:r>
        <w:rPr>
          <w:rFonts w:hint="eastAsia" w:ascii="仿宋_GB2312" w:hAnsi="仿宋" w:eastAsia="仿宋_GB2312" w:cs="Times New Roman"/>
          <w:sz w:val="32"/>
          <w:highlight w:val="none"/>
          <w:lang w:eastAsia="zh-CN"/>
        </w:rPr>
        <w:t>）并提供表中投标（响应）供应商相关人员的近三个月社保缴纳情况，若本月社保未能提供，则提供前三个月的社保情况，如供应商为新成立企业且成立时间不足三个月的，可提供加盖公章的情况说明或其他相关证明材料。</w:t>
      </w:r>
    </w:p>
    <w:p>
      <w:pPr>
        <w:pStyle w:val="8"/>
        <w:spacing w:after="0" w:line="560" w:lineRule="exact"/>
        <w:ind w:left="0" w:leftChars="0" w:right="0" w:rightChars="0" w:firstLine="640"/>
        <w:jc w:val="left"/>
        <w:rPr>
          <w:rFonts w:hint="eastAsia" w:ascii="方正黑体_GBK" w:hAnsi="方正黑体_GBK" w:eastAsia="方正黑体_GBK" w:cs="方正黑体_GBK"/>
          <w:sz w:val="32"/>
          <w:lang w:val="en-US" w:eastAsia="zh-CN"/>
        </w:rPr>
      </w:pPr>
      <w:r>
        <w:rPr>
          <w:rFonts w:hint="eastAsia" w:ascii="方正黑体_GBK" w:hAnsi="方正黑体_GBK" w:eastAsia="方正黑体_GBK" w:cs="方正黑体_GBK"/>
          <w:sz w:val="32"/>
          <w:lang w:val="en-US" w:eastAsia="zh-CN"/>
        </w:rPr>
        <w:t>九、其他注意事项</w:t>
      </w:r>
    </w:p>
    <w:p>
      <w:pPr>
        <w:keepNext w:val="0"/>
        <w:keepLines w:val="0"/>
        <w:widowControl/>
        <w:suppressLineNumbers w:val="0"/>
        <w:spacing w:line="560" w:lineRule="exact"/>
        <w:ind w:firstLine="640" w:firstLineChars="200"/>
        <w:jc w:val="left"/>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sz w:val="32"/>
          <w:lang w:val="en-US" w:eastAsia="zh-CN"/>
        </w:rPr>
        <w:t>1.供应商需</w:t>
      </w:r>
      <w:r>
        <w:rPr>
          <w:rFonts w:hint="default" w:ascii="仿宋_GB2312" w:hAnsi="仿宋" w:eastAsia="仿宋_GB2312" w:cs="Times New Roman"/>
          <w:sz w:val="32"/>
          <w:lang w:val="en-US" w:eastAsia="zh-CN"/>
        </w:rPr>
        <w:t>深圳政府采购自行采购系统</w:t>
      </w:r>
      <w:r>
        <w:rPr>
          <w:rFonts w:hint="eastAsia" w:ascii="仿宋_GB2312" w:hAnsi="仿宋" w:eastAsia="仿宋_GB2312" w:cs="Times New Roman"/>
          <w:kern w:val="2"/>
          <w:sz w:val="32"/>
          <w:szCs w:val="24"/>
          <w:lang w:val="en-US" w:eastAsia="zh-CN" w:bidi="ar-SA"/>
        </w:rPr>
        <w:t>完成供应商注册（网址：https://zxcg.szggzy.com/home/index.html），请于本项目投标截止时间前完成注册，否则如中标/成交，可能影响采购结果的发布。</w:t>
      </w:r>
    </w:p>
    <w:p>
      <w:pPr>
        <w:pStyle w:val="8"/>
        <w:spacing w:after="0" w:line="560" w:lineRule="exact"/>
        <w:ind w:left="0" w:leftChars="0" w:right="0" w:rightChars="0" w:firstLine="640"/>
        <w:jc w:val="left"/>
        <w:rPr>
          <w:rFonts w:hint="default" w:ascii="仿宋_GB2312" w:hAnsi="仿宋" w:eastAsia="仿宋_GB2312" w:cs="Times New Roman"/>
          <w:sz w:val="32"/>
          <w:lang w:val="en-US" w:eastAsia="zh-CN"/>
        </w:rPr>
      </w:pPr>
      <w:r>
        <w:rPr>
          <w:rFonts w:hint="eastAsia" w:ascii="仿宋_GB2312" w:hAnsi="仿宋" w:eastAsia="仿宋_GB2312" w:cs="Times New Roman"/>
          <w:sz w:val="32"/>
          <w:lang w:val="en-US" w:eastAsia="zh-CN"/>
        </w:rPr>
        <w:t>2.</w:t>
      </w:r>
      <w:r>
        <w:rPr>
          <w:rFonts w:hint="eastAsia" w:ascii="仿宋_GB2312" w:hAnsi="仿宋" w:eastAsia="仿宋_GB2312" w:cs="Times New Roman"/>
          <w:sz w:val="32"/>
        </w:rPr>
        <w:t>供应商需</w:t>
      </w:r>
      <w:r>
        <w:rPr>
          <w:rFonts w:hint="eastAsia" w:ascii="仿宋_GB2312" w:hAnsi="仿宋" w:eastAsia="仿宋_GB2312" w:cs="Times New Roman"/>
          <w:sz w:val="32"/>
          <w:lang w:val="en-US" w:eastAsia="zh-CN"/>
        </w:rPr>
        <w:t>以</w:t>
      </w:r>
      <w:r>
        <w:rPr>
          <w:rFonts w:hint="eastAsia" w:ascii="仿宋_GB2312" w:hAnsi="仿宋" w:eastAsia="仿宋_GB2312" w:cs="Times New Roman"/>
          <w:sz w:val="32"/>
        </w:rPr>
        <w:t>邮寄</w:t>
      </w:r>
      <w:r>
        <w:rPr>
          <w:rFonts w:hint="eastAsia" w:ascii="仿宋_GB2312" w:hAnsi="仿宋" w:eastAsia="仿宋_GB2312" w:cs="Times New Roman"/>
          <w:sz w:val="32"/>
          <w:lang w:val="en-US" w:eastAsia="zh-CN"/>
        </w:rPr>
        <w:t>方式提供</w:t>
      </w:r>
      <w:r>
        <w:rPr>
          <w:rFonts w:hint="eastAsia" w:ascii="仿宋_GB2312" w:hAnsi="仿宋" w:eastAsia="仿宋_GB2312" w:cs="Times New Roman"/>
          <w:color w:val="auto"/>
          <w:sz w:val="32"/>
          <w:highlight w:val="none"/>
          <w:lang w:val="en-US" w:eastAsia="zh-CN"/>
        </w:rPr>
        <w:t>5</w:t>
      </w:r>
      <w:r>
        <w:rPr>
          <w:rFonts w:hint="eastAsia" w:ascii="仿宋_GB2312" w:hAnsi="仿宋" w:eastAsia="仿宋_GB2312" w:cs="Times New Roman"/>
          <w:sz w:val="32"/>
        </w:rPr>
        <w:t>份密封纸质版投标资料至本单位</w:t>
      </w:r>
      <w:r>
        <w:rPr>
          <w:rFonts w:hint="eastAsia" w:ascii="仿宋_GB2312" w:hAnsi="仿宋" w:eastAsia="仿宋_GB2312" w:cs="Times New Roman"/>
          <w:sz w:val="32"/>
          <w:lang w:eastAsia="zh-CN"/>
        </w:rPr>
        <w:t>，</w:t>
      </w:r>
      <w:r>
        <w:rPr>
          <w:rFonts w:hint="eastAsia" w:ascii="仿宋_GB2312" w:hAnsi="仿宋" w:eastAsia="仿宋_GB2312" w:cs="Times New Roman"/>
          <w:sz w:val="32"/>
          <w:lang w:val="en-US" w:eastAsia="zh-CN"/>
        </w:rPr>
        <w:t>并在封面备注“</w:t>
      </w:r>
      <w:r>
        <w:rPr>
          <w:rFonts w:hint="eastAsia" w:ascii="仿宋_GB2312" w:hAnsi="仿宋_GB2312" w:eastAsia="仿宋_GB2312" w:cs="仿宋_GB2312"/>
          <w:i w:val="0"/>
          <w:caps w:val="0"/>
          <w:color w:val="auto"/>
          <w:spacing w:val="8"/>
          <w:kern w:val="2"/>
          <w:sz w:val="32"/>
          <w:szCs w:val="32"/>
          <w:lang w:val="en-US" w:eastAsia="zh-CN" w:bidi="ar-SA"/>
        </w:rPr>
        <w:t>2026年全国计划单列五城市第六届元老网球团体赛</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项目+公司全称+日期+联系人+联系方式”。</w:t>
      </w:r>
    </w:p>
    <w:p>
      <w:pPr>
        <w:pStyle w:val="8"/>
        <w:spacing w:after="0" w:line="560" w:lineRule="exact"/>
        <w:ind w:left="0" w:leftChars="0" w:right="0" w:rightChars="0" w:firstLine="640" w:firstLineChars="200"/>
        <w:jc w:val="left"/>
        <w:rPr>
          <w:rFonts w:ascii="仿宋_GB2312" w:hAnsi="仿宋" w:eastAsia="仿宋_GB2312" w:cs="Times New Roman"/>
          <w:sz w:val="32"/>
        </w:rPr>
      </w:pPr>
      <w:r>
        <w:rPr>
          <w:rFonts w:hint="eastAsia" w:ascii="仿宋_GB2312" w:hAnsi="仿宋" w:eastAsia="仿宋_GB2312" w:cs="Times New Roman"/>
          <w:sz w:val="32"/>
        </w:rPr>
        <w:t>地址：深圳市龙华区</w:t>
      </w:r>
      <w:r>
        <w:rPr>
          <w:rFonts w:hint="eastAsia" w:ascii="仿宋_GB2312" w:hAnsi="仿宋" w:eastAsia="仿宋_GB2312" w:cs="Times New Roman"/>
          <w:sz w:val="32"/>
          <w:lang w:val="en-US" w:eastAsia="zh-CN"/>
        </w:rPr>
        <w:t>龙华街道</w:t>
      </w:r>
      <w:r>
        <w:rPr>
          <w:rFonts w:hint="eastAsia" w:ascii="仿宋_GB2312" w:hAnsi="仿宋" w:eastAsia="仿宋_GB2312" w:cs="Times New Roman"/>
          <w:sz w:val="32"/>
        </w:rPr>
        <w:t>富康行政</w:t>
      </w:r>
      <w:r>
        <w:rPr>
          <w:rFonts w:hint="eastAsia" w:ascii="仿宋_GB2312" w:hAnsi="仿宋" w:eastAsia="仿宋_GB2312" w:cs="Times New Roman"/>
          <w:sz w:val="32"/>
          <w:lang w:val="en-US" w:eastAsia="zh-CN"/>
        </w:rPr>
        <w:t>服务</w:t>
      </w:r>
      <w:r>
        <w:rPr>
          <w:rFonts w:hint="eastAsia" w:ascii="仿宋_GB2312" w:hAnsi="仿宋" w:eastAsia="仿宋_GB2312" w:cs="Times New Roman"/>
          <w:sz w:val="32"/>
        </w:rPr>
        <w:t>办公区</w:t>
      </w:r>
    </w:p>
    <w:p>
      <w:pPr>
        <w:pStyle w:val="18"/>
        <w:spacing w:line="560" w:lineRule="exact"/>
        <w:rPr>
          <w:rFonts w:ascii="仿宋_GB2312" w:hAnsi="仿宋" w:eastAsia="仿宋_GB2312" w:cs="Times New Roman"/>
          <w:sz w:val="32"/>
        </w:rPr>
      </w:pPr>
      <w:r>
        <w:rPr>
          <w:rFonts w:hint="eastAsia" w:ascii="仿宋_GB2312" w:hAnsi="仿宋" w:eastAsia="仿宋_GB2312" w:cs="Times New Roman"/>
          <w:sz w:val="32"/>
        </w:rPr>
        <w:t>收件人：吴先生</w:t>
      </w:r>
    </w:p>
    <w:p>
      <w:pPr>
        <w:spacing w:line="560" w:lineRule="exact"/>
        <w:ind w:firstLine="640" w:firstLineChars="200"/>
        <w:jc w:val="left"/>
        <w:rPr>
          <w:rFonts w:ascii="仿宋_GB2312" w:hAnsi="仿宋" w:eastAsia="仿宋_GB2312" w:cs="Times New Roman"/>
          <w:sz w:val="32"/>
          <w:szCs w:val="22"/>
        </w:rPr>
      </w:pPr>
      <w:r>
        <w:rPr>
          <w:rFonts w:hint="eastAsia" w:ascii="仿宋_GB2312" w:hAnsi="仿宋" w:eastAsia="仿宋_GB2312" w:cs="Times New Roman"/>
          <w:sz w:val="32"/>
        </w:rPr>
        <w:t>联系方式:</w:t>
      </w:r>
      <w:r>
        <w:rPr>
          <w:rFonts w:hint="eastAsia" w:ascii="仿宋_GB2312" w:hAnsi="仿宋" w:eastAsia="仿宋_GB2312" w:cs="Times New Roman"/>
          <w:sz w:val="32"/>
          <w:szCs w:val="22"/>
        </w:rPr>
        <w:t>0755-23338140</w:t>
      </w:r>
    </w:p>
    <w:p>
      <w:pPr>
        <w:pStyle w:val="18"/>
        <w:spacing w:line="560" w:lineRule="exact"/>
        <w:ind w:firstLine="0" w:firstLineChars="0"/>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1</w:t>
      </w:r>
    </w:p>
    <w:p>
      <w:pPr>
        <w:pStyle w:val="4"/>
        <w:numPr>
          <w:ilvl w:val="0"/>
          <w:numId w:val="0"/>
        </w:numPr>
        <w:jc w:val="center"/>
        <w:outlineLvl w:val="3"/>
        <w:rPr>
          <w:rFonts w:hint="eastAsia" w:ascii="黑体" w:eastAsia="黑体"/>
          <w:b w:val="0"/>
          <w:color w:val="auto"/>
          <w:kern w:val="0"/>
          <w:sz w:val="24"/>
          <w:highlight w:val="none"/>
          <w:lang w:eastAsia="zh-CN"/>
        </w:rPr>
      </w:pPr>
      <w:r>
        <w:rPr>
          <w:rFonts w:hint="eastAsia" w:ascii="黑体"/>
          <w:b w:val="0"/>
          <w:color w:val="auto"/>
          <w:kern w:val="0"/>
          <w:sz w:val="24"/>
          <w:highlight w:val="none"/>
          <w:lang w:eastAsia="zh-CN"/>
        </w:rPr>
        <w:t>诚信承诺书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深圳市龙华区文化广电旅游体育局</w:t>
      </w:r>
    </w:p>
    <w:p>
      <w:pPr>
        <w:keepNext w:val="0"/>
        <w:keepLines w:val="0"/>
        <w:pageBreakBefore w:val="0"/>
        <w:widowControl w:val="0"/>
        <w:kinsoku/>
        <w:wordWrap/>
        <w:overflowPunct/>
        <w:topLinePunct w:val="0"/>
        <w:autoSpaceDE/>
        <w:autoSpaceDN/>
        <w:bidi w:val="0"/>
        <w:adjustRightInd/>
        <w:snapToGrid/>
        <w:spacing w:line="400" w:lineRule="exact"/>
        <w:ind w:right="-815"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我单位承诺：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1.我单位参与本项目所投标（响应）的货物、工程或服务，不存在侵犯知识产权的情况。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2.我单位参与本项目</w:t>
      </w:r>
      <w:r>
        <w:rPr>
          <w:rFonts w:hint="eastAsia"/>
          <w:color w:val="auto"/>
          <w:sz w:val="21"/>
          <w:szCs w:val="21"/>
          <w:highlight w:val="none"/>
        </w:rPr>
        <w:t>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3.我单位具备《中华人民共和国政府采购法》第二十二条第一款规定的六项条件。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4.我单位</w:t>
      </w:r>
      <w:r>
        <w:rPr>
          <w:rFonts w:hint="eastAsia"/>
          <w:color w:val="auto"/>
          <w:sz w:val="21"/>
          <w:szCs w:val="21"/>
          <w:highlight w:val="none"/>
        </w:rPr>
        <w:t>未被列入失信被执行人、</w:t>
      </w:r>
      <w:r>
        <w:rPr>
          <w:rFonts w:hint="eastAsia"/>
          <w:color w:val="auto"/>
          <w:sz w:val="21"/>
          <w:szCs w:val="21"/>
          <w:highlight w:val="none"/>
          <w:lang w:eastAsia="zh-CN"/>
        </w:rPr>
        <w:t>重大税收违法案件当事人名单</w:t>
      </w:r>
      <w:r>
        <w:rPr>
          <w:rFonts w:hint="eastAsia"/>
          <w:color w:val="auto"/>
          <w:sz w:val="21"/>
          <w:szCs w:val="21"/>
          <w:highlight w:val="none"/>
        </w:rPr>
        <w:t>、政府采购严重违法失信行为记录名单。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bCs/>
          <w:color w:val="auto"/>
          <w:sz w:val="21"/>
          <w:szCs w:val="21"/>
          <w:highlight w:val="none"/>
        </w:rPr>
      </w:pPr>
      <w:r>
        <w:rPr>
          <w:rFonts w:hint="eastAsia" w:ascii="宋体" w:hAnsi="宋体"/>
          <w:bCs/>
          <w:color w:val="auto"/>
          <w:sz w:val="21"/>
          <w:szCs w:val="21"/>
          <w:highlight w:val="none"/>
          <w:lang w:val="en-US" w:eastAsia="zh-CN"/>
        </w:rPr>
        <w:t>7</w:t>
      </w:r>
      <w:r>
        <w:rPr>
          <w:rFonts w:hint="eastAsia" w:ascii="宋体" w:hAnsi="宋体"/>
          <w:bCs/>
          <w:color w:val="auto"/>
          <w:sz w:val="21"/>
          <w:szCs w:val="21"/>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rPr>
          <w:rFonts w:ascii="宋体" w:hAnsi="宋体"/>
          <w:color w:val="auto"/>
          <w:sz w:val="21"/>
          <w:szCs w:val="21"/>
          <w:highlight w:val="none"/>
        </w:rPr>
      </w:pPr>
      <w:r>
        <w:rPr>
          <w:rFonts w:hint="eastAsia" w:ascii="宋体" w:hAnsi="宋体"/>
          <w:b/>
          <w:color w:val="auto"/>
          <w:sz w:val="21"/>
          <w:szCs w:val="21"/>
          <w:highlight w:val="none"/>
          <w:lang w:val="en-US" w:eastAsia="zh-CN"/>
        </w:rPr>
        <w:t>8</w:t>
      </w:r>
      <w:r>
        <w:rPr>
          <w:rFonts w:hint="eastAsia" w:ascii="宋体" w:hAnsi="宋体"/>
          <w:b/>
          <w:color w:val="auto"/>
          <w:sz w:val="21"/>
          <w:szCs w:val="21"/>
          <w:highlight w:val="none"/>
        </w:rPr>
        <w:t>.我单位清楚，如存在违反投标承诺行为情节严重的，将根据《深圳市财政局关于印发&lt;深圳市财政局政府采购供应商信用信息管理办法&gt;的通知》，依法被列入失信信息。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hint="eastAsia"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color w:val="auto"/>
          <w:sz w:val="21"/>
          <w:szCs w:val="21"/>
          <w:highlight w:val="none"/>
        </w:rPr>
      </w:pPr>
      <w:r>
        <w:rPr>
          <w:rFonts w:hint="eastAsia"/>
          <w:color w:val="auto"/>
          <w:sz w:val="21"/>
          <w:szCs w:val="21"/>
          <w:highlight w:val="none"/>
        </w:rPr>
        <w:t>投标人：</w:t>
      </w:r>
      <w:r>
        <w:rPr>
          <w:rFonts w:hint="eastAsia"/>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645"/>
        <w:textAlignment w:val="auto"/>
        <w:rPr>
          <w:rFonts w:ascii="宋体" w:hAnsi="宋体"/>
          <w:color w:val="auto"/>
          <w:sz w:val="21"/>
          <w:szCs w:val="21"/>
          <w:highlight w:val="none"/>
        </w:rPr>
      </w:pPr>
      <w:r>
        <w:rPr>
          <w:rFonts w:hint="eastAsia" w:ascii="宋体" w:hAnsi="宋体"/>
          <w:color w:val="auto"/>
          <w:sz w:val="21"/>
          <w:szCs w:val="21"/>
          <w:highlight w:val="none"/>
        </w:rPr>
        <w:t xml:space="preserve">                                              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rPr>
          <w:rFonts w:hint="eastAsia" w:ascii="黑体" w:hAnsi="黑体" w:eastAsia="黑体" w:cs="黑体"/>
          <w:color w:val="auto"/>
          <w:sz w:val="32"/>
          <w:szCs w:val="32"/>
        </w:rPr>
      </w:pPr>
      <w:r>
        <w:rPr>
          <w:rFonts w:hint="eastAsia" w:ascii="黑体" w:hAnsi="黑体" w:eastAsia="黑体" w:cs="黑体"/>
          <w:color w:val="auto"/>
          <w:sz w:val="32"/>
          <w:szCs w:val="32"/>
        </w:rPr>
        <w:br w:type="page"/>
      </w:r>
    </w:p>
    <w:p>
      <w:pPr>
        <w:pStyle w:val="18"/>
        <w:spacing w:line="560" w:lineRule="exact"/>
        <w:ind w:firstLine="0" w:firstLineChars="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2</w:t>
      </w:r>
    </w:p>
    <w:p>
      <w:pPr>
        <w:pStyle w:val="11"/>
        <w:snapToGrid w:val="0"/>
        <w:spacing w:before="0" w:after="0" w:line="560" w:lineRule="exact"/>
        <w:rPr>
          <w:rFonts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供应商基本情况表</w:t>
      </w:r>
    </w:p>
    <w:p>
      <w:pPr>
        <w:spacing w:line="560" w:lineRule="exact"/>
        <w:jc w:val="left"/>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填表单位：（加盖单位公章）</w:t>
      </w:r>
      <w:r>
        <w:rPr>
          <w:rFonts w:hint="eastAsia" w:ascii="方正仿宋_GBK" w:hAnsi="方正仿宋_GBK" w:eastAsia="方正仿宋_GBK" w:cs="方正仿宋_GBK"/>
          <w:color w:val="auto"/>
          <w:sz w:val="28"/>
          <w:szCs w:val="28"/>
        </w:rPr>
        <w:tab/>
      </w:r>
      <w:r>
        <w:rPr>
          <w:rFonts w:hint="eastAsia" w:ascii="方正仿宋_GBK" w:hAnsi="方正仿宋_GBK" w:eastAsia="方正仿宋_GBK" w:cs="方正仿宋_GBK"/>
          <w:color w:val="auto"/>
          <w:sz w:val="28"/>
          <w:szCs w:val="28"/>
        </w:rPr>
        <w:tab/>
      </w:r>
      <w:r>
        <w:rPr>
          <w:rFonts w:hint="eastAsia" w:ascii="方正仿宋_GBK" w:hAnsi="方正仿宋_GBK" w:eastAsia="方正仿宋_GBK" w:cs="方正仿宋_GBK"/>
          <w:color w:val="auto"/>
          <w:sz w:val="28"/>
          <w:szCs w:val="28"/>
        </w:rPr>
        <w:t xml:space="preserve">   填表日期：    年   月   日</w:t>
      </w:r>
    </w:p>
    <w:tbl>
      <w:tblPr>
        <w:tblStyle w:val="13"/>
        <w:tblW w:w="10545"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62"/>
        <w:gridCol w:w="1283"/>
        <w:gridCol w:w="1270"/>
        <w:gridCol w:w="791"/>
        <w:gridCol w:w="1200"/>
        <w:gridCol w:w="150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356" w:type="dxa"/>
            <w:gridSpan w:val="2"/>
            <w:noWrap w:val="0"/>
            <w:vAlign w:val="center"/>
          </w:tcPr>
          <w:p>
            <w:pPr>
              <w:jc w:val="left"/>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采购人</w:t>
            </w:r>
          </w:p>
        </w:tc>
        <w:tc>
          <w:tcPr>
            <w:tcW w:w="2553" w:type="dxa"/>
            <w:gridSpan w:val="2"/>
            <w:noWrap w:val="0"/>
            <w:vAlign w:val="center"/>
          </w:tcPr>
          <w:p>
            <w:pPr>
              <w:jc w:val="left"/>
              <w:rPr>
                <w:rFonts w:ascii="方正仿宋_GBK" w:hAnsi="方正仿宋_GBK" w:eastAsia="方正仿宋_GBK" w:cs="方正仿宋_GBK"/>
                <w:color w:val="auto"/>
                <w:sz w:val="24"/>
              </w:rPr>
            </w:pPr>
          </w:p>
        </w:tc>
        <w:tc>
          <w:tcPr>
            <w:tcW w:w="1991" w:type="dxa"/>
            <w:gridSpan w:val="2"/>
            <w:noWrap w:val="0"/>
            <w:vAlign w:val="center"/>
          </w:tcPr>
          <w:p>
            <w:pPr>
              <w:jc w:val="left"/>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项目名称</w:t>
            </w:r>
          </w:p>
        </w:tc>
        <w:tc>
          <w:tcPr>
            <w:tcW w:w="3645" w:type="dxa"/>
            <w:gridSpan w:val="2"/>
            <w:noWrap w:val="0"/>
            <w:vAlign w:val="center"/>
          </w:tcPr>
          <w:p>
            <w:pPr>
              <w:jc w:val="left"/>
              <w:rPr>
                <w:rFonts w:ascii="方正仿宋_GBK" w:hAnsi="方正仿宋_GBK" w:eastAsia="方正仿宋_GBK" w:cs="方正仿宋_GBK"/>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gridSpan w:val="2"/>
            <w:noWrap w:val="0"/>
            <w:vAlign w:val="center"/>
          </w:tcPr>
          <w:p>
            <w:pPr>
              <w:snapToGrid w:val="0"/>
              <w:jc w:val="left"/>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投标（响应）供应商</w:t>
            </w:r>
          </w:p>
        </w:tc>
        <w:tc>
          <w:tcPr>
            <w:tcW w:w="2553" w:type="dxa"/>
            <w:gridSpan w:val="2"/>
            <w:noWrap w:val="0"/>
            <w:vAlign w:val="center"/>
          </w:tcPr>
          <w:p>
            <w:pPr>
              <w:jc w:val="left"/>
              <w:rPr>
                <w:rFonts w:ascii="方正仿宋_GBK" w:hAnsi="方正仿宋_GBK" w:eastAsia="方正仿宋_GBK" w:cs="方正仿宋_GBK"/>
                <w:color w:val="auto"/>
                <w:sz w:val="24"/>
              </w:rPr>
            </w:pPr>
          </w:p>
        </w:tc>
        <w:tc>
          <w:tcPr>
            <w:tcW w:w="1991" w:type="dxa"/>
            <w:gridSpan w:val="2"/>
            <w:noWrap w:val="0"/>
            <w:vAlign w:val="center"/>
          </w:tcPr>
          <w:p>
            <w:pPr>
              <w:snapToGrid w:val="0"/>
              <w:jc w:val="left"/>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供应商统一社会信用代码</w:t>
            </w:r>
          </w:p>
        </w:tc>
        <w:tc>
          <w:tcPr>
            <w:tcW w:w="3645" w:type="dxa"/>
            <w:gridSpan w:val="2"/>
            <w:noWrap w:val="0"/>
            <w:vAlign w:val="center"/>
          </w:tcPr>
          <w:p>
            <w:pPr>
              <w:jc w:val="left"/>
              <w:rPr>
                <w:rFonts w:ascii="方正仿宋_GBK" w:hAnsi="方正仿宋_GBK" w:eastAsia="方正仿宋_GBK" w:cs="方正仿宋_GBK"/>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545" w:type="dxa"/>
            <w:gridSpan w:val="8"/>
            <w:noWrap w:val="0"/>
            <w:vAlign w:val="center"/>
          </w:tcPr>
          <w:p>
            <w:pPr>
              <w:jc w:val="left"/>
              <w:rPr>
                <w:rFonts w:ascii="方正仿宋_GBK" w:hAnsi="方正仿宋_GBK" w:eastAsia="方正仿宋_GBK" w:cs="方正仿宋_GBK"/>
                <w:color w:val="auto"/>
                <w:sz w:val="24"/>
              </w:rPr>
            </w:pPr>
            <w:r>
              <w:rPr>
                <w:rFonts w:hint="eastAsia" w:ascii="方正仿宋_GBK" w:hAnsi="方正仿宋_GBK" w:eastAsia="方正仿宋_GBK" w:cs="方正仿宋_GBK"/>
                <w:b/>
                <w:bCs/>
                <w:color w:val="auto"/>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bottom w:val="single" w:color="auto" w:sz="4" w:space="0"/>
            </w:tcBorders>
            <w:noWrap w:val="0"/>
            <w:vAlign w:val="center"/>
          </w:tcPr>
          <w:p>
            <w:pPr>
              <w:snapToGrid w:val="0"/>
              <w:jc w:val="left"/>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职务</w:t>
            </w:r>
          </w:p>
        </w:tc>
        <w:tc>
          <w:tcPr>
            <w:tcW w:w="1270" w:type="dxa"/>
            <w:tcBorders>
              <w:bottom w:val="single" w:color="auto" w:sz="4" w:space="0"/>
            </w:tcBorders>
            <w:noWrap w:val="0"/>
            <w:vAlign w:val="center"/>
          </w:tcPr>
          <w:p>
            <w:pPr>
              <w:jc w:val="left"/>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姓名</w:t>
            </w:r>
          </w:p>
        </w:tc>
        <w:tc>
          <w:tcPr>
            <w:tcW w:w="1991" w:type="dxa"/>
            <w:gridSpan w:val="2"/>
            <w:tcBorders>
              <w:bottom w:val="single" w:color="auto" w:sz="4" w:space="0"/>
            </w:tcBorders>
            <w:noWrap w:val="0"/>
            <w:vAlign w:val="center"/>
          </w:tcPr>
          <w:p>
            <w:pPr>
              <w:jc w:val="left"/>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身份证号码</w:t>
            </w:r>
          </w:p>
        </w:tc>
        <w:tc>
          <w:tcPr>
            <w:tcW w:w="1500" w:type="dxa"/>
            <w:tcBorders>
              <w:bottom w:val="single" w:color="auto" w:sz="4" w:space="0"/>
            </w:tcBorders>
            <w:noWrap w:val="0"/>
            <w:vAlign w:val="center"/>
          </w:tcPr>
          <w:p>
            <w:pPr>
              <w:snapToGrid w:val="0"/>
              <w:jc w:val="left"/>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劳动合同</w:t>
            </w:r>
          </w:p>
          <w:p>
            <w:pPr>
              <w:snapToGrid w:val="0"/>
              <w:jc w:val="left"/>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关系单位</w:t>
            </w:r>
          </w:p>
        </w:tc>
        <w:tc>
          <w:tcPr>
            <w:tcW w:w="2145" w:type="dxa"/>
            <w:tcBorders>
              <w:bottom w:val="single" w:color="auto" w:sz="4" w:space="0"/>
            </w:tcBorders>
            <w:noWrap w:val="0"/>
            <w:vAlign w:val="center"/>
          </w:tcPr>
          <w:p>
            <w:pPr>
              <w:snapToGrid w:val="0"/>
              <w:jc w:val="left"/>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缴纳社会</w:t>
            </w:r>
          </w:p>
          <w:p>
            <w:pPr>
              <w:snapToGrid w:val="0"/>
              <w:jc w:val="left"/>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2"/>
                <w:szCs w:val="22"/>
              </w:rPr>
              <w:t>法定代表人/单位负责人/主要经营负责人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color w:val="auto"/>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color w:val="auto"/>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2"/>
                <w:szCs w:val="22"/>
              </w:rPr>
              <w:t>项目投标授权代表人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color w:val="auto"/>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color w:val="auto"/>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tcBorders>
            <w:noWrap w:val="0"/>
            <w:vAlign w:val="center"/>
          </w:tcPr>
          <w:p>
            <w:pPr>
              <w:jc w:val="left"/>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3</w:t>
            </w:r>
          </w:p>
        </w:tc>
        <w:tc>
          <w:tcPr>
            <w:tcW w:w="2345" w:type="dxa"/>
            <w:gridSpan w:val="2"/>
            <w:tcBorders>
              <w:top w:val="single" w:color="auto" w:sz="4" w:space="0"/>
            </w:tcBorders>
            <w:noWrap w:val="0"/>
            <w:vAlign w:val="center"/>
          </w:tcPr>
          <w:p>
            <w:pPr>
              <w:jc w:val="left"/>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项目负责人</w:t>
            </w:r>
          </w:p>
        </w:tc>
        <w:tc>
          <w:tcPr>
            <w:tcW w:w="1270" w:type="dxa"/>
            <w:tcBorders>
              <w:top w:val="single" w:color="auto" w:sz="4" w:space="0"/>
            </w:tcBorders>
            <w:noWrap w:val="0"/>
            <w:vAlign w:val="center"/>
          </w:tcPr>
          <w:p>
            <w:pPr>
              <w:jc w:val="left"/>
              <w:rPr>
                <w:rFonts w:ascii="方正仿宋_GBK" w:hAnsi="方正仿宋_GBK" w:eastAsia="方正仿宋_GBK" w:cs="方正仿宋_GBK"/>
                <w:color w:val="auto"/>
                <w:sz w:val="24"/>
              </w:rPr>
            </w:pPr>
          </w:p>
        </w:tc>
        <w:tc>
          <w:tcPr>
            <w:tcW w:w="1991" w:type="dxa"/>
            <w:gridSpan w:val="2"/>
            <w:tcBorders>
              <w:top w:val="single" w:color="auto" w:sz="4" w:space="0"/>
            </w:tcBorders>
            <w:noWrap w:val="0"/>
            <w:vAlign w:val="center"/>
          </w:tcPr>
          <w:p>
            <w:pPr>
              <w:jc w:val="left"/>
              <w:rPr>
                <w:rFonts w:ascii="方正仿宋_GBK" w:hAnsi="方正仿宋_GBK" w:eastAsia="方正仿宋_GBK" w:cs="方正仿宋_GBK"/>
                <w:color w:val="auto"/>
                <w:sz w:val="24"/>
              </w:rPr>
            </w:pPr>
          </w:p>
        </w:tc>
        <w:tc>
          <w:tcPr>
            <w:tcW w:w="1500" w:type="dxa"/>
            <w:tcBorders>
              <w:top w:val="single" w:color="auto" w:sz="4" w:space="0"/>
            </w:tcBorders>
            <w:noWrap w:val="0"/>
            <w:vAlign w:val="center"/>
          </w:tcPr>
          <w:p>
            <w:pPr>
              <w:jc w:val="left"/>
              <w:rPr>
                <w:rFonts w:ascii="方正仿宋_GBK" w:hAnsi="方正仿宋_GBK" w:eastAsia="方正仿宋_GBK" w:cs="方正仿宋_GBK"/>
                <w:color w:val="auto"/>
                <w:sz w:val="24"/>
              </w:rPr>
            </w:pPr>
          </w:p>
        </w:tc>
        <w:tc>
          <w:tcPr>
            <w:tcW w:w="2145" w:type="dxa"/>
            <w:tcBorders>
              <w:top w:val="single" w:color="auto" w:sz="4" w:space="0"/>
            </w:tcBorders>
            <w:noWrap w:val="0"/>
            <w:vAlign w:val="center"/>
          </w:tcPr>
          <w:p>
            <w:pPr>
              <w:jc w:val="left"/>
              <w:rPr>
                <w:rFonts w:ascii="方正仿宋_GBK" w:hAnsi="方正仿宋_GBK" w:eastAsia="方正仿宋_GBK" w:cs="方正仿宋_GBK"/>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4</w:t>
            </w:r>
          </w:p>
        </w:tc>
        <w:tc>
          <w:tcPr>
            <w:tcW w:w="2345" w:type="dxa"/>
            <w:gridSpan w:val="2"/>
            <w:noWrap w:val="0"/>
            <w:vAlign w:val="center"/>
          </w:tcPr>
          <w:p>
            <w:pPr>
              <w:jc w:val="left"/>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主要技术人员</w:t>
            </w:r>
          </w:p>
        </w:tc>
        <w:tc>
          <w:tcPr>
            <w:tcW w:w="1270" w:type="dxa"/>
            <w:noWrap w:val="0"/>
            <w:vAlign w:val="center"/>
          </w:tcPr>
          <w:p>
            <w:pPr>
              <w:jc w:val="left"/>
              <w:rPr>
                <w:rFonts w:ascii="方正仿宋_GBK" w:hAnsi="方正仿宋_GBK" w:eastAsia="方正仿宋_GBK" w:cs="方正仿宋_GBK"/>
                <w:color w:val="auto"/>
                <w:sz w:val="24"/>
              </w:rPr>
            </w:pPr>
          </w:p>
        </w:tc>
        <w:tc>
          <w:tcPr>
            <w:tcW w:w="1991" w:type="dxa"/>
            <w:gridSpan w:val="2"/>
            <w:noWrap w:val="0"/>
            <w:vAlign w:val="center"/>
          </w:tcPr>
          <w:p>
            <w:pPr>
              <w:jc w:val="left"/>
              <w:rPr>
                <w:rFonts w:ascii="方正仿宋_GBK" w:hAnsi="方正仿宋_GBK" w:eastAsia="方正仿宋_GBK" w:cs="方正仿宋_GBK"/>
                <w:color w:val="auto"/>
                <w:sz w:val="24"/>
              </w:rPr>
            </w:pPr>
          </w:p>
        </w:tc>
        <w:tc>
          <w:tcPr>
            <w:tcW w:w="1500" w:type="dxa"/>
            <w:noWrap w:val="0"/>
            <w:vAlign w:val="center"/>
          </w:tcPr>
          <w:p>
            <w:pPr>
              <w:jc w:val="left"/>
              <w:rPr>
                <w:rFonts w:ascii="方正仿宋_GBK" w:hAnsi="方正仿宋_GBK" w:eastAsia="方正仿宋_GBK" w:cs="方正仿宋_GBK"/>
                <w:color w:val="auto"/>
                <w:sz w:val="24"/>
              </w:rPr>
            </w:pPr>
          </w:p>
        </w:tc>
        <w:tc>
          <w:tcPr>
            <w:tcW w:w="2145" w:type="dxa"/>
            <w:noWrap w:val="0"/>
            <w:vAlign w:val="center"/>
          </w:tcPr>
          <w:p>
            <w:pPr>
              <w:jc w:val="left"/>
              <w:rPr>
                <w:rFonts w:ascii="方正仿宋_GBK" w:hAnsi="方正仿宋_GBK" w:eastAsia="方正仿宋_GBK" w:cs="方正仿宋_GBK"/>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5</w:t>
            </w:r>
          </w:p>
        </w:tc>
        <w:tc>
          <w:tcPr>
            <w:tcW w:w="2345" w:type="dxa"/>
            <w:gridSpan w:val="2"/>
            <w:noWrap w:val="0"/>
            <w:vAlign w:val="center"/>
          </w:tcPr>
          <w:p>
            <w:pPr>
              <w:pStyle w:val="5"/>
              <w:snapToGrid w:val="0"/>
              <w:spacing w:line="240" w:lineRule="auto"/>
              <w:ind w:firstLine="0" w:firstLineChars="0"/>
              <w:jc w:val="left"/>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投标文件编制人员</w:t>
            </w:r>
          </w:p>
        </w:tc>
        <w:tc>
          <w:tcPr>
            <w:tcW w:w="1270" w:type="dxa"/>
            <w:noWrap w:val="0"/>
            <w:vAlign w:val="center"/>
          </w:tcPr>
          <w:p>
            <w:pPr>
              <w:jc w:val="left"/>
              <w:rPr>
                <w:rFonts w:ascii="方正仿宋_GBK" w:hAnsi="方正仿宋_GBK" w:eastAsia="方正仿宋_GBK" w:cs="方正仿宋_GBK"/>
                <w:color w:val="auto"/>
                <w:sz w:val="24"/>
              </w:rPr>
            </w:pPr>
          </w:p>
        </w:tc>
        <w:tc>
          <w:tcPr>
            <w:tcW w:w="1991" w:type="dxa"/>
            <w:gridSpan w:val="2"/>
            <w:noWrap w:val="0"/>
            <w:vAlign w:val="center"/>
          </w:tcPr>
          <w:p>
            <w:pPr>
              <w:jc w:val="left"/>
              <w:rPr>
                <w:rFonts w:ascii="方正仿宋_GBK" w:hAnsi="方正仿宋_GBK" w:eastAsia="方正仿宋_GBK" w:cs="方正仿宋_GBK"/>
                <w:color w:val="auto"/>
                <w:sz w:val="24"/>
              </w:rPr>
            </w:pPr>
          </w:p>
        </w:tc>
        <w:tc>
          <w:tcPr>
            <w:tcW w:w="1500" w:type="dxa"/>
            <w:noWrap w:val="0"/>
            <w:vAlign w:val="center"/>
          </w:tcPr>
          <w:p>
            <w:pPr>
              <w:jc w:val="left"/>
              <w:rPr>
                <w:rFonts w:ascii="方正仿宋_GBK" w:hAnsi="方正仿宋_GBK" w:eastAsia="方正仿宋_GBK" w:cs="方正仿宋_GBK"/>
                <w:color w:val="auto"/>
                <w:sz w:val="24"/>
              </w:rPr>
            </w:pPr>
          </w:p>
        </w:tc>
        <w:tc>
          <w:tcPr>
            <w:tcW w:w="2145" w:type="dxa"/>
            <w:noWrap w:val="0"/>
            <w:vAlign w:val="center"/>
          </w:tcPr>
          <w:p>
            <w:pPr>
              <w:jc w:val="left"/>
              <w:rPr>
                <w:rFonts w:ascii="方正仿宋_GBK" w:hAnsi="方正仿宋_GBK" w:eastAsia="方正仿宋_GBK" w:cs="方正仿宋_GBK"/>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noWrap w:val="0"/>
            <w:vAlign w:val="center"/>
          </w:tcPr>
          <w:p>
            <w:pPr>
              <w:jc w:val="left"/>
              <w:rPr>
                <w:rFonts w:ascii="方正仿宋_GBK" w:hAnsi="方正仿宋_GBK" w:eastAsia="方正仿宋_GBK" w:cs="方正仿宋_GBK"/>
                <w:color w:val="auto"/>
                <w:sz w:val="24"/>
              </w:rPr>
            </w:pPr>
            <w:r>
              <w:rPr>
                <w:rFonts w:hint="eastAsia" w:ascii="方正仿宋_GBK" w:hAnsi="方正仿宋_GBK" w:eastAsia="方正仿宋_GBK" w:cs="方正仿宋_GBK"/>
                <w:b/>
                <w:bCs/>
                <w:color w:val="auto"/>
                <w:sz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545" w:type="dxa"/>
            <w:gridSpan w:val="8"/>
            <w:noWrap w:val="0"/>
            <w:vAlign w:val="center"/>
          </w:tcPr>
          <w:p>
            <w:pPr>
              <w:jc w:val="left"/>
              <w:rPr>
                <w:rFonts w:ascii="方正仿宋_GBK" w:hAnsi="方正仿宋_GBK" w:eastAsia="方正仿宋_GBK" w:cs="方正仿宋_GBK"/>
                <w:b/>
                <w:bCs/>
                <w:color w:val="auto"/>
                <w:sz w:val="24"/>
              </w:rPr>
            </w:pPr>
            <w:r>
              <w:rPr>
                <w:rFonts w:hint="eastAsia" w:ascii="方正仿宋_GBK" w:hAnsi="方正仿宋_GBK" w:eastAsia="方正仿宋_GBK" w:cs="方正仿宋_GBK"/>
                <w:b/>
                <w:bCs/>
                <w:color w:val="auto"/>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bottom w:val="single" w:color="auto" w:sz="4" w:space="0"/>
            </w:tcBorders>
            <w:noWrap w:val="0"/>
            <w:vAlign w:val="center"/>
          </w:tcPr>
          <w:p>
            <w:pPr>
              <w:jc w:val="left"/>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关联关系类型</w:t>
            </w:r>
          </w:p>
        </w:tc>
        <w:tc>
          <w:tcPr>
            <w:tcW w:w="2061" w:type="dxa"/>
            <w:gridSpan w:val="2"/>
            <w:tcBorders>
              <w:bottom w:val="single" w:color="auto" w:sz="4" w:space="0"/>
            </w:tcBorders>
            <w:noWrap w:val="0"/>
            <w:vAlign w:val="center"/>
          </w:tcPr>
          <w:p>
            <w:pPr>
              <w:jc w:val="left"/>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关联主体名称</w:t>
            </w:r>
          </w:p>
        </w:tc>
        <w:tc>
          <w:tcPr>
            <w:tcW w:w="4845" w:type="dxa"/>
            <w:gridSpan w:val="3"/>
            <w:tcBorders>
              <w:bottom w:val="single" w:color="auto" w:sz="4" w:space="0"/>
            </w:tcBorders>
            <w:noWrap w:val="0"/>
            <w:vAlign w:val="center"/>
          </w:tcPr>
          <w:p>
            <w:pPr>
              <w:jc w:val="left"/>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控股股东</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color w:val="auto"/>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管理关系</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color w:val="auto"/>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color w:val="auto"/>
                <w:sz w:val="24"/>
              </w:rPr>
            </w:pPr>
            <w:r>
              <w:rPr>
                <w:rFonts w:hint="eastAsia" w:ascii="方正仿宋_GBK" w:hAnsi="方正仿宋_GBK" w:eastAsia="方正仿宋_GBK" w:cs="方正仿宋_GBK"/>
                <w:b/>
                <w:bCs/>
                <w:color w:val="auto"/>
                <w:sz w:val="24"/>
              </w:rPr>
              <w:t>说明：同一关联关系类型有多个主体的，应分行填写。</w:t>
            </w:r>
          </w:p>
        </w:tc>
      </w:tr>
    </w:tbl>
    <w:p>
      <w:pPr>
        <w:rPr>
          <w:rFonts w:hint="default"/>
          <w:color w:val="auto"/>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00"/>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等线">
    <w:altName w:val="华文中宋"/>
    <w:panose1 w:val="02010600030101010101"/>
    <w:charset w:val="00"/>
    <w:family w:val="auto"/>
    <w:pitch w:val="default"/>
    <w:sig w:usb0="00000000" w:usb1="00000000" w:usb2="00000016" w:usb3="00000000" w:csb0="0004000F" w:csb1="00000000"/>
  </w:font>
  <w:font w:name="Microsoft YaHei UI">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仿宋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9DDE81"/>
    <w:multiLevelType w:val="singleLevel"/>
    <w:tmpl w:val="EB9DDE81"/>
    <w:lvl w:ilvl="0" w:tentative="0">
      <w:start w:val="1"/>
      <w:numFmt w:val="chineseCounting"/>
      <w:suff w:val="nothing"/>
      <w:lvlText w:val="%1、"/>
      <w:lvlJc w:val="left"/>
      <w:rPr>
        <w:rFonts w:hint="eastAsia"/>
      </w:rPr>
    </w:lvl>
  </w:abstractNum>
  <w:abstractNum w:abstractNumId="1">
    <w:nsid w:val="66309E8F"/>
    <w:multiLevelType w:val="singleLevel"/>
    <w:tmpl w:val="66309E8F"/>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376E1AF"/>
    <w:rsid w:val="01D17FD6"/>
    <w:rsid w:val="03711721"/>
    <w:rsid w:val="04D5397F"/>
    <w:rsid w:val="085466BD"/>
    <w:rsid w:val="0A4725AB"/>
    <w:rsid w:val="0A6A407D"/>
    <w:rsid w:val="0D3D3014"/>
    <w:rsid w:val="0D566BC9"/>
    <w:rsid w:val="14A2631D"/>
    <w:rsid w:val="14C34F24"/>
    <w:rsid w:val="165D6C96"/>
    <w:rsid w:val="16DF0992"/>
    <w:rsid w:val="208E19AB"/>
    <w:rsid w:val="20D34CF2"/>
    <w:rsid w:val="21D46991"/>
    <w:rsid w:val="247733EB"/>
    <w:rsid w:val="2479030C"/>
    <w:rsid w:val="255A7798"/>
    <w:rsid w:val="25EC1AD2"/>
    <w:rsid w:val="27A56A4D"/>
    <w:rsid w:val="293E783A"/>
    <w:rsid w:val="2A9B6092"/>
    <w:rsid w:val="2C5E5FE4"/>
    <w:rsid w:val="326E42CA"/>
    <w:rsid w:val="32AA04EC"/>
    <w:rsid w:val="33814EAA"/>
    <w:rsid w:val="340805C4"/>
    <w:rsid w:val="34680952"/>
    <w:rsid w:val="34AE11E9"/>
    <w:rsid w:val="3AFD213B"/>
    <w:rsid w:val="3BC62CE0"/>
    <w:rsid w:val="3DEE05C9"/>
    <w:rsid w:val="448648CA"/>
    <w:rsid w:val="4531456C"/>
    <w:rsid w:val="46762784"/>
    <w:rsid w:val="4B4B2FA2"/>
    <w:rsid w:val="4C6D6897"/>
    <w:rsid w:val="4C8036C3"/>
    <w:rsid w:val="4D786F5D"/>
    <w:rsid w:val="521408D6"/>
    <w:rsid w:val="58A1230D"/>
    <w:rsid w:val="58B24661"/>
    <w:rsid w:val="5F2BE56A"/>
    <w:rsid w:val="5FFF63D0"/>
    <w:rsid w:val="62593BEF"/>
    <w:rsid w:val="635C6772"/>
    <w:rsid w:val="671D4941"/>
    <w:rsid w:val="67BF5D29"/>
    <w:rsid w:val="69701D6D"/>
    <w:rsid w:val="6A68741F"/>
    <w:rsid w:val="6DFFCD9E"/>
    <w:rsid w:val="6EBD5A97"/>
    <w:rsid w:val="71356DFE"/>
    <w:rsid w:val="71BB412E"/>
    <w:rsid w:val="72B96096"/>
    <w:rsid w:val="77280C6D"/>
    <w:rsid w:val="78BC004E"/>
    <w:rsid w:val="795310F0"/>
    <w:rsid w:val="7D9F3A20"/>
    <w:rsid w:val="7DD39989"/>
    <w:rsid w:val="B7FE4D38"/>
    <w:rsid w:val="BBFF548B"/>
    <w:rsid w:val="DFFF69F1"/>
    <w:rsid w:val="E376E1AF"/>
    <w:rsid w:val="FFEF2FC6"/>
    <w:rsid w:val="FFFB82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4"/>
    <w:next w:val="1"/>
    <w:qFormat/>
    <w:uiPriority w:val="9"/>
    <w:pPr>
      <w:spacing w:before="260" w:after="260" w:line="240" w:lineRule="auto"/>
      <w:outlineLvl w:val="2"/>
    </w:pPr>
    <w:rPr>
      <w:rFonts w:ascii="宋体" w:hAnsi="宋体" w:eastAsia="宋体"/>
      <w:szCs w:val="32"/>
    </w:rPr>
  </w:style>
  <w:style w:type="paragraph" w:styleId="4">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rPr>
      <w:rFonts w:ascii="Calibri" w:hAnsi="Calibri" w:eastAsia="宋体" w:cs="Times New Roman"/>
    </w:rPr>
  </w:style>
  <w:style w:type="paragraph" w:styleId="5">
    <w:name w:val="Normal Indent"/>
    <w:basedOn w:val="1"/>
    <w:qFormat/>
    <w:uiPriority w:val="0"/>
    <w:pPr>
      <w:ind w:firstLine="420"/>
    </w:pPr>
    <w:rPr>
      <w:szCs w:val="20"/>
    </w:rPr>
  </w:style>
  <w:style w:type="paragraph" w:styleId="6">
    <w:name w:val="annotation text"/>
    <w:basedOn w:val="1"/>
    <w:qFormat/>
    <w:uiPriority w:val="0"/>
    <w:pPr>
      <w:autoSpaceDE w:val="0"/>
      <w:autoSpaceDN w:val="0"/>
      <w:adjustRightInd w:val="0"/>
      <w:jc w:val="left"/>
      <w:textAlignment w:val="baseline"/>
    </w:pPr>
    <w:rPr>
      <w:rFonts w:ascii="宋体"/>
      <w:kern w:val="0"/>
      <w:sz w:val="34"/>
      <w:szCs w:val="20"/>
    </w:rPr>
  </w:style>
  <w:style w:type="paragraph" w:styleId="7">
    <w:name w:val="Body Text"/>
    <w:basedOn w:val="1"/>
    <w:next w:val="1"/>
    <w:qFormat/>
    <w:uiPriority w:val="0"/>
    <w:pPr>
      <w:spacing w:after="120"/>
    </w:pPr>
  </w:style>
  <w:style w:type="paragraph" w:styleId="8">
    <w:name w:val="Block Text"/>
    <w:basedOn w:val="1"/>
    <w:qFormat/>
    <w:uiPriority w:val="0"/>
    <w:pPr>
      <w:tabs>
        <w:tab w:val="left" w:pos="426"/>
      </w:tabs>
      <w:spacing w:after="120"/>
      <w:ind w:left="1440" w:leftChars="700" w:right="1440" w:rightChars="700"/>
    </w:pPr>
  </w:style>
  <w:style w:type="paragraph" w:styleId="9">
    <w:name w:val="Plain Text"/>
    <w:basedOn w:val="1"/>
    <w:unhideWhenUsed/>
    <w:qFormat/>
    <w:uiPriority w:val="99"/>
    <w:rPr>
      <w:rFonts w:ascii="宋体" w:hAnsi="Calibri" w:cs="Courier New"/>
      <w:szCs w:val="21"/>
    </w:rPr>
  </w:style>
  <w:style w:type="paragraph" w:styleId="10">
    <w:name w:val="Body Text 2"/>
    <w:basedOn w:val="1"/>
    <w:qFormat/>
    <w:uiPriority w:val="0"/>
    <w:pPr>
      <w:spacing w:line="360" w:lineRule="auto"/>
    </w:pPr>
    <w:rPr>
      <w:sz w:val="24"/>
    </w:rPr>
  </w:style>
  <w:style w:type="paragraph" w:styleId="11">
    <w:name w:val="Title"/>
    <w:basedOn w:val="1"/>
    <w:next w:val="1"/>
    <w:qFormat/>
    <w:uiPriority w:val="10"/>
    <w:pPr>
      <w:spacing w:before="240" w:after="60"/>
      <w:jc w:val="center"/>
      <w:outlineLvl w:val="0"/>
    </w:pPr>
    <w:rPr>
      <w:rFonts w:ascii="等线 Light" w:hAnsi="等线 Light" w:eastAsia="宋体" w:cs="Times New Roman"/>
      <w:b/>
      <w:bCs/>
      <w:sz w:val="32"/>
      <w:szCs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List Paragraph"/>
    <w:basedOn w:val="16"/>
    <w:qFormat/>
    <w:uiPriority w:val="34"/>
    <w:pPr>
      <w:ind w:firstLine="420" w:firstLineChars="200"/>
    </w:pPr>
  </w:style>
  <w:style w:type="paragraph" w:customStyle="1" w:styleId="16">
    <w:name w:val="星耀正文"/>
    <w:basedOn w:val="1"/>
    <w:qFormat/>
    <w:uiPriority w:val="3"/>
    <w:pPr>
      <w:ind w:firstLine="422" w:firstLineChars="200"/>
    </w:pPr>
    <w:rPr>
      <w:rFonts w:ascii="宋体" w:hAnsi="宋体" w:eastAsia="仿宋_GB2312"/>
      <w:bCs/>
    </w:rPr>
  </w:style>
  <w:style w:type="paragraph" w:customStyle="1" w:styleId="17">
    <w:name w:val="USE 1"/>
    <w:basedOn w:val="1"/>
    <w:qFormat/>
    <w:uiPriority w:val="0"/>
    <w:pPr>
      <w:spacing w:line="200" w:lineRule="atLeast"/>
      <w:jc w:val="left"/>
    </w:pPr>
    <w:rPr>
      <w:rFonts w:ascii="宋体" w:hAnsi="宋体"/>
      <w:b/>
      <w:sz w:val="24"/>
      <w:szCs w:val="28"/>
    </w:rPr>
  </w:style>
  <w:style w:type="paragraph" w:customStyle="1" w:styleId="18">
    <w:name w:val="l正文"/>
    <w:basedOn w:val="1"/>
    <w:qFormat/>
    <w:uiPriority w:val="0"/>
    <w:pPr>
      <w:spacing w:line="300" w:lineRule="auto"/>
      <w:ind w:firstLine="200" w:firstLineChars="200"/>
      <w:jc w:val="left"/>
    </w:pPr>
    <w:rPr>
      <w:rFonts w:ascii="楷体_GB2312" w:hAnsi="Times" w:eastAsia="楷体_GB2312" w:cs="等线"/>
      <w:sz w:val="24"/>
    </w:rPr>
  </w:style>
  <w:style w:type="paragraph" w:customStyle="1" w:styleId="19">
    <w:name w:val="_Style 3"/>
    <w:basedOn w:val="1"/>
    <w:next w:val="1"/>
    <w:qFormat/>
    <w:uiPriority w:val="99"/>
    <w:pPr>
      <w:spacing w:line="360" w:lineRule="auto"/>
      <w:ind w:firstLine="420" w:firstLineChars="200"/>
    </w:pPr>
  </w:style>
  <w:style w:type="character" w:customStyle="1" w:styleId="20">
    <w:name w:val="font21"/>
    <w:basedOn w:val="14"/>
    <w:qFormat/>
    <w:uiPriority w:val="0"/>
    <w:rPr>
      <w:rFonts w:hint="default" w:ascii="Microsoft YaHei UI" w:hAnsi="Microsoft YaHei UI" w:eastAsia="Microsoft YaHei UI" w:cs="Microsoft YaHei UI"/>
      <w:color w:val="000000"/>
      <w:sz w:val="22"/>
      <w:szCs w:val="22"/>
      <w:u w:val="none"/>
    </w:rPr>
  </w:style>
  <w:style w:type="character" w:customStyle="1" w:styleId="21">
    <w:name w:val="font61"/>
    <w:basedOn w:val="14"/>
    <w:qFormat/>
    <w:uiPriority w:val="0"/>
    <w:rPr>
      <w:rFonts w:hint="default" w:ascii="仿宋GB2312" w:hAnsi="仿宋GB2312" w:eastAsia="仿宋GB2312" w:cs="仿宋GB2312"/>
      <w:color w:val="000000"/>
      <w:sz w:val="22"/>
      <w:szCs w:val="22"/>
      <w:u w:val="none"/>
    </w:rPr>
  </w:style>
  <w:style w:type="character" w:customStyle="1" w:styleId="22">
    <w:name w:val="font31"/>
    <w:basedOn w:val="14"/>
    <w:qFormat/>
    <w:uiPriority w:val="0"/>
    <w:rPr>
      <w:rFonts w:hint="default" w:ascii="Microsoft YaHei UI" w:hAnsi="Microsoft YaHei UI" w:eastAsia="Microsoft YaHei UI" w:cs="Microsoft YaHei UI"/>
      <w:color w:val="000000"/>
      <w:sz w:val="22"/>
      <w:szCs w:val="22"/>
      <w:u w:val="none"/>
    </w:rPr>
  </w:style>
  <w:style w:type="character" w:customStyle="1" w:styleId="23">
    <w:name w:val="font71"/>
    <w:basedOn w:val="14"/>
    <w:qFormat/>
    <w:uiPriority w:val="0"/>
    <w:rPr>
      <w:rFonts w:hint="default" w:ascii="仿宋GB2312" w:hAnsi="仿宋GB2312" w:eastAsia="仿宋GB2312" w:cs="仿宋GB2312"/>
      <w:color w:val="000000"/>
      <w:sz w:val="22"/>
      <w:szCs w:val="22"/>
      <w:u w:val="none"/>
    </w:rPr>
  </w:style>
  <w:style w:type="character" w:customStyle="1" w:styleId="24">
    <w:name w:val="font51"/>
    <w:basedOn w:val="14"/>
    <w:qFormat/>
    <w:uiPriority w:val="0"/>
    <w:rPr>
      <w:rFonts w:hint="default" w:ascii="仿宋GB2312" w:hAnsi="仿宋GB2312" w:eastAsia="仿宋GB2312" w:cs="仿宋GB2312"/>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4240</Words>
  <Characters>4455</Characters>
  <Lines>0</Lines>
  <Paragraphs>0</Paragraphs>
  <TotalTime>3</TotalTime>
  <ScaleCrop>false</ScaleCrop>
  <LinksUpToDate>false</LinksUpToDate>
  <CharactersWithSpaces>4586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2025-04-14T01:16:00Z</dcterms:created>
  <dc:creator>yang</dc:creator>
  <cp:lastModifiedBy>lxy</cp:lastModifiedBy>
  <cp:lastPrinted>2026-01-28T19:00:00Z</cp:lastPrinted>
  <dcterms:modified xsi:type="dcterms:W3CDTF">2026-02-11T17:39:27Z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D1D33C051FD3487186DA5EBA50CEF23B</vt:lpwstr>
  </property>
  <property fmtid="{D5CDD505-2E9C-101B-9397-08002B2CF9AE}" pid="4" name="KSOTemplateDocerSaveRecord">
    <vt:lpwstr>eyJoZGlkIjoiNjI1M2EyYWJiMDc1NDk4Yzc0MzY5NDVhY2ZkY2UxZGEiLCJ1c2VySWQiOiIzODAzMjc4MTgifQ==</vt:lpwstr>
  </property>
</Properties>
</file>