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版画基地2026年观光农田种植管理服务</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pStyle w:val="8"/>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numPr>
          <w:ilvl w:val="-1"/>
          <w:numId w:val="0"/>
        </w:numPr>
        <w:tabs>
          <w:tab w:val="left" w:pos="1820"/>
        </w:tabs>
        <w:snapToGrid w:val="0"/>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版画基地作为深圳特色文化街区，园区内景色优美，拥有面积约1.85万平方米的观光农田,吸引了广大市民游客前来游览，高峰期日客流量超2万人次，是得到群众一致好评的文化惠民项目。版画基地作为公共文化场所，具备发展生态观光、文化体验、休闲度假等业态的良好基础，结合《深圳市基本农田保护区管理办法》相关精神，在合理利用及有效保护基本农田的前提下，为进一步盘活生态文旅资源，实现生态保护与文旅发展深度融合，打造特色生态文旅品牌，现拟采购2026年观光农田种植管理服务。</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2"/>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3</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2026年12</w:t>
      </w:r>
      <w:r>
        <w:rPr>
          <w:rFonts w:hint="eastAsia" w:ascii="仿宋_GB2312" w:hAnsi="仿宋_GB2312" w:eastAsia="仿宋_GB2312" w:cs="仿宋_GB2312"/>
          <w:sz w:val="32"/>
          <w:szCs w:val="36"/>
        </w:rPr>
        <w:t>月（暂定）</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观光农田种植管理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粮油作物或蔬菜作物种植期（第一期及第二期）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①土地平整与标准化改造：对观光农田进行平整与土地改良，要求不得破坏耕作层；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②良种采购与播种：包含但不限于播种、育苗、移栽、养护、铲除、清理、清运，种植的作物类型符合永久基本农田的相关要求，要求整体幼苗成活率达95%以上，需配置日常管养服务人员；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③观光农田主题氛围营造：做好种植主题策划及自种经济作物免费向游客发放工作，要求服务期内开展大规模种植至少2次，并且设置相应的生物科普教育区域，展示、介绍农作物，传递生态保护、低碳发展理念，经济作物发放要求规则公开透明、流程便捷高效，兼顾游客参与感与体验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④生态药肥采购与使用：使用的肥料、农药、植物生长调节剂等农业投入品以及农业灌溉用水，应当符合有关强制性标准或者技术规范，鼓励施用有机肥料；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⑤田间日常管护：包含日常除草、翻地、基肥、施肥、病虫害防治等工作；做好安全防范、卫生清洁、作物保护工作，例如增设扩音设备，组织工作人员巡逻和卫生清扫等。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2026年APEC会议时期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①2026年APEC会议期间，种植观赏性强的经济作物（如油菜花、波斯菊、向日葵等），种植密度不低于4株/平方米，成熟时高于80cm。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②土地平整与标准化改造：对观光农田进行平整与土地改良，要求不得破坏耕作层；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③良种采购与播种：包含但不限于播种、育苗、移栽、养护、铲除、清理、清运，种植的作物类型符合永久基本农田的相关要求，要求整体幼苗成活率达95%以上，需配置日常管养服务人员；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④APEC主题氛围营造：做好APEC种植主题策划及自种经济作物免费向游客发放工作，确保会议期间作物成景、长势良好，观赏效果好，并且设置相应的生物科普教育区域，展示、介绍农作物，传递生态保护、低碳发展理念，经济作物发放要求规则公开透明、流程便捷高效，兼顾游客参与感与体验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⑤生态药肥采购与使用：使用的肥料</w:t>
      </w:r>
      <w:r>
        <w:rPr>
          <w:rFonts w:hint="eastAsia" w:ascii="仿宋_GB2312" w:hAnsi="仿宋_GB2312" w:eastAsia="仿宋_GB2312" w:cs="仿宋_GB2312"/>
          <w:sz w:val="32"/>
          <w:szCs w:val="32"/>
          <w:lang w:eastAsia="zh-CN"/>
        </w:rPr>
        <w:t>、农药、植物生长调节剂等农业投入品以及农业灌溉用水，应当符合有关强制性标准或者技术规范，鼓励施用有机肥料；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⑥田间日常管护：包含日常除草、翻地、基肥、施肥、病虫害防治等工作；做好安全防范、卫生清洁、作物保护工作，例如增设扩音设备，组织工作人员巡逻和卫生清扫等。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2.生态排水沟渠修筑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①开挖至少上宽60cm、下宽30cm、深40cm的梯形土质沟渠，并对沟底及边坡进行素土夯实。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②打造一个“水质洁净、安全可亲、充满生态趣味”的活力亲水空间。具体实现目标如下：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·水质目标：确保改造后水体水质主要指标稳定达到国家相关文件标准，视觉感官清澈。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·生态目标：构建良性循环的水生态系统，实现水体“流水不腐”的活水状态。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·安全目标：全方位保障亲水活动的人身安全，无安全隐患。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·体验目标：提供安全、有趣的亲水互动体验，重点包括涉水嬉戏、自然观察与生态捕捞（如抓泥鳅或捞鱼）等。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3.隔离设施增设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生态复合型围栏：建造以防腐木为骨架的篱笆墙，高度不低于1.2米，总长度不少于500米。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绿植系统：沿篱笆间隔种植攀援及高杆植物幼苗，形成天然植物墙。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default" w:ascii="仿宋_GB2312" w:hAnsi="仿宋_GB2312" w:eastAsia="仿宋_GB2312" w:cs="仿宋_GB2312"/>
          <w:sz w:val="32"/>
          <w:szCs w:val="32"/>
          <w:lang w:val="en-US" w:eastAsia="zh-CN"/>
        </w:rPr>
        <w:t>界桩：在转角及关键节点设置预制混凝土景观界桩。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标识系统提升增设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效果要求：打造与观光农田自然风光和谐共生、兼具艺术美感与清晰功能性的标识系统，达到形象融合、数量达标、品质提升、标识功能完善的效果,设计方案需征得甲方同意。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规格要求：增设标识牌总数不少于30个。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default" w:ascii="仿宋_GB2312" w:hAnsi="仿宋_GB2312" w:eastAsia="仿宋_GB2312" w:cs="仿宋_GB2312"/>
          <w:sz w:val="32"/>
          <w:szCs w:val="32"/>
          <w:lang w:val="en-US" w:eastAsia="zh-CN"/>
        </w:rPr>
        <w:t>材质要求：选用自然耐久材质（如防腐木、不锈钢、环保树脂等），能长期耐受户外日晒雨淋、防霉防腐；图文处理工艺（如丝印、雕刻、UV打印等）保证清晰、耐久、不褪色。安装结构稳固、安全，符合相关建筑与结构安全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w:t>
      </w:r>
      <w:r>
        <w:rPr>
          <w:rFonts w:hint="default" w:ascii="仿宋_GB2312" w:hAnsi="仿宋_GB2312" w:eastAsia="仿宋_GB2312" w:cs="仿宋_GB2312"/>
          <w:sz w:val="32"/>
          <w:szCs w:val="32"/>
          <w:lang w:val="en-US" w:eastAsia="zh-CN"/>
        </w:rPr>
        <w:t>标识类型要求：包括但不限于温馨提示牌、安全警示牌、行为规范牌、出入口标志等。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5.垃圾桶增设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w:t>
      </w:r>
      <w:r>
        <w:rPr>
          <w:rFonts w:hint="default" w:ascii="仿宋_GB2312" w:hAnsi="仿宋_GB2312" w:eastAsia="仿宋_GB2312" w:cs="仿宋_GB2312"/>
          <w:sz w:val="32"/>
          <w:szCs w:val="32"/>
          <w:lang w:val="en-US" w:eastAsia="zh-CN"/>
        </w:rPr>
        <w:t>效果要求：打造与观光农田自然风光和谐共生、兼具艺术美感的垃圾桶,设计方案需征得甲方同意。</w:t>
      </w:r>
      <w:r>
        <w:rPr>
          <w:rFonts w:hint="eastAsia" w:ascii="仿宋_GB2312" w:hAnsi="仿宋_GB2312" w:eastAsia="仿宋_GB2312" w:cs="仿宋_GB2312"/>
          <w:sz w:val="32"/>
          <w:szCs w:val="32"/>
          <w:highlight w:val="none"/>
          <w:lang w:val="en-US" w:eastAsia="zh-CN"/>
        </w:rPr>
        <w:t>必要时需要进一步补充垃圾桶数量。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default" w:ascii="仿宋_GB2312" w:hAnsi="仿宋_GB2312" w:eastAsia="仿宋_GB2312" w:cs="仿宋_GB2312"/>
          <w:sz w:val="32"/>
          <w:szCs w:val="32"/>
          <w:lang w:val="en-US" w:eastAsia="zh-CN"/>
        </w:rPr>
        <w:t>规格要求：单个内胆容量不少于40升，内胆数不少于40个，垃圾桶数量不少于20个（按照一个垃圾桶</w:t>
      </w:r>
      <w:r>
        <w:rPr>
          <w:rFonts w:hint="eastAsia" w:ascii="仿宋_GB2312" w:hAnsi="仿宋_GB2312" w:eastAsia="仿宋_GB2312" w:cs="仿宋_GB2312"/>
          <w:sz w:val="32"/>
          <w:szCs w:val="32"/>
          <w:lang w:val="en-US" w:eastAsia="zh-CN"/>
        </w:rPr>
        <w:t>主体</w:t>
      </w:r>
      <w:r>
        <w:rPr>
          <w:rFonts w:hint="default" w:ascii="仿宋_GB2312" w:hAnsi="仿宋_GB2312" w:eastAsia="仿宋_GB2312" w:cs="仿宋_GB2312"/>
          <w:sz w:val="32"/>
          <w:szCs w:val="32"/>
          <w:lang w:val="en-US" w:eastAsia="zh-CN"/>
        </w:rPr>
        <w:t>配置两个内胆的形式）。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主体：选用自然耐久材质（如防腐木、不锈钢、环保树脂等），能长期耐受户外日晒雨淋、防霉防腐。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内胆：镀锌钢板或高密度塑料，可抽拉式设计，便于清洁。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w:t>
      </w:r>
      <w:r>
        <w:rPr>
          <w:rFonts w:hint="default" w:ascii="仿宋_GB2312" w:hAnsi="仿宋_GB2312" w:eastAsia="仿宋_GB2312" w:cs="仿宋_GB2312"/>
          <w:sz w:val="32"/>
          <w:szCs w:val="32"/>
          <w:lang w:val="en-US" w:eastAsia="zh-CN"/>
        </w:rPr>
        <w:t>分类要求：至少分为“可回收物”与“其他垃圾”两类，标识图案清晰易懂。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田间灌溉管网设施建设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对版画基地农田现有灌溉设施进行全面排查，制定科学的升级改造方案，适配基本农田种植的灌溉需求，设施应当力求简易、安全、实用，以易拆除、便于恢复农业生产条件为标准，同时提升灌溉效率、节水效果与设施稳定性。其中，主干管网长度不少于800米，田间支管与毛管长度不少于3000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灌溉管网设施包括但不限于：首部枢纽系统、主干管网、田间支管与毛管、智能控制系统设备等。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所有管网、设备、控制系统的安装、连接、冲洗、压力测试及联动编程调试。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种植作物及土壤第三方检测服务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（1）土壤检测：委托具备CMA/CNAS正规认证的第三方检测机构，开展土壤质量检测，并出具正式合格检测报告。土壤检测每年至少1次，检测指标包含但不限于土壤肥力、重金属含量、酸碱度等。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作物检测：委托具备CMA/CNAS正规认证的第三方检测机构，开作物检测：委托具备CMA/CNAS正规认证的第三方检测机构，开展种植作物质量检测，并出具正式合格检测报告。覆盖主要种植品类，在生长期内至少开展2次，检测指标包含但不限于农药残留、重金属、营养成分等。</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（二）具体要求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1470" w:rightChars="700"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、种植服务要求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lang w:val="en-US" w:eastAsia="zh-CN"/>
        </w:rPr>
      </w:pPr>
      <w:r>
        <w:rPr>
          <w:rFonts w:hint="eastAsia" w:ascii="仿宋_GB2312" w:hAnsi="仿宋" w:eastAsia="仿宋_GB2312" w:cs="Times New Roman"/>
          <w:color w:val="auto"/>
          <w:sz w:val="32"/>
          <w:highlight w:val="none"/>
          <w:lang w:val="en-US" w:eastAsia="zh-CN"/>
        </w:rPr>
        <w:t>（1）种植管养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①提供的幼苗应具备良好的健康状况，各种幼苗成活率达95%以上，田地不被人恶意践踏、破坏、发现情况要及时制止，并报告采购人，一旦损坏要及时补种，使田地完整率达95%以上。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②适时除草、除虫、施肥，保持田地生长量适当，满足其生长特性，景观丰富多彩，保持田地美观。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③适时对田地进行培土，开展防风害、防日照、防涝防旱等工作，对受损或倾倒的花苗及时扶持和局部补苗。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④根据相关病虫害发生的环境条件及其规律，坚持以预防为主的原则进行防治，保持花苗生长健壮，开花期花朵茂盛。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⑤工作需要的设备、器具、工具、消耗的农药、肥料等物料费用由中标方自行承担。配备肥料和农药的种类及用量标准应符合相关标准，最终以采购人结合实际情况制定的管养办法和标准为准。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（2）安全防范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种植管养期间游客众多，安全防范对于游客安全和田地效果至关重要。必要时增放大声公喇叭等扩音器，提示游人注意安全、保护环境及爱护美丽景观，做好护栏维护工作，保证游客不破坏。中标方要严格落实安全责任，抓细抓实观光农田管理，强化指挥调度，加强日常巡逻和人流引导，完善标志标识，确保农田安全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lang w:val="en-US" w:eastAsia="zh-CN"/>
        </w:rPr>
      </w:pPr>
      <w:r>
        <w:rPr>
          <w:rFonts w:hint="eastAsia" w:ascii="仿宋_GB2312" w:hAnsi="仿宋" w:eastAsia="仿宋_GB2312" w:cs="Times New Roman"/>
          <w:color w:val="auto"/>
          <w:sz w:val="32"/>
          <w:highlight w:val="none"/>
          <w:lang w:val="en-US" w:eastAsia="zh-CN"/>
        </w:rPr>
        <w:t>（3）卫生清洁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①卫生保洁范围：观光农田内的绿地、硬地及配套设施的清洁管理，包括：小道、设施（垃圾桶、坐凳、扶手、围栏、标识牌等）等的清扫保洁、擦拭和冲洗。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lang w:val="en-US" w:eastAsia="zh-CN"/>
        </w:rPr>
      </w:pPr>
      <w:r>
        <w:rPr>
          <w:rFonts w:hint="eastAsia" w:ascii="仿宋_GB2312" w:hAnsi="黑体" w:eastAsia="仿宋_GB2312"/>
          <w:sz w:val="32"/>
          <w:szCs w:val="32"/>
          <w:lang w:val="en-US" w:eastAsia="zh-CN"/>
        </w:rPr>
        <w:t>②</w:t>
      </w:r>
      <w:r>
        <w:rPr>
          <w:rFonts w:hint="eastAsia" w:ascii="仿宋_GB2312" w:hAnsi="仿宋" w:eastAsia="仿宋_GB2312" w:cs="Times New Roman"/>
          <w:color w:val="auto"/>
          <w:sz w:val="32"/>
          <w:highlight w:val="none"/>
          <w:lang w:val="en-US" w:eastAsia="zh-CN"/>
        </w:rPr>
        <w:t>保持园内田地无石头、纸屑、垃圾等杂物，及时清理绿化垃圾，及时清理乱涂写、乱张贴、乱悬挂等；发现鼠洞要随时堵塞，确保田地无鼠洞，无蚊蝇滋生地。园内小路两侧合理放置垃圾桶。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③加大卫生清洁力度，及时收集和运输垃圾，做到垃圾日产日清。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2</w:t>
      </w:r>
      <w:r>
        <w:rPr>
          <w:rFonts w:hint="eastAsia" w:ascii="仿宋_GB2312" w:hAnsi="仿宋_GB2312" w:eastAsia="仿宋_GB2312" w:cs="仿宋_GB2312"/>
          <w:sz w:val="32"/>
          <w:szCs w:val="32"/>
        </w:rPr>
        <w:t>、服务保障要求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黑体" w:eastAsia="仿宋_GB2312"/>
          <w:sz w:val="32"/>
          <w:szCs w:val="32"/>
          <w:lang w:val="en-US" w:eastAsia="zh-CN"/>
        </w:rPr>
        <w:t>①</w:t>
      </w:r>
      <w:r>
        <w:rPr>
          <w:rFonts w:hint="eastAsia" w:ascii="仿宋_GB2312" w:hAnsi="仿宋_GB2312" w:eastAsia="仿宋_GB2312" w:cs="仿宋_GB2312"/>
          <w:sz w:val="32"/>
          <w:szCs w:val="32"/>
        </w:rPr>
        <w:t>服务方需组建专属项目团队，配备种植、运营、工程、管理等专业人员，团队人员资质齐全、经验丰富，能全程响应项目服务需求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建立项目全流程管理制度，制定各模块服务操作手册、应急预案，确保服务标准化、规范化落地；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所有服务过程中产生的方案、记录、报告、影像等资料，需按要求及时整理归档，接受甲方定期检查与考核；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严格遵守</w:t>
      </w:r>
      <w:r>
        <w:rPr>
          <w:rFonts w:hint="eastAsia" w:ascii="仿宋_GB2312" w:hAnsi="仿宋_GB2312" w:eastAsia="仿宋_GB2312" w:cs="仿宋_GB2312"/>
          <w:sz w:val="32"/>
          <w:szCs w:val="32"/>
          <w:lang w:eastAsia="zh-CN"/>
        </w:rPr>
        <w:t>版画基地</w:t>
      </w:r>
      <w:r>
        <w:rPr>
          <w:rFonts w:hint="eastAsia" w:ascii="仿宋_GB2312" w:hAnsi="仿宋_GB2312" w:eastAsia="仿宋_GB2312" w:cs="仿宋_GB2312"/>
          <w:sz w:val="32"/>
          <w:szCs w:val="32"/>
        </w:rPr>
        <w:t>各项管理规定，服从甲方统一调度与管理，做好安全生产、生态保护等工作，杜绝安全事故与生态破坏行为。</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420" w:firstLineChars="200"/>
        <w:jc w:val="left"/>
        <w:rPr>
          <w:rFonts w:hint="eastAsia" w:ascii="仿宋_GB2312" w:hAnsi="仿宋_GB2312" w:eastAsia="仿宋_GB2312" w:cs="仿宋_GB2312"/>
          <w:sz w:val="32"/>
          <w:szCs w:val="32"/>
          <w:lang w:eastAsia="zh-CN"/>
        </w:rPr>
      </w:pPr>
      <w:r>
        <w:rPr>
          <w:rFonts w:hint="eastAsia"/>
          <w:lang w:val="en-US" w:eastAsia="zh-CN"/>
        </w:rPr>
        <w:t xml:space="preserve">  </w:t>
      </w:r>
      <w:r>
        <w:rPr>
          <w:rFonts w:hint="eastAsia" w:ascii="仿宋_GB2312" w:hAnsi="仿宋_GB2312" w:eastAsia="仿宋_GB2312" w:cs="仿宋_GB2312"/>
          <w:sz w:val="32"/>
          <w:szCs w:val="36"/>
          <w:lang w:val="en-US" w:eastAsia="zh-CN"/>
        </w:rPr>
        <w:t>51.1</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4"/>
        <w:tblpPr w:leftFromText="180" w:rightFromText="180" w:vertAnchor="text" w:horzAnchor="page" w:tblpX="1155" w:tblpY="627"/>
        <w:tblOverlap w:val="never"/>
        <w:tblW w:w="10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85"/>
        <w:gridCol w:w="2190"/>
        <w:gridCol w:w="3960"/>
        <w:gridCol w:w="115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top"/>
          </w:tcPr>
          <w:p>
            <w:pPr>
              <w:pStyle w:val="2"/>
              <w:spacing w:after="0" w:line="560" w:lineRule="exact"/>
              <w:ind w:left="0" w:leftChars="0" w:right="0" w:rightChars="0" w:firstLine="0" w:firstLineChars="0"/>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序号</w:t>
            </w:r>
          </w:p>
        </w:tc>
        <w:tc>
          <w:tcPr>
            <w:tcW w:w="1485" w:type="dxa"/>
            <w:noWrap w:val="0"/>
            <w:vAlign w:val="top"/>
          </w:tcPr>
          <w:p>
            <w:pPr>
              <w:pStyle w:val="2"/>
              <w:spacing w:after="0" w:line="560" w:lineRule="exact"/>
              <w:ind w:left="0" w:leftChars="0" w:right="0" w:rightChars="0" w:firstLine="0" w:firstLineChars="0"/>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eastAsia="zh-CN"/>
              </w:rPr>
              <w:t>项目</w:t>
            </w:r>
            <w:r>
              <w:rPr>
                <w:rFonts w:hint="eastAsia" w:ascii="仿宋_GB2312" w:hAnsi="仿宋_GB2312" w:eastAsia="仿宋_GB2312" w:cs="仿宋_GB2312"/>
                <w:b/>
                <w:bCs/>
                <w:sz w:val="32"/>
                <w:szCs w:val="32"/>
                <w:vertAlign w:val="baseline"/>
                <w:lang w:val="en-US" w:eastAsia="zh-CN"/>
              </w:rPr>
              <w:t>内容</w:t>
            </w:r>
          </w:p>
        </w:tc>
        <w:tc>
          <w:tcPr>
            <w:tcW w:w="2190" w:type="dxa"/>
            <w:noWrap w:val="0"/>
            <w:vAlign w:val="top"/>
          </w:tcPr>
          <w:p>
            <w:pPr>
              <w:pStyle w:val="2"/>
              <w:spacing w:after="0" w:line="560" w:lineRule="exact"/>
              <w:ind w:left="0" w:leftChars="0" w:right="0" w:rightChars="0" w:firstLine="0" w:firstLineChars="0"/>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项目需求</w:t>
            </w:r>
          </w:p>
        </w:tc>
        <w:tc>
          <w:tcPr>
            <w:tcW w:w="3960" w:type="dxa"/>
            <w:noWrap w:val="0"/>
            <w:vAlign w:val="top"/>
          </w:tcPr>
          <w:p>
            <w:pPr>
              <w:pStyle w:val="2"/>
              <w:spacing w:after="0" w:line="560" w:lineRule="exact"/>
              <w:ind w:left="0" w:leftChars="0" w:right="0" w:rightChars="0" w:firstLine="0" w:firstLineChars="0"/>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具体内容</w:t>
            </w:r>
          </w:p>
        </w:tc>
        <w:tc>
          <w:tcPr>
            <w:tcW w:w="1155" w:type="dxa"/>
            <w:noWrap w:val="0"/>
            <w:vAlign w:val="top"/>
          </w:tcPr>
          <w:p>
            <w:pPr>
              <w:pStyle w:val="2"/>
              <w:spacing w:after="0" w:line="560" w:lineRule="exact"/>
              <w:ind w:left="0" w:leftChars="0" w:right="0" w:rightChars="0" w:firstLine="0" w:firstLineChars="0"/>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单位</w:t>
            </w:r>
          </w:p>
        </w:tc>
        <w:tc>
          <w:tcPr>
            <w:tcW w:w="1200" w:type="dxa"/>
            <w:noWrap w:val="0"/>
            <w:vAlign w:val="top"/>
          </w:tcPr>
          <w:p>
            <w:pPr>
              <w:pStyle w:val="2"/>
              <w:spacing w:after="0" w:line="560" w:lineRule="exact"/>
              <w:ind w:left="0" w:leftChars="0" w:right="0" w:rightChars="0" w:firstLine="0" w:firstLineChars="0"/>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61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4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观光农田种植管理</w:t>
            </w:r>
          </w:p>
        </w:tc>
        <w:tc>
          <w:tcPr>
            <w:tcW w:w="2190"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粮油作物或蔬菜作物种植期（第一期）</w:t>
            </w:r>
          </w:p>
        </w:tc>
        <w:tc>
          <w:tcPr>
            <w:tcW w:w="3960"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1.土地平整与标准化改造：对观光农田进行平整与土地改良，要求不得破坏耕作层；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2.良种采购与播种：包含但不限于播种、育苗、移栽、养护、铲除、清理、清运，种植的作物类型符合永久基本农田的相关要求，要求整体幼苗成活率达95%以上，需配置日常管养服务人员；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观光农田主题氛围营造：做好种植主题策划及自种经济作物免费向游客发放工作，要求服务期内开展大规模种植至少2次，并且设置相应的生物科普教育区域，展示、介绍农作物，传递生态保护、低碳发展理念，经济作物发放要求规则公开透明、流程便捷高效，兼顾游客参与感与体验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4.生态药肥采购与使用：使用的肥料、农药、植物生长调节剂等农业投入品以及农业灌溉用水，应当符合有关强制性标准或者技术规范，鼓励施用有机肥料；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5.田间日常管护：包含日常除草、翻地、基肥、施肥、病虫害防治等工作；做好安全防范、卫生清洁、作物保护工作，例如增设扩音设备，组织工作人员巡逻和卫生清扫等。</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12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10" w:type="dxa"/>
            <w:vMerge w:val="continue"/>
            <w:noWrap w:val="0"/>
            <w:vAlign w:val="center"/>
          </w:tcPr>
          <w:p>
            <w:pPr>
              <w:jc w:val="center"/>
              <w:rPr>
                <w:rFonts w:hint="eastAsia" w:ascii="仿宋_GB2312" w:hAnsi="仿宋_GB2312" w:eastAsia="仿宋_GB2312" w:cs="仿宋_GB2312"/>
                <w:sz w:val="24"/>
                <w:szCs w:val="24"/>
                <w:lang w:val="en-US" w:eastAsia="zh-CN"/>
              </w:rPr>
            </w:pPr>
          </w:p>
        </w:tc>
        <w:tc>
          <w:tcPr>
            <w:tcW w:w="1485" w:type="dxa"/>
            <w:vMerge w:val="continue"/>
            <w:noWrap w:val="0"/>
            <w:vAlign w:val="center"/>
          </w:tcPr>
          <w:p>
            <w:pPr>
              <w:jc w:val="center"/>
              <w:rPr>
                <w:rFonts w:hint="eastAsia" w:ascii="仿宋_GB2312" w:hAnsi="仿宋_GB2312" w:eastAsia="仿宋_GB2312" w:cs="仿宋_GB2312"/>
                <w:sz w:val="24"/>
                <w:szCs w:val="24"/>
                <w:lang w:eastAsia="zh-CN"/>
              </w:rPr>
            </w:pPr>
          </w:p>
        </w:tc>
        <w:tc>
          <w:tcPr>
            <w:tcW w:w="2190"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粮油作物或蔬菜作物种植期（第二期）</w:t>
            </w:r>
          </w:p>
        </w:tc>
        <w:tc>
          <w:tcPr>
            <w:tcW w:w="3960" w:type="dxa"/>
            <w:vMerge w:val="continue"/>
            <w:noWrap w:val="0"/>
            <w:vAlign w:val="center"/>
          </w:tcPr>
          <w:p>
            <w:pPr>
              <w:jc w:val="left"/>
              <w:rPr>
                <w:rFonts w:hint="eastAsia" w:ascii="仿宋_GB2312" w:hAnsi="仿宋_GB2312" w:eastAsia="仿宋_GB2312" w:cs="仿宋_GB2312"/>
                <w:sz w:val="24"/>
                <w:szCs w:val="24"/>
                <w:lang w:val="en-US" w:eastAsia="zh-CN"/>
              </w:rPr>
            </w:pP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12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18500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Merge w:val="continue"/>
            <w:noWrap w:val="0"/>
            <w:vAlign w:val="center"/>
          </w:tcPr>
          <w:p>
            <w:pPr>
              <w:jc w:val="center"/>
              <w:rPr>
                <w:rFonts w:hint="eastAsia" w:ascii="仿宋_GB2312" w:hAnsi="仿宋_GB2312" w:eastAsia="仿宋_GB2312" w:cs="仿宋_GB2312"/>
                <w:sz w:val="24"/>
                <w:szCs w:val="24"/>
                <w:lang w:val="en-US" w:eastAsia="zh-CN"/>
              </w:rPr>
            </w:pPr>
          </w:p>
        </w:tc>
        <w:tc>
          <w:tcPr>
            <w:tcW w:w="1485" w:type="dxa"/>
            <w:vMerge w:val="continue"/>
            <w:noWrap w:val="0"/>
            <w:vAlign w:val="center"/>
          </w:tcPr>
          <w:p>
            <w:pPr>
              <w:jc w:val="center"/>
              <w:rPr>
                <w:rFonts w:hint="eastAsia" w:ascii="仿宋_GB2312" w:hAnsi="仿宋_GB2312" w:eastAsia="仿宋_GB2312" w:cs="仿宋_GB2312"/>
                <w:sz w:val="24"/>
                <w:szCs w:val="24"/>
                <w:lang w:eastAsia="zh-CN"/>
              </w:rPr>
            </w:pPr>
          </w:p>
        </w:tc>
        <w:tc>
          <w:tcPr>
            <w:tcW w:w="2190"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2026年APEC会议时期</w:t>
            </w:r>
          </w:p>
        </w:tc>
        <w:tc>
          <w:tcPr>
            <w:tcW w:w="3960" w:type="dxa"/>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1.2026年APEC会议期间，种植观赏性强的经济作物（如油菜花、波斯菊、向日葵等），种植密度不低于4株/平方米，成熟时高于80cm。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2.土地平整与标准化改造：对观光农田进行平整与土地改良，要求不得破坏耕作层；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3.良种采购与播种：包含但不限于播种、育苗、移栽、养护、铲除、清理、清运，种植的作物类型符合永久基本农田的相关要求，要求整体幼苗成活率达95%以上，需配置日常管养服务人员；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4.APEC主题氛围营造：做好</w:t>
            </w:r>
            <w:r>
              <w:rPr>
                <w:rStyle w:val="21"/>
                <w:rFonts w:hint="eastAsia" w:ascii="仿宋_GB2312" w:hAnsi="仿宋_GB2312" w:eastAsia="仿宋_GB2312" w:cs="仿宋_GB2312"/>
                <w:sz w:val="24"/>
                <w:szCs w:val="24"/>
                <w:lang w:val="en-US" w:eastAsia="zh-CN" w:bidi="ar"/>
              </w:rPr>
              <w:t>APEC种植主题策划</w:t>
            </w:r>
            <w:r>
              <w:rPr>
                <w:rStyle w:val="22"/>
                <w:rFonts w:hint="eastAsia" w:ascii="仿宋_GB2312" w:hAnsi="仿宋_GB2312" w:eastAsia="仿宋_GB2312" w:cs="仿宋_GB2312"/>
                <w:sz w:val="24"/>
                <w:szCs w:val="24"/>
                <w:lang w:val="en-US" w:eastAsia="zh-CN" w:bidi="ar"/>
              </w:rPr>
              <w:t>及自种经济作物免费向游客发放工作，</w:t>
            </w:r>
            <w:r>
              <w:rPr>
                <w:rStyle w:val="21"/>
                <w:rFonts w:hint="eastAsia" w:ascii="仿宋_GB2312" w:hAnsi="仿宋_GB2312" w:eastAsia="仿宋_GB2312" w:cs="仿宋_GB2312"/>
                <w:sz w:val="24"/>
                <w:szCs w:val="24"/>
                <w:lang w:val="en-US" w:eastAsia="zh-CN" w:bidi="ar"/>
              </w:rPr>
              <w:t>确保会议期间作物成景、长势良好，观赏效果好，</w:t>
            </w:r>
            <w:r>
              <w:rPr>
                <w:rStyle w:val="22"/>
                <w:rFonts w:hint="eastAsia" w:ascii="仿宋_GB2312" w:hAnsi="仿宋_GB2312" w:eastAsia="仿宋_GB2312" w:cs="仿宋_GB2312"/>
                <w:sz w:val="24"/>
                <w:szCs w:val="24"/>
                <w:lang w:val="en-US" w:eastAsia="zh-CN" w:bidi="ar"/>
              </w:rPr>
              <w:t>并且设置相应的生物科普教育区域，展示、介绍农作物，传递生态保护、低碳发展理念，经济作物发放要求规则公开透明、流程便捷高效，兼顾游客参与感与体验感；</w:t>
            </w:r>
            <w:r>
              <w:rPr>
                <w:rStyle w:val="22"/>
                <w:rFonts w:hint="eastAsia" w:ascii="仿宋_GB2312" w:hAnsi="仿宋_GB2312" w:eastAsia="仿宋_GB2312" w:cs="仿宋_GB2312"/>
                <w:sz w:val="24"/>
                <w:szCs w:val="24"/>
                <w:lang w:val="en-US" w:eastAsia="zh-CN" w:bidi="ar"/>
              </w:rPr>
              <w:br w:type="textWrapping"/>
            </w:r>
            <w:r>
              <w:rPr>
                <w:rStyle w:val="22"/>
                <w:rFonts w:hint="eastAsia" w:ascii="仿宋_GB2312" w:hAnsi="仿宋_GB2312" w:eastAsia="仿宋_GB2312" w:cs="仿宋_GB2312"/>
                <w:sz w:val="24"/>
                <w:szCs w:val="24"/>
                <w:lang w:val="en-US" w:eastAsia="zh-CN" w:bidi="ar"/>
              </w:rPr>
              <w:t>5.生态药肥采购与使用：使用的肥料、农药、植物生长调节剂等农业投入品以及农业灌溉用水，应当符合有关强制性标准或者技术规范，鼓励施用有机肥料；</w:t>
            </w:r>
            <w:r>
              <w:rPr>
                <w:rStyle w:val="22"/>
                <w:rFonts w:hint="eastAsia" w:ascii="仿宋_GB2312" w:hAnsi="仿宋_GB2312" w:eastAsia="仿宋_GB2312" w:cs="仿宋_GB2312"/>
                <w:sz w:val="24"/>
                <w:szCs w:val="24"/>
                <w:lang w:val="en-US" w:eastAsia="zh-CN" w:bidi="ar"/>
              </w:rPr>
              <w:br w:type="textWrapping"/>
            </w:r>
            <w:r>
              <w:rPr>
                <w:rStyle w:val="22"/>
                <w:rFonts w:hint="eastAsia" w:ascii="仿宋_GB2312" w:hAnsi="仿宋_GB2312" w:eastAsia="仿宋_GB2312" w:cs="仿宋_GB2312"/>
                <w:sz w:val="24"/>
                <w:szCs w:val="24"/>
                <w:lang w:val="en-US" w:eastAsia="zh-CN" w:bidi="ar"/>
              </w:rPr>
              <w:t>6.田间日常管护：包含日常除草、翻地、基肥、施肥、病虫害防治等工作；做好安全防范、卫生清洁、作物保护工作，例如增设扩音设备，组织工作人员巡逻和卫生清扫等。</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12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18500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4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生态排水沟渠修筑</w:t>
            </w:r>
          </w:p>
        </w:tc>
        <w:tc>
          <w:tcPr>
            <w:tcW w:w="6150" w:type="dxa"/>
            <w:gridSpan w:val="2"/>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1.开挖至少上宽60cm、下宽30cm、深40cm的梯形土质沟渠，并对沟底及边坡进行素土夯实。</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2.打造一个“水质洁净、安全可亲、充满生态趣味”的活力亲水空间。具体实现目标如下：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（1）水质目标：确保改造后水体水质主要指标稳定达到国家相关文件标准，视觉感官清澈。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（2）生态目标：构建良性循环的水生态系统，实现水体“流水不腐”的活水状态。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（3）安全目标：全方位保障亲水活动的人身安全，无安全隐患。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（4）体验目标：提供安全、有趣的亲水互动体验，重点包括涉水嬉戏、自然观察与生态捕捞（如抓泥鳅或捞鱼）等。</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延米</w:t>
            </w:r>
          </w:p>
        </w:tc>
        <w:tc>
          <w:tcPr>
            <w:tcW w:w="12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3</w:t>
            </w:r>
          </w:p>
        </w:tc>
        <w:tc>
          <w:tcPr>
            <w:tcW w:w="148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隔离设施增设</w:t>
            </w:r>
          </w:p>
        </w:tc>
        <w:tc>
          <w:tcPr>
            <w:tcW w:w="6150" w:type="dxa"/>
            <w:gridSpan w:val="2"/>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1.生态复合型围栏：建造以防腐木为骨架的篱笆墙，高度不低于1.2米，总长度不少于500米。</w:t>
            </w:r>
            <w:r>
              <w:rPr>
                <w:rFonts w:hint="default" w:ascii="仿宋_GB2312" w:hAnsi="仿宋_GB2312" w:eastAsia="仿宋_GB2312" w:cs="仿宋_GB2312"/>
                <w:i w:val="0"/>
                <w:iCs w:val="0"/>
                <w:color w:val="000000"/>
                <w:kern w:val="0"/>
                <w:sz w:val="24"/>
                <w:szCs w:val="24"/>
                <w:u w:val="none"/>
                <w:lang w:val="en-US" w:eastAsia="zh-CN" w:bidi="ar"/>
              </w:rPr>
              <w:br w:type="textWrapping"/>
            </w:r>
            <w:r>
              <w:rPr>
                <w:rFonts w:hint="default" w:ascii="仿宋_GB2312" w:hAnsi="仿宋_GB2312" w:eastAsia="仿宋_GB2312" w:cs="仿宋_GB2312"/>
                <w:i w:val="0"/>
                <w:iCs w:val="0"/>
                <w:color w:val="000000"/>
                <w:kern w:val="0"/>
                <w:sz w:val="24"/>
                <w:szCs w:val="24"/>
                <w:u w:val="none"/>
                <w:lang w:val="en-US" w:eastAsia="zh-CN" w:bidi="ar"/>
              </w:rPr>
              <w:t>2.绿植系统：沿篱笆间隔种植攀援及高杆植物幼苗，形成天然植物墙。</w:t>
            </w:r>
            <w:r>
              <w:rPr>
                <w:rFonts w:hint="default" w:ascii="仿宋_GB2312" w:hAnsi="仿宋_GB2312" w:eastAsia="仿宋_GB2312" w:cs="仿宋_GB2312"/>
                <w:i w:val="0"/>
                <w:iCs w:val="0"/>
                <w:color w:val="000000"/>
                <w:kern w:val="0"/>
                <w:sz w:val="24"/>
                <w:szCs w:val="24"/>
                <w:u w:val="none"/>
                <w:lang w:val="en-US" w:eastAsia="zh-CN" w:bidi="ar"/>
              </w:rPr>
              <w:br w:type="textWrapping"/>
            </w:r>
            <w:r>
              <w:rPr>
                <w:rFonts w:hint="default" w:ascii="仿宋_GB2312" w:hAnsi="仿宋_GB2312" w:eastAsia="仿宋_GB2312" w:cs="仿宋_GB2312"/>
                <w:i w:val="0"/>
                <w:iCs w:val="0"/>
                <w:color w:val="000000"/>
                <w:kern w:val="0"/>
                <w:sz w:val="24"/>
                <w:szCs w:val="24"/>
                <w:u w:val="none"/>
                <w:lang w:val="en-US" w:eastAsia="zh-CN" w:bidi="ar"/>
              </w:rPr>
              <w:t>3.界桩：在转角及关键节点设置预制混凝土景观界桩。</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项</w:t>
            </w:r>
          </w:p>
        </w:tc>
        <w:tc>
          <w:tcPr>
            <w:tcW w:w="12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4</w:t>
            </w:r>
          </w:p>
        </w:tc>
        <w:tc>
          <w:tcPr>
            <w:tcW w:w="148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标识系统提升增设</w:t>
            </w:r>
          </w:p>
        </w:tc>
        <w:tc>
          <w:tcPr>
            <w:tcW w:w="6150" w:type="dxa"/>
            <w:gridSpan w:val="2"/>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1.效果要求：打造与观光农田自然风光和谐共生、兼具艺术美感与清晰功能性的标识系统，达到形象融合、数量达标、品质提升、标识功能完善的效果,设计方案需征得甲方同意。</w:t>
            </w:r>
            <w:r>
              <w:rPr>
                <w:rFonts w:hint="default" w:ascii="仿宋_GB2312" w:hAnsi="仿宋_GB2312" w:eastAsia="仿宋_GB2312" w:cs="仿宋_GB2312"/>
                <w:i w:val="0"/>
                <w:iCs w:val="0"/>
                <w:color w:val="000000"/>
                <w:kern w:val="0"/>
                <w:sz w:val="24"/>
                <w:szCs w:val="24"/>
                <w:u w:val="none"/>
                <w:lang w:val="en-US" w:eastAsia="zh-CN" w:bidi="ar"/>
              </w:rPr>
              <w:br w:type="textWrapping"/>
            </w:r>
            <w:r>
              <w:rPr>
                <w:rFonts w:hint="default" w:ascii="仿宋_GB2312" w:hAnsi="仿宋_GB2312" w:eastAsia="仿宋_GB2312" w:cs="仿宋_GB2312"/>
                <w:i w:val="0"/>
                <w:iCs w:val="0"/>
                <w:color w:val="000000"/>
                <w:kern w:val="0"/>
                <w:sz w:val="24"/>
                <w:szCs w:val="24"/>
                <w:u w:val="none"/>
                <w:lang w:val="en-US" w:eastAsia="zh-CN" w:bidi="ar"/>
              </w:rPr>
              <w:t>2.规格要求：增设标识牌总数不少于30个。</w:t>
            </w:r>
            <w:r>
              <w:rPr>
                <w:rFonts w:hint="default" w:ascii="仿宋_GB2312" w:hAnsi="仿宋_GB2312" w:eastAsia="仿宋_GB2312" w:cs="仿宋_GB2312"/>
                <w:i w:val="0"/>
                <w:iCs w:val="0"/>
                <w:color w:val="000000"/>
                <w:kern w:val="0"/>
                <w:sz w:val="24"/>
                <w:szCs w:val="24"/>
                <w:u w:val="none"/>
                <w:lang w:val="en-US" w:eastAsia="zh-CN" w:bidi="ar"/>
              </w:rPr>
              <w:br w:type="textWrapping"/>
            </w:r>
            <w:r>
              <w:rPr>
                <w:rFonts w:hint="default" w:ascii="仿宋_GB2312" w:hAnsi="仿宋_GB2312" w:eastAsia="仿宋_GB2312" w:cs="仿宋_GB2312"/>
                <w:i w:val="0"/>
                <w:iCs w:val="0"/>
                <w:color w:val="000000"/>
                <w:kern w:val="0"/>
                <w:sz w:val="24"/>
                <w:szCs w:val="24"/>
                <w:u w:val="none"/>
                <w:lang w:val="en-US" w:eastAsia="zh-CN" w:bidi="ar"/>
              </w:rPr>
              <w:t>3.材质要求：选用自然耐久材质（如防腐木、不锈钢、环保树脂等），能长期耐受户外日晒雨淋、防霉防腐；图文处理工艺（如丝印、雕刻、UV打印等）保证清晰、耐久、不褪色。安装结构稳固、安全，符合相关建筑与结构安全规范。</w:t>
            </w:r>
            <w:r>
              <w:rPr>
                <w:rFonts w:hint="default" w:ascii="仿宋_GB2312" w:hAnsi="仿宋_GB2312" w:eastAsia="仿宋_GB2312" w:cs="仿宋_GB2312"/>
                <w:i w:val="0"/>
                <w:iCs w:val="0"/>
                <w:color w:val="000000"/>
                <w:kern w:val="0"/>
                <w:sz w:val="24"/>
                <w:szCs w:val="24"/>
                <w:u w:val="none"/>
                <w:lang w:val="en-US" w:eastAsia="zh-CN" w:bidi="ar"/>
              </w:rPr>
              <w:br w:type="textWrapping"/>
            </w:r>
            <w:r>
              <w:rPr>
                <w:rFonts w:hint="default" w:ascii="仿宋_GB2312" w:hAnsi="仿宋_GB2312" w:eastAsia="仿宋_GB2312" w:cs="仿宋_GB2312"/>
                <w:i w:val="0"/>
                <w:iCs w:val="0"/>
                <w:color w:val="000000"/>
                <w:kern w:val="0"/>
                <w:sz w:val="24"/>
                <w:szCs w:val="24"/>
                <w:u w:val="none"/>
                <w:lang w:val="en-US" w:eastAsia="zh-CN" w:bidi="ar"/>
              </w:rPr>
              <w:t>4.标识类型要求：包括但不限于温馨提示牌、安全警示牌、行为规范牌、出入口标志等。</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个</w:t>
            </w:r>
          </w:p>
        </w:tc>
        <w:tc>
          <w:tcPr>
            <w:tcW w:w="12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5</w:t>
            </w:r>
          </w:p>
        </w:tc>
        <w:tc>
          <w:tcPr>
            <w:tcW w:w="148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垃圾桶增设</w:t>
            </w:r>
          </w:p>
        </w:tc>
        <w:tc>
          <w:tcPr>
            <w:tcW w:w="6150" w:type="dxa"/>
            <w:gridSpan w:val="2"/>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1.效果要求：打造与观光农田自然风光和谐共生、兼具艺术美感的垃圾桶,设计方案需征得甲方同意。</w:t>
            </w:r>
            <w:r>
              <w:rPr>
                <w:rFonts w:hint="default" w:ascii="仿宋_GB2312" w:hAnsi="仿宋_GB2312" w:eastAsia="仿宋_GB2312" w:cs="仿宋_GB2312"/>
                <w:i w:val="0"/>
                <w:iCs w:val="0"/>
                <w:color w:val="000000"/>
                <w:kern w:val="0"/>
                <w:sz w:val="24"/>
                <w:szCs w:val="24"/>
                <w:u w:val="none"/>
                <w:lang w:val="en-US" w:eastAsia="zh-CN" w:bidi="ar"/>
              </w:rPr>
              <w:br w:type="textWrapping"/>
            </w:r>
            <w:r>
              <w:rPr>
                <w:rFonts w:hint="default" w:ascii="仿宋_GB2312" w:hAnsi="仿宋_GB2312" w:eastAsia="仿宋_GB2312" w:cs="仿宋_GB2312"/>
                <w:i w:val="0"/>
                <w:iCs w:val="0"/>
                <w:color w:val="000000"/>
                <w:kern w:val="0"/>
                <w:sz w:val="24"/>
                <w:szCs w:val="24"/>
                <w:u w:val="none"/>
                <w:lang w:val="en-US" w:eastAsia="zh-CN" w:bidi="ar"/>
              </w:rPr>
              <w:t>2.规格要求：单个内胆容量不少于40升，内胆数不少于40个，垃圾桶数量不少于20个（按照一个</w:t>
            </w:r>
            <w:r>
              <w:rPr>
                <w:rFonts w:hint="eastAsia" w:ascii="仿宋_GB2312" w:hAnsi="仿宋_GB2312" w:eastAsia="仿宋_GB2312" w:cs="仿宋_GB2312"/>
                <w:i w:val="0"/>
                <w:iCs w:val="0"/>
                <w:color w:val="000000"/>
                <w:kern w:val="0"/>
                <w:sz w:val="24"/>
                <w:szCs w:val="24"/>
                <w:u w:val="none"/>
                <w:lang w:val="en-US" w:eastAsia="zh-CN" w:bidi="ar"/>
              </w:rPr>
              <w:t>垃圾桶主体</w:t>
            </w:r>
            <w:r>
              <w:rPr>
                <w:rFonts w:hint="default" w:ascii="仿宋_GB2312" w:hAnsi="仿宋_GB2312" w:eastAsia="仿宋_GB2312" w:cs="仿宋_GB2312"/>
                <w:i w:val="0"/>
                <w:iCs w:val="0"/>
                <w:color w:val="000000"/>
                <w:kern w:val="0"/>
                <w:sz w:val="24"/>
                <w:szCs w:val="24"/>
                <w:u w:val="none"/>
                <w:lang w:val="en-US" w:eastAsia="zh-CN" w:bidi="ar"/>
              </w:rPr>
              <w:t>配置两个内胆的形式）。</w:t>
            </w:r>
            <w:r>
              <w:rPr>
                <w:rFonts w:hint="default" w:ascii="仿宋_GB2312" w:hAnsi="仿宋_GB2312" w:eastAsia="仿宋_GB2312" w:cs="仿宋_GB2312"/>
                <w:i w:val="0"/>
                <w:iCs w:val="0"/>
                <w:color w:val="000000"/>
                <w:kern w:val="0"/>
                <w:sz w:val="24"/>
                <w:szCs w:val="24"/>
                <w:u w:val="none"/>
                <w:lang w:val="en-US" w:eastAsia="zh-CN" w:bidi="ar"/>
              </w:rPr>
              <w:br w:type="textWrapping"/>
            </w:r>
            <w:r>
              <w:rPr>
                <w:rFonts w:hint="default" w:ascii="仿宋_GB2312" w:hAnsi="仿宋_GB2312" w:eastAsia="仿宋_GB2312" w:cs="仿宋_GB2312"/>
                <w:i w:val="0"/>
                <w:iCs w:val="0"/>
                <w:color w:val="000000"/>
                <w:kern w:val="0"/>
                <w:sz w:val="24"/>
                <w:szCs w:val="24"/>
                <w:u w:val="none"/>
                <w:lang w:val="en-US" w:eastAsia="zh-CN" w:bidi="ar"/>
              </w:rPr>
              <w:t>（1）主体：选用自然耐久材质（如防腐木、不锈钢、环保树脂等），能长期耐受户外日晒雨淋、防霉防腐。</w:t>
            </w:r>
            <w:r>
              <w:rPr>
                <w:rFonts w:hint="default" w:ascii="仿宋_GB2312" w:hAnsi="仿宋_GB2312" w:eastAsia="仿宋_GB2312" w:cs="仿宋_GB2312"/>
                <w:i w:val="0"/>
                <w:iCs w:val="0"/>
                <w:color w:val="000000"/>
                <w:kern w:val="0"/>
                <w:sz w:val="24"/>
                <w:szCs w:val="24"/>
                <w:u w:val="none"/>
                <w:lang w:val="en-US" w:eastAsia="zh-CN" w:bidi="ar"/>
              </w:rPr>
              <w:br w:type="textWrapping"/>
            </w:r>
            <w:r>
              <w:rPr>
                <w:rFonts w:hint="default" w:ascii="仿宋_GB2312" w:hAnsi="仿宋_GB2312" w:eastAsia="仿宋_GB2312" w:cs="仿宋_GB2312"/>
                <w:i w:val="0"/>
                <w:iCs w:val="0"/>
                <w:color w:val="000000"/>
                <w:kern w:val="0"/>
                <w:sz w:val="24"/>
                <w:szCs w:val="24"/>
                <w:u w:val="none"/>
                <w:lang w:val="en-US" w:eastAsia="zh-CN" w:bidi="ar"/>
              </w:rPr>
              <w:t>（2）内胆：镀锌钢板或高密度塑料，可抽拉式设计，便于清洁。</w:t>
            </w:r>
            <w:r>
              <w:rPr>
                <w:rFonts w:hint="default" w:ascii="仿宋_GB2312" w:hAnsi="仿宋_GB2312" w:eastAsia="仿宋_GB2312" w:cs="仿宋_GB2312"/>
                <w:i w:val="0"/>
                <w:iCs w:val="0"/>
                <w:color w:val="000000"/>
                <w:kern w:val="0"/>
                <w:sz w:val="24"/>
                <w:szCs w:val="24"/>
                <w:u w:val="none"/>
                <w:lang w:val="en-US" w:eastAsia="zh-CN" w:bidi="ar"/>
              </w:rPr>
              <w:br w:type="textWrapping"/>
            </w:r>
            <w:r>
              <w:rPr>
                <w:rFonts w:hint="default" w:ascii="仿宋_GB2312" w:hAnsi="仿宋_GB2312" w:eastAsia="仿宋_GB2312" w:cs="仿宋_GB2312"/>
                <w:i w:val="0"/>
                <w:iCs w:val="0"/>
                <w:color w:val="000000"/>
                <w:kern w:val="0"/>
                <w:sz w:val="24"/>
                <w:szCs w:val="24"/>
                <w:u w:val="none"/>
                <w:lang w:val="en-US" w:eastAsia="zh-CN" w:bidi="ar"/>
              </w:rPr>
              <w:t>3.分类要求：至少分为“可回收物”与“其他垃圾”两类，标识图案清晰易懂。</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个</w:t>
            </w:r>
          </w:p>
        </w:tc>
        <w:tc>
          <w:tcPr>
            <w:tcW w:w="12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6</w:t>
            </w:r>
          </w:p>
        </w:tc>
        <w:tc>
          <w:tcPr>
            <w:tcW w:w="1485" w:type="dxa"/>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田间灌溉管网设施建设</w:t>
            </w:r>
          </w:p>
        </w:tc>
        <w:tc>
          <w:tcPr>
            <w:tcW w:w="6150" w:type="dxa"/>
            <w:gridSpan w:val="2"/>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对版画基地农田现有灌溉设施进行全面排查，制定科学的升级改造方案，适配基本农田种植的灌溉需求，设施应当力求简易、安全、实用，以易拆除、便于恢复农业生产条件为标准，同时提升灌溉效率、节水效果与设施稳定性。其中，主干管网长度不少于800米，田间支管与毛管长度不少于3000米。</w:t>
            </w:r>
            <w:r>
              <w:rPr>
                <w:rFonts w:hint="default" w:ascii="仿宋_GB2312" w:hAnsi="仿宋_GB2312" w:eastAsia="仿宋_GB2312" w:cs="仿宋_GB2312"/>
                <w:i w:val="0"/>
                <w:iCs w:val="0"/>
                <w:color w:val="000000"/>
                <w:kern w:val="0"/>
                <w:sz w:val="24"/>
                <w:szCs w:val="24"/>
                <w:u w:val="none"/>
                <w:lang w:val="en-US" w:eastAsia="zh-CN" w:bidi="ar"/>
              </w:rPr>
              <w:br w:type="textWrapping"/>
            </w:r>
            <w:r>
              <w:rPr>
                <w:rFonts w:hint="default" w:ascii="仿宋_GB2312" w:hAnsi="仿宋_GB2312" w:eastAsia="仿宋_GB2312" w:cs="仿宋_GB2312"/>
                <w:i w:val="0"/>
                <w:iCs w:val="0"/>
                <w:color w:val="000000"/>
                <w:kern w:val="0"/>
                <w:sz w:val="24"/>
                <w:szCs w:val="24"/>
                <w:u w:val="none"/>
                <w:lang w:val="en-US" w:eastAsia="zh-CN" w:bidi="ar"/>
              </w:rPr>
              <w:t>2.灌溉管网设施包括但不限于：首部枢纽系统、主干管网、田间支管与毛管、智能控制系统设备等。</w:t>
            </w:r>
            <w:r>
              <w:rPr>
                <w:rFonts w:hint="default" w:ascii="仿宋_GB2312" w:hAnsi="仿宋_GB2312" w:eastAsia="仿宋_GB2312" w:cs="仿宋_GB2312"/>
                <w:i w:val="0"/>
                <w:iCs w:val="0"/>
                <w:color w:val="000000"/>
                <w:kern w:val="0"/>
                <w:sz w:val="24"/>
                <w:szCs w:val="24"/>
                <w:u w:val="none"/>
                <w:lang w:val="en-US" w:eastAsia="zh-CN" w:bidi="ar"/>
              </w:rPr>
              <w:br w:type="textWrapping"/>
            </w:r>
            <w:r>
              <w:rPr>
                <w:rFonts w:hint="default" w:ascii="仿宋_GB2312" w:hAnsi="仿宋_GB2312" w:eastAsia="仿宋_GB2312" w:cs="仿宋_GB2312"/>
                <w:i w:val="0"/>
                <w:iCs w:val="0"/>
                <w:color w:val="000000"/>
                <w:kern w:val="0"/>
                <w:sz w:val="24"/>
                <w:szCs w:val="24"/>
                <w:u w:val="none"/>
                <w:lang w:val="en-US" w:eastAsia="zh-CN" w:bidi="ar"/>
              </w:rPr>
              <w:t>3.所有管网、设备、控制系统的安装、连接、冲洗、压力测试及联动编程调试。</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米</w:t>
            </w:r>
          </w:p>
        </w:tc>
        <w:tc>
          <w:tcPr>
            <w:tcW w:w="12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7</w:t>
            </w:r>
          </w:p>
        </w:tc>
        <w:tc>
          <w:tcPr>
            <w:tcW w:w="1485" w:type="dxa"/>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土壤及种植作物第三方检测服务</w:t>
            </w:r>
          </w:p>
        </w:tc>
        <w:tc>
          <w:tcPr>
            <w:tcW w:w="6150" w:type="dxa"/>
            <w:gridSpan w:val="2"/>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土壤检测：委托具备CMA/CNAS正规认证的第三方检测机构，开展土壤质量检测，并出具正式合格检测报告。土壤检测每年至少1次，检测指标包含但不限于土壤肥力、重金属含量、酸碱度等。</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份</w:t>
            </w:r>
          </w:p>
        </w:tc>
        <w:tc>
          <w:tcPr>
            <w:tcW w:w="120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Merge w:val="continue"/>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1485" w:type="dxa"/>
            <w:vMerge w:val="continue"/>
            <w:noWrap w:val="0"/>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6150" w:type="dxa"/>
            <w:gridSpan w:val="2"/>
            <w:noWrap w:val="0"/>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作物检测：委托具备CMA/CNAS正规认证的第三方检测机构，开展种植作物质量检测，并出具正式合格检测报告。覆盖主要种植品类，在生长期内至少开展2次，检测指标包含但不限于农药残留、重金属、营养成分等。</w:t>
            </w:r>
          </w:p>
        </w:tc>
        <w:tc>
          <w:tcPr>
            <w:tcW w:w="1155"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份</w:t>
            </w:r>
          </w:p>
        </w:tc>
        <w:tc>
          <w:tcPr>
            <w:tcW w:w="120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600" w:type="dxa"/>
            <w:gridSpan w:val="6"/>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投标价格（万元）：</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仿宋_GB2312" w:hAnsi="仿宋_GB2312" w:eastAsia="仿宋_GB2312" w:cs="仿宋_GB2312"/>
                <w:i w:val="0"/>
                <w:iCs w:val="0"/>
                <w:color w:val="000000"/>
                <w:kern w:val="0"/>
                <w:sz w:val="22"/>
                <w:szCs w:val="22"/>
                <w:u w:val="none"/>
                <w:lang w:val="en-US" w:eastAsia="zh-CN" w:bidi="ar"/>
              </w:rPr>
              <w:t>（以万元为单位，并最多保留两位小数）</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6"/>
        <w:spacing w:line="560" w:lineRule="exact"/>
        <w:ind w:firstLine="640"/>
        <w:jc w:val="left"/>
        <w:rPr>
          <w:rFonts w:ascii="仿宋_GB2312" w:hAnsi="仿宋" w:eastAsia="仿宋_GB2312" w:cs="仿宋"/>
          <w:color w:val="auto"/>
          <w:sz w:val="32"/>
          <w:szCs w:val="32"/>
        </w:rPr>
      </w:pPr>
      <w:r>
        <w:rPr>
          <w:rFonts w:hint="eastAsia" w:ascii="仿宋_GB2312" w:hAnsi="仿宋" w:eastAsia="仿宋_GB2312" w:cs="仿宋"/>
          <w:sz w:val="32"/>
          <w:szCs w:val="32"/>
        </w:rPr>
        <w:t>（一）</w:t>
      </w:r>
      <w:r>
        <w:rPr>
          <w:rFonts w:hint="eastAsia" w:ascii="仿宋_GB2312" w:hAnsi="仿宋" w:eastAsia="仿宋_GB2312" w:cs="仿宋"/>
          <w:color w:val="auto"/>
          <w:sz w:val="32"/>
          <w:szCs w:val="32"/>
        </w:rPr>
        <w:t>在中国境内注册的独立法人或具有独立承担民事责任的能力的其它组织（提供营业执照、事业法人证书、社会团体法人登记证书等扫描件；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pPr>
        <w:pStyle w:val="16"/>
        <w:spacing w:line="560" w:lineRule="exact"/>
        <w:ind w:firstLine="64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6"/>
        <w:spacing w:line="560" w:lineRule="exact"/>
        <w:ind w:firstLine="640"/>
        <w:jc w:val="left"/>
        <w:rPr>
          <w:rFonts w:hint="eastAsia" w:ascii="仿宋_GB2312" w:hAnsi="仿宋" w:eastAsia="仿宋_GB2312" w:cs="仿宋"/>
          <w:sz w:val="32"/>
          <w:szCs w:val="32"/>
          <w:highlight w:val="yellow"/>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color w:val="auto"/>
          <w:sz w:val="32"/>
          <w:highlight w:val="none"/>
          <w:lang w:val="en-US" w:eastAsia="zh-CN"/>
        </w:rPr>
      </w:pPr>
      <w:r>
        <w:rPr>
          <w:rFonts w:hint="eastAsia" w:ascii="仿宋_GB2312" w:hAnsi="仿宋" w:eastAsia="仿宋_GB2312"/>
          <w:color w:val="auto"/>
          <w:sz w:val="32"/>
          <w:highlight w:val="none"/>
        </w:rPr>
        <w:t>综合评分法</w:t>
      </w:r>
    </w:p>
    <w:p>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8"/>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8"/>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3"/>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2</w:t>
            </w:r>
            <w:r>
              <w:rPr>
                <w:rFonts w:hint="eastAsia" w:ascii="仿宋_GB2312" w:hAnsi="仿宋_GB2312" w:eastAsia="仿宋_GB2312" w:cs="仿宋_GB2312"/>
                <w:b w:val="0"/>
                <w:bCs/>
                <w:szCs w:val="24"/>
                <w:lang w:val="en-US" w:eastAsia="zh-CN"/>
              </w:rPr>
              <w:t>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50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8"/>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4"/>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报价</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30分</w:t>
            </w:r>
            <w:r>
              <w:rPr>
                <w:rFonts w:hint="eastAsia" w:ascii="仿宋_GB2312" w:hAnsi="仿宋_GB2312" w:eastAsia="仿宋_GB2312" w:cs="仿宋_GB2312"/>
                <w:b w:val="0"/>
                <w:bCs w:val="0"/>
                <w:sz w:val="24"/>
                <w:szCs w:val="24"/>
                <w:lang w:eastAsia="zh-CN"/>
              </w:rPr>
              <w:t>）</w:t>
            </w:r>
          </w:p>
        </w:tc>
        <w:tc>
          <w:tcPr>
            <w:tcW w:w="1170" w:type="dxa"/>
            <w:noWrap w:val="0"/>
            <w:vAlign w:val="top"/>
          </w:tcPr>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评分</w:t>
            </w:r>
          </w:p>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因素</w:t>
            </w:r>
          </w:p>
        </w:tc>
        <w:tc>
          <w:tcPr>
            <w:tcW w:w="6143" w:type="dxa"/>
            <w:noWrap w:val="0"/>
            <w:vAlign w:val="center"/>
          </w:tcPr>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topLinePunct/>
              <w:snapToGrid w:val="0"/>
              <w:spacing w:line="240" w:lineRule="auto"/>
              <w:jc w:val="left"/>
              <w:rPr>
                <w:rFonts w:hint="eastAsia" w:ascii="仿宋_GB2312" w:hAnsi="仿宋_GB2312" w:eastAsia="仿宋_GB2312" w:cs="仿宋_GB2312"/>
                <w:b w:val="0"/>
                <w:bCs w:val="0"/>
                <w:sz w:val="24"/>
                <w:szCs w:val="24"/>
                <w:lang w:val="en-US" w:eastAsia="zh-CN"/>
              </w:rPr>
              <w:pPrChange w:id="0" w:author="吴明明" w:date="2026-01-20T11:45:46Z">
                <w:pPr>
                  <w:spacing w:line="560" w:lineRule="exact"/>
                </w:pPr>
              </w:pPrChange>
            </w:pPr>
          </w:p>
        </w:tc>
        <w:tc>
          <w:tcPr>
            <w:tcW w:w="1170" w:type="dxa"/>
            <w:noWrap w:val="0"/>
            <w:vAlign w:val="center"/>
          </w:tcPr>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价格</w:t>
            </w:r>
          </w:p>
        </w:tc>
        <w:tc>
          <w:tcPr>
            <w:tcW w:w="6143" w:type="dxa"/>
            <w:noWrap w:val="0"/>
            <w:vAlign w:val="center"/>
          </w:tcPr>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商务</w:t>
            </w:r>
          </w:p>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部分</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20分</w:t>
            </w:r>
            <w:r>
              <w:rPr>
                <w:rFonts w:hint="eastAsia" w:ascii="仿宋_GB2312" w:hAnsi="仿宋_GB2312" w:eastAsia="仿宋_GB2312" w:cs="仿宋_GB2312"/>
                <w:b w:val="0"/>
                <w:bCs w:val="0"/>
                <w:sz w:val="24"/>
                <w:szCs w:val="24"/>
                <w:lang w:eastAsia="zh-CN"/>
              </w:rPr>
              <w:t>）</w:t>
            </w:r>
          </w:p>
        </w:tc>
        <w:tc>
          <w:tcPr>
            <w:tcW w:w="1170" w:type="dxa"/>
            <w:noWrap w:val="0"/>
            <w:vAlign w:val="top"/>
          </w:tcPr>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评分</w:t>
            </w:r>
          </w:p>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因素</w:t>
            </w:r>
          </w:p>
        </w:tc>
        <w:tc>
          <w:tcPr>
            <w:tcW w:w="6143" w:type="dxa"/>
            <w:noWrap w:val="0"/>
            <w:vAlign w:val="center"/>
          </w:tcPr>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topLinePunct/>
              <w:snapToGrid w:val="0"/>
              <w:jc w:val="left"/>
              <w:rPr>
                <w:rFonts w:hint="eastAsia" w:ascii="仿宋_GB2312" w:hAnsi="仿宋_GB2312" w:eastAsia="仿宋_GB2312" w:cs="仿宋_GB2312"/>
                <w:b w:val="0"/>
                <w:bCs w:val="0"/>
                <w:sz w:val="24"/>
                <w:szCs w:val="24"/>
                <w:lang w:val="en-US" w:eastAsia="zh-CN"/>
              </w:rPr>
            </w:pPr>
          </w:p>
        </w:tc>
        <w:tc>
          <w:tcPr>
            <w:tcW w:w="1170" w:type="dxa"/>
            <w:noWrap w:val="0"/>
            <w:vAlign w:val="center"/>
          </w:tcPr>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同类项目经验（</w:t>
            </w:r>
            <w:r>
              <w:rPr>
                <w:rFonts w:hint="eastAsia" w:ascii="仿宋_GB2312" w:hAnsi="仿宋_GB2312" w:eastAsia="仿宋_GB2312" w:cs="仿宋_GB2312"/>
                <w:b w:val="0"/>
                <w:bCs w:val="0"/>
                <w:sz w:val="24"/>
                <w:szCs w:val="24"/>
                <w:lang w:val="en-US" w:eastAsia="zh-CN"/>
              </w:rPr>
              <w:t>10分</w:t>
            </w:r>
            <w:r>
              <w:rPr>
                <w:rFonts w:hint="eastAsia" w:ascii="仿宋_GB2312" w:hAnsi="仿宋_GB2312" w:eastAsia="仿宋_GB2312" w:cs="仿宋_GB2312"/>
                <w:b w:val="0"/>
                <w:bCs w:val="0"/>
                <w:sz w:val="24"/>
                <w:szCs w:val="24"/>
                <w:lang w:eastAsia="zh-CN"/>
              </w:rPr>
              <w:t>）</w:t>
            </w:r>
          </w:p>
        </w:tc>
        <w:tc>
          <w:tcPr>
            <w:tcW w:w="6143" w:type="dxa"/>
            <w:noWrap w:val="0"/>
            <w:vAlign w:val="top"/>
          </w:tcPr>
          <w:p>
            <w:pPr>
              <w:topLinePunct/>
              <w:snapToGrid w:val="0"/>
              <w:jc w:val="left"/>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（一）评审内容：</w:t>
            </w:r>
          </w:p>
          <w:p>
            <w:pPr>
              <w:topLinePunct/>
              <w:snapToGrid w:val="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eastAsia="zh-CN"/>
              </w:rPr>
              <w:t>投标人自202</w:t>
            </w:r>
            <w:r>
              <w:rPr>
                <w:rFonts w:hint="eastAsia" w:ascii="仿宋_GB2312" w:hAnsi="仿宋_GB2312" w:eastAsia="仿宋_GB2312" w:cs="仿宋_GB2312"/>
                <w:b w:val="0"/>
                <w:bCs w:val="0"/>
                <w:sz w:val="24"/>
                <w:szCs w:val="24"/>
                <w:highlight w:val="none"/>
                <w:lang w:val="en-US" w:eastAsia="zh-CN"/>
              </w:rPr>
              <w:t>3</w:t>
            </w:r>
            <w:r>
              <w:rPr>
                <w:rFonts w:hint="eastAsia" w:ascii="仿宋_GB2312" w:hAnsi="仿宋_GB2312" w:eastAsia="仿宋_GB2312" w:cs="仿宋_GB2312"/>
                <w:b w:val="0"/>
                <w:bCs w:val="0"/>
                <w:sz w:val="24"/>
                <w:szCs w:val="24"/>
                <w:highlight w:val="none"/>
                <w:lang w:eastAsia="zh-CN"/>
              </w:rPr>
              <w:t>年1月1日至本项目投标截止日（以合同签订日期为准），</w:t>
            </w:r>
            <w:r>
              <w:rPr>
                <w:rFonts w:hint="eastAsia" w:ascii="仿宋_GB2312" w:hAnsi="仿宋_GB2312" w:eastAsia="仿宋_GB2312" w:cs="仿宋_GB2312"/>
                <w:b w:val="0"/>
                <w:bCs w:val="0"/>
                <w:sz w:val="24"/>
                <w:szCs w:val="24"/>
                <w:highlight w:val="none"/>
                <w:lang w:val="en-US" w:eastAsia="zh-CN"/>
              </w:rPr>
              <w:t>每提供一项</w:t>
            </w:r>
            <w:r>
              <w:rPr>
                <w:rFonts w:hint="eastAsia" w:ascii="仿宋_GB2312" w:hAnsi="仿宋_GB2312" w:eastAsia="仿宋_GB2312" w:cs="仿宋_GB2312"/>
                <w:sz w:val="24"/>
                <w:szCs w:val="24"/>
                <w:highlight w:val="none"/>
                <w:lang w:val="en-US" w:eastAsia="zh-CN"/>
              </w:rPr>
              <w:t>花卉或农作物种植管理项目、田间灌溉设施升级改造建设项目的</w:t>
            </w:r>
            <w:r>
              <w:rPr>
                <w:rFonts w:hint="eastAsia" w:ascii="仿宋_GB2312" w:hAnsi="仿宋_GB2312" w:eastAsia="仿宋_GB2312" w:cs="仿宋_GB2312"/>
                <w:b w:val="0"/>
                <w:bCs w:val="0"/>
                <w:sz w:val="24"/>
                <w:szCs w:val="24"/>
                <w:highlight w:val="none"/>
                <w:lang w:eastAsia="zh-CN"/>
              </w:rPr>
              <w:t>同类业绩得</w:t>
            </w:r>
            <w:r>
              <w:rPr>
                <w:rFonts w:hint="eastAsia" w:ascii="仿宋_GB2312" w:hAnsi="仿宋_GB2312" w:eastAsia="仿宋_GB2312" w:cs="仿宋_GB2312"/>
                <w:b w:val="0"/>
                <w:bCs w:val="0"/>
                <w:sz w:val="24"/>
                <w:szCs w:val="24"/>
                <w:highlight w:val="none"/>
                <w:lang w:val="en-US" w:eastAsia="zh-CN"/>
              </w:rPr>
              <w:t>5</w:t>
            </w:r>
            <w:r>
              <w:rPr>
                <w:rFonts w:hint="eastAsia" w:ascii="仿宋_GB2312" w:hAnsi="仿宋_GB2312" w:eastAsia="仿宋_GB2312" w:cs="仿宋_GB2312"/>
                <w:b w:val="0"/>
                <w:bCs w:val="0"/>
                <w:sz w:val="24"/>
                <w:szCs w:val="24"/>
                <w:highlight w:val="none"/>
                <w:lang w:eastAsia="zh-CN"/>
              </w:rPr>
              <w:t>分，最高得</w:t>
            </w:r>
            <w:r>
              <w:rPr>
                <w:rFonts w:hint="eastAsia" w:ascii="仿宋_GB2312" w:hAnsi="仿宋_GB2312" w:eastAsia="仿宋_GB2312" w:cs="仿宋_GB2312"/>
                <w:b w:val="0"/>
                <w:bCs w:val="0"/>
                <w:sz w:val="24"/>
                <w:szCs w:val="24"/>
                <w:highlight w:val="none"/>
                <w:lang w:val="en-US" w:eastAsia="zh-CN"/>
              </w:rPr>
              <w:t>10</w:t>
            </w:r>
            <w:r>
              <w:rPr>
                <w:rFonts w:hint="eastAsia" w:ascii="仿宋_GB2312" w:hAnsi="仿宋_GB2312" w:eastAsia="仿宋_GB2312" w:cs="仿宋_GB2312"/>
                <w:b w:val="0"/>
                <w:bCs w:val="0"/>
                <w:sz w:val="24"/>
                <w:szCs w:val="24"/>
                <w:highlight w:val="none"/>
                <w:lang w:eastAsia="zh-CN"/>
              </w:rPr>
              <w:t>分</w:t>
            </w:r>
            <w:r>
              <w:rPr>
                <w:rFonts w:hint="eastAsia" w:ascii="仿宋_GB2312" w:hAnsi="仿宋_GB2312" w:eastAsia="仿宋_GB2312" w:cs="仿宋_GB2312"/>
                <w:b w:val="0"/>
                <w:bCs w:val="0"/>
                <w:sz w:val="24"/>
                <w:szCs w:val="24"/>
                <w:highlight w:val="none"/>
                <w:lang w:val="en-US" w:eastAsia="zh-CN"/>
              </w:rPr>
              <w:t>。</w:t>
            </w:r>
          </w:p>
          <w:p>
            <w:pPr>
              <w:topLinePunct/>
              <w:snapToGrid w:val="0"/>
              <w:jc w:val="left"/>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lang w:val="en-US" w:eastAsia="zh-CN"/>
              </w:rPr>
              <w:t>二</w:t>
            </w:r>
            <w:r>
              <w:rPr>
                <w:rFonts w:hint="eastAsia" w:ascii="仿宋_GB2312" w:hAnsi="仿宋_GB2312" w:eastAsia="仿宋_GB2312" w:cs="仿宋_GB2312"/>
                <w:b w:val="0"/>
                <w:bCs w:val="0"/>
                <w:sz w:val="24"/>
                <w:szCs w:val="24"/>
                <w:highlight w:val="none"/>
                <w:lang w:eastAsia="zh-CN"/>
              </w:rPr>
              <w:t>）评审依据：</w:t>
            </w:r>
          </w:p>
          <w:p>
            <w:pPr>
              <w:topLinePunct/>
              <w:snapToGrid w:val="0"/>
              <w:jc w:val="left"/>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1</w:t>
            </w:r>
            <w:r>
              <w:rPr>
                <w:rFonts w:hint="eastAsia" w:ascii="仿宋_GB2312" w:hAnsi="仿宋_GB2312" w:eastAsia="仿宋_GB2312" w:cs="仿宋_GB2312"/>
                <w:b w:val="0"/>
                <w:bCs w:val="0"/>
                <w:sz w:val="24"/>
                <w:szCs w:val="24"/>
                <w:highlight w:val="none"/>
                <w:lang w:val="en-US" w:eastAsia="zh-CN"/>
              </w:rPr>
              <w:t>.</w:t>
            </w:r>
            <w:r>
              <w:rPr>
                <w:rFonts w:hint="eastAsia" w:ascii="仿宋_GB2312" w:hAnsi="仿宋_GB2312" w:eastAsia="仿宋_GB2312" w:cs="仿宋_GB2312"/>
                <w:b w:val="0"/>
                <w:bCs w:val="0"/>
                <w:sz w:val="24"/>
                <w:szCs w:val="24"/>
                <w:highlight w:val="none"/>
                <w:lang w:eastAsia="zh-CN"/>
              </w:rPr>
              <w:t>每项业绩按以下要求提供完整准确的证明文件，一个合同计算一个业绩，一年一签的续签合同只计算一个业绩：</w:t>
            </w:r>
          </w:p>
          <w:p>
            <w:pPr>
              <w:topLinePunct/>
              <w:snapToGrid w:val="0"/>
              <w:jc w:val="left"/>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合同关键页（关键信息包括但不仅限于合同的项目名称、服务内容、合同服务的起止时间、合同双方的盖章、签订日期等）；</w:t>
            </w:r>
          </w:p>
          <w:p>
            <w:pPr>
              <w:topLinePunct/>
              <w:snapToGrid w:val="0"/>
              <w:jc w:val="left"/>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eastAsia="zh-CN"/>
              </w:rPr>
              <w:t>2</w:t>
            </w:r>
            <w:r>
              <w:rPr>
                <w:rFonts w:hint="eastAsia" w:ascii="仿宋_GB2312" w:hAnsi="仿宋_GB2312" w:eastAsia="仿宋_GB2312" w:cs="仿宋_GB2312"/>
                <w:b w:val="0"/>
                <w:bCs w:val="0"/>
                <w:sz w:val="24"/>
                <w:szCs w:val="24"/>
                <w:highlight w:val="none"/>
                <w:lang w:val="en-US" w:eastAsia="zh-CN"/>
              </w:rPr>
              <w:t>.</w:t>
            </w:r>
            <w:r>
              <w:rPr>
                <w:rFonts w:hint="eastAsia" w:ascii="仿宋_GB2312" w:hAnsi="仿宋_GB2312" w:eastAsia="仿宋_GB2312" w:cs="仿宋_GB2312"/>
                <w:b w:val="0"/>
                <w:bCs w:val="0"/>
                <w:sz w:val="24"/>
                <w:szCs w:val="24"/>
                <w:highlight w:val="none"/>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topLinePunct/>
              <w:snapToGrid w:val="0"/>
              <w:jc w:val="left"/>
              <w:rPr>
                <w:rFonts w:hint="eastAsia" w:ascii="仿宋_GB2312" w:hAnsi="仿宋_GB2312" w:eastAsia="仿宋_GB2312" w:cs="仿宋_GB2312"/>
                <w:b w:val="0"/>
                <w:bCs w:val="0"/>
                <w:sz w:val="24"/>
                <w:szCs w:val="24"/>
                <w:lang w:val="en-US" w:eastAsia="zh-CN"/>
              </w:rPr>
            </w:pPr>
          </w:p>
        </w:tc>
        <w:tc>
          <w:tcPr>
            <w:tcW w:w="1170" w:type="dxa"/>
            <w:noWrap w:val="0"/>
            <w:vAlign w:val="center"/>
          </w:tcPr>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拟安排项目团队成员</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（5分）</w:t>
            </w:r>
          </w:p>
        </w:tc>
        <w:tc>
          <w:tcPr>
            <w:tcW w:w="6143" w:type="dxa"/>
            <w:noWrap w:val="0"/>
            <w:vAlign w:val="center"/>
          </w:tcPr>
          <w:p>
            <w:pPr>
              <w:topLinePunct/>
              <w:snapToGrid w:val="0"/>
              <w:jc w:val="left"/>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（一）评审内容</w:t>
            </w:r>
          </w:p>
          <w:p>
            <w:pPr>
              <w:topLinePunct/>
              <w:snapToGrid w:val="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eastAsia="zh-CN"/>
              </w:rPr>
              <w:t>拟安排的项目团队成员情况</w:t>
            </w:r>
            <w:r>
              <w:rPr>
                <w:rFonts w:hint="eastAsia" w:ascii="仿宋_GB2312" w:hAnsi="仿宋_GB2312" w:eastAsia="仿宋_GB2312" w:cs="仿宋_GB2312"/>
                <w:b w:val="0"/>
                <w:bCs w:val="0"/>
                <w:sz w:val="24"/>
                <w:szCs w:val="24"/>
                <w:highlight w:val="none"/>
                <w:lang w:val="en-US" w:eastAsia="zh-CN"/>
              </w:rPr>
              <w:t>:</w:t>
            </w:r>
          </w:p>
          <w:p>
            <w:pPr>
              <w:topLinePunct/>
              <w:snapToGrid w:val="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1.项目负责人具备本科或以上学历得2.5分（该项最高得2.5分）；</w:t>
            </w:r>
          </w:p>
          <w:p>
            <w:pPr>
              <w:topLinePunct/>
              <w:snapToGrid w:val="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2.团队成员具有园林绿化中级及以上职称得2.5分（该项最高得2.5分）</w:t>
            </w:r>
          </w:p>
          <w:p>
            <w:pPr>
              <w:topLinePunct/>
              <w:snapToGrid w:val="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eastAsia="zh-CN"/>
              </w:rPr>
              <w:t>同一人具备1至</w:t>
            </w:r>
            <w:r>
              <w:rPr>
                <w:rFonts w:hint="eastAsia" w:ascii="仿宋_GB2312" w:hAnsi="仿宋_GB2312" w:eastAsia="仿宋_GB2312" w:cs="仿宋_GB2312"/>
                <w:b w:val="0"/>
                <w:bCs w:val="0"/>
                <w:sz w:val="24"/>
                <w:szCs w:val="24"/>
                <w:highlight w:val="none"/>
                <w:lang w:val="en-US" w:eastAsia="zh-CN"/>
              </w:rPr>
              <w:t>2</w:t>
            </w:r>
            <w:r>
              <w:rPr>
                <w:rFonts w:hint="eastAsia" w:ascii="仿宋_GB2312" w:hAnsi="仿宋_GB2312" w:eastAsia="仿宋_GB2312" w:cs="仿宋_GB2312"/>
                <w:b w:val="0"/>
                <w:bCs w:val="0"/>
                <w:sz w:val="24"/>
                <w:szCs w:val="24"/>
                <w:highlight w:val="none"/>
                <w:lang w:eastAsia="zh-CN"/>
              </w:rPr>
              <w:t>项情况的可</w:t>
            </w:r>
            <w:r>
              <w:rPr>
                <w:rFonts w:hint="eastAsia" w:ascii="仿宋_GB2312" w:hAnsi="仿宋_GB2312" w:eastAsia="仿宋_GB2312" w:cs="仿宋_GB2312"/>
                <w:b w:val="0"/>
                <w:bCs w:val="0"/>
                <w:sz w:val="24"/>
                <w:szCs w:val="24"/>
                <w:highlight w:val="none"/>
                <w:lang w:val="en-US" w:eastAsia="zh-CN"/>
              </w:rPr>
              <w:t>重复得</w:t>
            </w:r>
            <w:r>
              <w:rPr>
                <w:rFonts w:hint="eastAsia" w:ascii="仿宋_GB2312" w:hAnsi="仿宋_GB2312" w:eastAsia="仿宋_GB2312" w:cs="仿宋_GB2312"/>
                <w:b w:val="0"/>
                <w:bCs w:val="0"/>
                <w:sz w:val="24"/>
                <w:szCs w:val="24"/>
                <w:highlight w:val="none"/>
                <w:lang w:eastAsia="zh-CN"/>
              </w:rPr>
              <w:t>分，本项最高得</w:t>
            </w:r>
            <w:r>
              <w:rPr>
                <w:rFonts w:hint="eastAsia" w:ascii="仿宋_GB2312" w:hAnsi="仿宋_GB2312" w:eastAsia="仿宋_GB2312" w:cs="仿宋_GB2312"/>
                <w:b w:val="0"/>
                <w:bCs w:val="0"/>
                <w:sz w:val="24"/>
                <w:szCs w:val="24"/>
                <w:highlight w:val="none"/>
                <w:lang w:val="en-US" w:eastAsia="zh-CN"/>
              </w:rPr>
              <w:t>5</w:t>
            </w:r>
            <w:r>
              <w:rPr>
                <w:rFonts w:hint="eastAsia" w:ascii="仿宋_GB2312" w:hAnsi="仿宋_GB2312" w:eastAsia="仿宋_GB2312" w:cs="仿宋_GB2312"/>
                <w:b w:val="0"/>
                <w:bCs w:val="0"/>
                <w:sz w:val="24"/>
                <w:szCs w:val="24"/>
                <w:highlight w:val="none"/>
                <w:lang w:eastAsia="zh-CN"/>
              </w:rPr>
              <w:t>分。</w:t>
            </w:r>
          </w:p>
          <w:p>
            <w:pPr>
              <w:topLinePunct/>
              <w:snapToGrid w:val="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注意：多人同个证书按一个证书得分。该项最高得5分。</w:t>
            </w:r>
          </w:p>
          <w:p>
            <w:pPr>
              <w:topLinePunct/>
              <w:snapToGrid w:val="0"/>
              <w:jc w:val="left"/>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lang w:val="en-US" w:eastAsia="zh-CN"/>
              </w:rPr>
              <w:t>二</w:t>
            </w:r>
            <w:r>
              <w:rPr>
                <w:rFonts w:hint="eastAsia" w:ascii="仿宋_GB2312" w:hAnsi="仿宋_GB2312" w:eastAsia="仿宋_GB2312" w:cs="仿宋_GB2312"/>
                <w:b w:val="0"/>
                <w:bCs w:val="0"/>
                <w:sz w:val="24"/>
                <w:szCs w:val="24"/>
                <w:highlight w:val="none"/>
                <w:lang w:eastAsia="zh-CN"/>
              </w:rPr>
              <w:t>）评审依据：</w:t>
            </w:r>
          </w:p>
          <w:p>
            <w:pPr>
              <w:topLinePunct/>
              <w:snapToGrid w:val="0"/>
              <w:jc w:val="left"/>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提供相关证书证明材料。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topLinePunct/>
              <w:snapToGrid w:val="0"/>
              <w:jc w:val="left"/>
              <w:rPr>
                <w:rFonts w:hint="eastAsia" w:ascii="仿宋_GB2312" w:hAnsi="仿宋_GB2312" w:eastAsia="仿宋_GB2312" w:cs="仿宋_GB2312"/>
                <w:b w:val="0"/>
                <w:bCs w:val="0"/>
                <w:sz w:val="24"/>
                <w:szCs w:val="24"/>
                <w:lang w:val="en-US" w:eastAsia="zh-CN"/>
              </w:rPr>
            </w:pPr>
          </w:p>
        </w:tc>
        <w:tc>
          <w:tcPr>
            <w:tcW w:w="1170" w:type="dxa"/>
            <w:noWrap w:val="0"/>
            <w:vAlign w:val="center"/>
          </w:tcPr>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项目完成（服务期满）</w:t>
            </w:r>
          </w:p>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后的服务承诺（5分）</w:t>
            </w:r>
          </w:p>
        </w:tc>
        <w:tc>
          <w:tcPr>
            <w:tcW w:w="6143" w:type="dxa"/>
            <w:noWrap w:val="0"/>
            <w:vAlign w:val="center"/>
          </w:tcPr>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（一）评审内容：</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根据针对本项目做出的服务承诺，考察包括但不限于以下内容：</w:t>
            </w:r>
            <w:r>
              <w:rPr>
                <w:rFonts w:hint="eastAsia" w:ascii="仿宋_GB2312" w:hAnsi="仿宋_GB2312" w:eastAsia="仿宋_GB2312" w:cs="仿宋_GB2312"/>
                <w:b w:val="0"/>
                <w:bCs w:val="0"/>
                <w:sz w:val="24"/>
                <w:szCs w:val="24"/>
                <w:lang w:val="en-US" w:eastAsia="zh-CN"/>
              </w:rPr>
              <w:br w:type="textWrapping"/>
            </w:r>
            <w:r>
              <w:rPr>
                <w:rFonts w:hint="eastAsia" w:ascii="仿宋_GB2312" w:hAnsi="仿宋_GB2312" w:eastAsia="仿宋_GB2312" w:cs="仿宋_GB2312"/>
                <w:b w:val="0"/>
                <w:bCs w:val="0"/>
                <w:sz w:val="24"/>
                <w:szCs w:val="24"/>
                <w:lang w:val="en-US" w:eastAsia="zh-CN"/>
              </w:rPr>
              <w:t>1.在服务期满后主动交接项目相关资料；</w:t>
            </w:r>
          </w:p>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2.与后续服务公司进行资料、工作等交接。</w:t>
            </w:r>
          </w:p>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（二）评审依据：</w:t>
            </w:r>
          </w:p>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提供服务承诺函（格式自拟）并加盖投标人公章，未提供承诺或承诺内容不满足要求不得分。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技术部分（50分）</w:t>
            </w:r>
          </w:p>
        </w:tc>
        <w:tc>
          <w:tcPr>
            <w:tcW w:w="1170" w:type="dxa"/>
            <w:noWrap w:val="0"/>
            <w:vAlign w:val="center"/>
          </w:tcPr>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实</w:t>
            </w:r>
            <w:r>
              <w:rPr>
                <w:rFonts w:hint="eastAsia" w:ascii="仿宋_GB2312" w:hAnsi="仿宋_GB2312" w:eastAsia="仿宋_GB2312" w:cs="仿宋_GB2312"/>
                <w:b w:val="0"/>
                <w:bCs w:val="0"/>
                <w:sz w:val="24"/>
                <w:szCs w:val="24"/>
                <w:lang w:val="en-US" w:eastAsia="zh-CN"/>
              </w:rPr>
              <w:t>施</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方案</w:t>
            </w:r>
          </w:p>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（25分）</w:t>
            </w:r>
          </w:p>
        </w:tc>
        <w:tc>
          <w:tcPr>
            <w:tcW w:w="6143" w:type="dxa"/>
            <w:noWrap w:val="0"/>
            <w:vAlign w:val="top"/>
          </w:tcPr>
          <w:p>
            <w:pPr>
              <w:topLinePunct/>
              <w:snapToGrid w:val="0"/>
              <w:jc w:val="left"/>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（一）评审内容：</w:t>
            </w:r>
          </w:p>
          <w:p>
            <w:pPr>
              <w:topLinePunct/>
              <w:snapToGrid w:val="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根据投标人提供的实施方案，考察包括但不限于：</w:t>
            </w:r>
          </w:p>
          <w:p>
            <w:pPr>
              <w:topLinePunct/>
              <w:snapToGrid w:val="0"/>
              <w:jc w:val="left"/>
              <w:rPr>
                <w:rFonts w:hint="eastAsia"/>
                <w:highlight w:val="none"/>
                <w:lang w:val="en-US" w:eastAsia="zh-CN"/>
              </w:rPr>
            </w:pPr>
            <w:r>
              <w:rPr>
                <w:rFonts w:hint="eastAsia" w:ascii="仿宋_GB2312" w:hAnsi="仿宋_GB2312" w:eastAsia="仿宋_GB2312" w:cs="仿宋_GB2312"/>
                <w:b w:val="0"/>
                <w:bCs w:val="0"/>
                <w:sz w:val="24"/>
                <w:szCs w:val="24"/>
                <w:highlight w:val="none"/>
                <w:lang w:val="en-US" w:eastAsia="zh-CN"/>
              </w:rPr>
              <w:t>1.观光农田种植养护方案；</w:t>
            </w:r>
          </w:p>
          <w:p>
            <w:pPr>
              <w:topLinePunct/>
              <w:snapToGrid w:val="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2.种植主题策划方案；</w:t>
            </w:r>
          </w:p>
          <w:p>
            <w:pPr>
              <w:topLinePunct/>
              <w:snapToGrid w:val="0"/>
              <w:jc w:val="left"/>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3.安全管理方案；</w:t>
            </w:r>
          </w:p>
          <w:p>
            <w:pPr>
              <w:topLinePunct/>
              <w:snapToGrid w:val="0"/>
              <w:jc w:val="left"/>
              <w:rPr>
                <w:rFonts w:hint="default"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4.质量保障方案。</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highlight w:val="none"/>
                <w:lang w:eastAsia="zh-CN"/>
              </w:rPr>
              <w:t>（二）评审依据：</w:t>
            </w:r>
            <w:r>
              <w:rPr>
                <w:rFonts w:hint="eastAsia" w:ascii="仿宋_GB2312" w:hAnsi="仿宋_GB2312" w:eastAsia="仿宋_GB2312" w:cs="仿宋_GB2312"/>
                <w:b w:val="0"/>
                <w:bCs w:val="0"/>
                <w:sz w:val="24"/>
                <w:szCs w:val="24"/>
                <w:lang w:val="en-US" w:eastAsia="zh-CN"/>
              </w:rPr>
              <w:br w:type="textWrapping"/>
            </w:r>
            <w:r>
              <w:rPr>
                <w:rFonts w:hint="eastAsia" w:ascii="仿宋_GB2312" w:hAnsi="仿宋_GB2312" w:eastAsia="仿宋_GB2312" w:cs="仿宋_GB2312"/>
                <w:b w:val="0"/>
                <w:bCs w:val="0"/>
                <w:sz w:val="24"/>
                <w:szCs w:val="24"/>
                <w:lang w:val="en-US" w:eastAsia="zh-CN"/>
              </w:rPr>
              <w:t>满足以上任意一项要求得4分，最高得16分，在此基础上。</w:t>
            </w:r>
            <w:r>
              <w:rPr>
                <w:rFonts w:hint="eastAsia" w:ascii="仿宋_GB2312" w:hAnsi="仿宋_GB2312" w:eastAsia="仿宋_GB2312" w:cs="仿宋_GB2312"/>
                <w:b w:val="0"/>
                <w:bCs w:val="0"/>
                <w:sz w:val="24"/>
                <w:szCs w:val="24"/>
                <w:lang w:eastAsia="zh-CN"/>
              </w:rPr>
              <w:t>根据各供应商的具体响应内容按照量化的评审因素指标进一步评审，设定优、良、中、差四个评分标准</w:t>
            </w:r>
            <w:r>
              <w:rPr>
                <w:rFonts w:hint="eastAsia" w:ascii="仿宋_GB2312" w:hAnsi="仿宋_GB2312" w:eastAsia="仿宋_GB2312" w:cs="仿宋_GB2312"/>
                <w:b w:val="0"/>
                <w:bCs w:val="0"/>
                <w:sz w:val="24"/>
                <w:szCs w:val="24"/>
                <w:lang w:val="en-US" w:eastAsia="zh-CN"/>
              </w:rPr>
              <w:t>：</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1.优：项目实施方案内容全面、具体、针对性强、科学合理、可操作性强得9分；</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2.良：项目实施方案内容较丰富、较具体、针对性较强、较科学合理、可操作性较强得6分；</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3.中：项目实施方案内容、针对性、可操作性一般得3分；</w:t>
            </w:r>
          </w:p>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topLinePunct/>
              <w:snapToGrid w:val="0"/>
              <w:jc w:val="left"/>
              <w:rPr>
                <w:rFonts w:hint="eastAsia" w:ascii="仿宋_GB2312" w:hAnsi="仿宋_GB2312" w:eastAsia="仿宋_GB2312" w:cs="仿宋_GB2312"/>
                <w:b w:val="0"/>
                <w:bCs w:val="0"/>
                <w:sz w:val="24"/>
                <w:szCs w:val="24"/>
                <w:lang w:val="en-US" w:eastAsia="zh-CN"/>
              </w:rPr>
            </w:pPr>
          </w:p>
        </w:tc>
        <w:tc>
          <w:tcPr>
            <w:tcW w:w="1170" w:type="dxa"/>
            <w:noWrap w:val="0"/>
            <w:vAlign w:val="center"/>
          </w:tcPr>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项目重点难点分析、应对措施及相关的合理化建议</w:t>
            </w:r>
          </w:p>
          <w:p>
            <w:pPr>
              <w:topLinePunct/>
              <w:snapToGrid w:val="0"/>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（25分）</w:t>
            </w:r>
          </w:p>
        </w:tc>
        <w:tc>
          <w:tcPr>
            <w:tcW w:w="6143" w:type="dxa"/>
            <w:noWrap w:val="0"/>
            <w:vAlign w:val="top"/>
          </w:tcPr>
          <w:p>
            <w:pPr>
              <w:topLinePunct/>
              <w:snapToGrid w:val="0"/>
              <w:jc w:val="left"/>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（一）评审内容：</w:t>
            </w:r>
          </w:p>
          <w:p>
            <w:pPr>
              <w:topLinePunct/>
              <w:snapToGrid w:val="0"/>
              <w:jc w:val="left"/>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考察对项目工作量、可完成度等重点难点问题的识别和分析能力，并就识别出的重点难点提出可行的应对措施及合理化建议。</w:t>
            </w:r>
          </w:p>
          <w:p>
            <w:pPr>
              <w:topLinePunct/>
              <w:snapToGrid w:val="0"/>
              <w:jc w:val="left"/>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包括但不限于以下内容：</w:t>
            </w:r>
          </w:p>
          <w:p>
            <w:pPr>
              <w:topLinePunct/>
              <w:snapToGrid w:val="0"/>
              <w:jc w:val="left"/>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1.详细阐述本项目存在的重难点问题；</w:t>
            </w:r>
          </w:p>
          <w:p>
            <w:pPr>
              <w:topLinePunct/>
              <w:snapToGrid w:val="0"/>
              <w:jc w:val="left"/>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2.根据项目重难点，详细阐述对应的应对措施；</w:t>
            </w:r>
          </w:p>
          <w:p>
            <w:pPr>
              <w:topLinePunct/>
              <w:snapToGrid w:val="0"/>
              <w:jc w:val="left"/>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3.向招标方提出项目实施的其他具体建议。</w:t>
            </w:r>
          </w:p>
          <w:p>
            <w:pPr>
              <w:topLinePunct/>
              <w:snapToGrid w:val="0"/>
              <w:jc w:val="left"/>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（二）评审依据：</w:t>
            </w:r>
          </w:p>
          <w:p>
            <w:pPr>
              <w:topLinePunct/>
              <w:snapToGrid w:val="0"/>
              <w:jc w:val="left"/>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满足以上任意一项要求得5分，最高得15分，在此基础上。</w:t>
            </w:r>
            <w:r>
              <w:rPr>
                <w:rFonts w:hint="eastAsia" w:ascii="仿宋_GB2312" w:hAnsi="仿宋_GB2312" w:eastAsia="仿宋_GB2312" w:cs="仿宋_GB2312"/>
                <w:b w:val="0"/>
                <w:bCs w:val="0"/>
                <w:color w:val="auto"/>
                <w:sz w:val="24"/>
                <w:szCs w:val="24"/>
                <w:lang w:eastAsia="zh-CN"/>
              </w:rPr>
              <w:t>根据各供应商的具体响应内容按照量化的评审因素指标进一步评审，设定优、良、中、差四个评分标准</w:t>
            </w:r>
            <w:r>
              <w:rPr>
                <w:rFonts w:hint="eastAsia" w:ascii="仿宋_GB2312" w:hAnsi="仿宋_GB2312" w:eastAsia="仿宋_GB2312" w:cs="仿宋_GB2312"/>
                <w:b w:val="0"/>
                <w:bCs w:val="0"/>
                <w:color w:val="auto"/>
                <w:sz w:val="24"/>
                <w:szCs w:val="24"/>
                <w:lang w:val="en-US" w:eastAsia="zh-CN"/>
              </w:rPr>
              <w:t>：</w:t>
            </w:r>
          </w:p>
          <w:p>
            <w:pPr>
              <w:topLinePunct/>
              <w:snapToGrid w:val="0"/>
              <w:jc w:val="left"/>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eastAsia="zh-CN"/>
              </w:rPr>
              <w:t>优：以上项目重点难点分析、应对措施及相关的合理化建议的三点内容全面具体、针对性强、可操作性强，加</w:t>
            </w:r>
            <w:r>
              <w:rPr>
                <w:rFonts w:hint="eastAsia" w:ascii="仿宋_GB2312" w:hAnsi="仿宋_GB2312" w:eastAsia="仿宋_GB2312" w:cs="仿宋_GB2312"/>
                <w:b w:val="0"/>
                <w:bCs w:val="0"/>
                <w:color w:val="auto"/>
                <w:sz w:val="24"/>
                <w:szCs w:val="24"/>
                <w:lang w:val="en-US" w:eastAsia="zh-CN"/>
              </w:rPr>
              <w:t>10</w:t>
            </w:r>
            <w:r>
              <w:rPr>
                <w:rFonts w:hint="eastAsia" w:ascii="仿宋_GB2312" w:hAnsi="仿宋_GB2312" w:eastAsia="仿宋_GB2312" w:cs="仿宋_GB2312"/>
                <w:b w:val="0"/>
                <w:bCs w:val="0"/>
                <w:color w:val="auto"/>
                <w:sz w:val="24"/>
                <w:szCs w:val="24"/>
                <w:lang w:eastAsia="zh-CN"/>
              </w:rPr>
              <w:t>分；</w:t>
            </w:r>
          </w:p>
          <w:p>
            <w:pPr>
              <w:topLinePunct/>
              <w:snapToGrid w:val="0"/>
              <w:jc w:val="left"/>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eastAsia="zh-CN"/>
              </w:rPr>
              <w:t>良：以上项目重点难点分析、应对措施及相关的合理化建议的三点内容较丰富、针对性较强、可操作性较强，加</w:t>
            </w:r>
            <w:r>
              <w:rPr>
                <w:rFonts w:hint="eastAsia" w:ascii="仿宋_GB2312" w:hAnsi="仿宋_GB2312" w:eastAsia="仿宋_GB2312" w:cs="仿宋_GB2312"/>
                <w:b w:val="0"/>
                <w:bCs w:val="0"/>
                <w:color w:val="auto"/>
                <w:sz w:val="24"/>
                <w:szCs w:val="24"/>
                <w:lang w:val="en-US" w:eastAsia="zh-CN"/>
              </w:rPr>
              <w:t>6</w:t>
            </w:r>
            <w:r>
              <w:rPr>
                <w:rFonts w:hint="eastAsia" w:ascii="仿宋_GB2312" w:hAnsi="仿宋_GB2312" w:eastAsia="仿宋_GB2312" w:cs="仿宋_GB2312"/>
                <w:b w:val="0"/>
                <w:bCs w:val="0"/>
                <w:color w:val="auto"/>
                <w:sz w:val="24"/>
                <w:szCs w:val="24"/>
                <w:lang w:eastAsia="zh-CN"/>
              </w:rPr>
              <w:t>分；</w:t>
            </w:r>
          </w:p>
          <w:p>
            <w:pPr>
              <w:topLinePunct/>
              <w:snapToGrid w:val="0"/>
              <w:jc w:val="left"/>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eastAsia="zh-CN"/>
              </w:rPr>
              <w:t>中：以上项目重点难点分析、应对措施及相关的合理化建议的三点内容完整性、针对性、可操作性均一般，加</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eastAsia="zh-CN"/>
              </w:rPr>
              <w:t>分；</w:t>
            </w:r>
          </w:p>
          <w:p>
            <w:pPr>
              <w:topLinePunct/>
              <w:snapToGrid w:val="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w:t>
            </w:r>
            <w:r>
              <w:rPr>
                <w:rFonts w:hint="eastAsia" w:ascii="仿宋_GB2312" w:hAnsi="仿宋_GB2312" w:eastAsia="仿宋_GB2312" w:cs="仿宋_GB2312"/>
                <w:b w:val="0"/>
                <w:bCs w:val="0"/>
                <w:sz w:val="24"/>
                <w:szCs w:val="24"/>
                <w:lang w:eastAsia="zh-CN"/>
              </w:rPr>
              <w:t>差：</w:t>
            </w:r>
            <w:r>
              <w:rPr>
                <w:rFonts w:hint="eastAsia" w:ascii="仿宋_GB2312" w:hAnsi="仿宋_GB2312" w:eastAsia="仿宋_GB2312" w:cs="仿宋_GB2312"/>
                <w:b w:val="0"/>
                <w:bCs w:val="0"/>
                <w:sz w:val="24"/>
                <w:szCs w:val="24"/>
                <w:lang w:val="en-US" w:eastAsia="zh-CN"/>
              </w:rPr>
              <w:t>其它情况不得分。</w:t>
            </w:r>
          </w:p>
        </w:tc>
      </w:tr>
    </w:tbl>
    <w:p>
      <w:pPr>
        <w:pStyle w:val="18"/>
        <w:spacing w:line="560" w:lineRule="exact"/>
        <w:ind w:firstLine="640" w:firstLineChars="200"/>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bCs w:val="0"/>
          <w:color w:val="auto"/>
          <w:sz w:val="32"/>
          <w:szCs w:val="32"/>
          <w:lang w:eastAsia="zh-CN"/>
        </w:rPr>
        <w:t>（均需每页加盖公章）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2"/>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2"/>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2"/>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2"/>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2"/>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2"/>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color w:val="auto"/>
          <w:sz w:val="32"/>
          <w:highlight w:val="none"/>
        </w:rPr>
        <w:t>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并在封面备注“版画基地2026年观光农田种植管理服务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2"/>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9"/>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spacing w:line="560" w:lineRule="exact"/>
        <w:ind w:firstLine="640" w:firstLineChars="200"/>
        <w:jc w:val="left"/>
        <w:rPr>
          <w:rFonts w:hint="default" w:ascii="黑体" w:hAnsi="黑体" w:eastAsia="黑体" w:cs="黑体"/>
          <w:color w:val="000000"/>
          <w:sz w:val="32"/>
          <w:szCs w:val="32"/>
          <w:lang w:val="en-US" w:eastAsia="zh-CN"/>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7"/>
        <w:rPr>
          <w:rFonts w:hint="default"/>
          <w:lang w:val="en-US" w:eastAsia="zh-CN"/>
        </w:rPr>
      </w:pPr>
    </w:p>
    <w:p>
      <w:pPr>
        <w:rPr>
          <w:rFonts w:hint="default"/>
          <w:lang w:val="en-US" w:eastAsia="zh-CN"/>
        </w:rPr>
      </w:pPr>
    </w:p>
    <w:p>
      <w:pPr>
        <w:pStyle w:val="19"/>
        <w:spacing w:line="560" w:lineRule="exact"/>
        <w:ind w:firstLine="0" w:firstLineChars="0"/>
        <w:rPr>
          <w:rFonts w:hint="eastAsia" w:ascii="黑体" w:hAnsi="黑体" w:eastAsia="黑体" w:cs="黑体"/>
          <w:color w:val="000000"/>
          <w:sz w:val="32"/>
          <w:szCs w:val="32"/>
          <w:lang w:val="en-US" w:eastAsia="zh-CN"/>
        </w:rPr>
      </w:pPr>
      <w:bookmarkStart w:id="2" w:name="_GoBack"/>
      <w:bookmarkEnd w:id="2"/>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2"/>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4"/>
        <w:tblW w:w="9678"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975"/>
        <w:gridCol w:w="1177"/>
        <w:gridCol w:w="1166"/>
        <w:gridCol w:w="725"/>
        <w:gridCol w:w="1102"/>
        <w:gridCol w:w="1376"/>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162"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343" w:type="dxa"/>
            <w:gridSpan w:val="2"/>
            <w:noWrap w:val="0"/>
            <w:vAlign w:val="center"/>
          </w:tcPr>
          <w:p>
            <w:pPr>
              <w:jc w:val="left"/>
              <w:rPr>
                <w:rFonts w:ascii="方正仿宋_GBK" w:hAnsi="方正仿宋_GBK" w:eastAsia="方正仿宋_GBK" w:cs="方正仿宋_GBK"/>
                <w:sz w:val="24"/>
              </w:rPr>
            </w:pPr>
          </w:p>
        </w:tc>
        <w:tc>
          <w:tcPr>
            <w:tcW w:w="1827"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346"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162"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343" w:type="dxa"/>
            <w:gridSpan w:val="2"/>
            <w:noWrap w:val="0"/>
            <w:vAlign w:val="center"/>
          </w:tcPr>
          <w:p>
            <w:pPr>
              <w:jc w:val="left"/>
              <w:rPr>
                <w:rFonts w:ascii="方正仿宋_GBK" w:hAnsi="方正仿宋_GBK" w:eastAsia="方正仿宋_GBK" w:cs="方正仿宋_GBK"/>
                <w:sz w:val="24"/>
              </w:rPr>
            </w:pPr>
          </w:p>
        </w:tc>
        <w:tc>
          <w:tcPr>
            <w:tcW w:w="1827"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346"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78"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87"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152"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166"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827"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376"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97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1187"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152"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82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87"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152"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82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87"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152"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166"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827"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376"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70"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87"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152"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166" w:type="dxa"/>
            <w:noWrap w:val="0"/>
            <w:vAlign w:val="center"/>
          </w:tcPr>
          <w:p>
            <w:pPr>
              <w:jc w:val="left"/>
              <w:rPr>
                <w:rFonts w:ascii="方正仿宋_GBK" w:hAnsi="方正仿宋_GBK" w:eastAsia="方正仿宋_GBK" w:cs="方正仿宋_GBK"/>
                <w:sz w:val="24"/>
              </w:rPr>
            </w:pPr>
          </w:p>
        </w:tc>
        <w:tc>
          <w:tcPr>
            <w:tcW w:w="1827" w:type="dxa"/>
            <w:gridSpan w:val="2"/>
            <w:noWrap w:val="0"/>
            <w:vAlign w:val="center"/>
          </w:tcPr>
          <w:p>
            <w:pPr>
              <w:jc w:val="left"/>
              <w:rPr>
                <w:rFonts w:ascii="方正仿宋_GBK" w:hAnsi="方正仿宋_GBK" w:eastAsia="方正仿宋_GBK" w:cs="方正仿宋_GBK"/>
                <w:sz w:val="24"/>
              </w:rPr>
            </w:pPr>
          </w:p>
        </w:tc>
        <w:tc>
          <w:tcPr>
            <w:tcW w:w="1376" w:type="dxa"/>
            <w:noWrap w:val="0"/>
            <w:vAlign w:val="center"/>
          </w:tcPr>
          <w:p>
            <w:pPr>
              <w:jc w:val="left"/>
              <w:rPr>
                <w:rFonts w:ascii="方正仿宋_GBK" w:hAnsi="方正仿宋_GBK" w:eastAsia="方正仿宋_GBK" w:cs="方正仿宋_GBK"/>
                <w:sz w:val="24"/>
              </w:rPr>
            </w:pPr>
          </w:p>
        </w:tc>
        <w:tc>
          <w:tcPr>
            <w:tcW w:w="1970"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87"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152"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166" w:type="dxa"/>
            <w:noWrap w:val="0"/>
            <w:vAlign w:val="center"/>
          </w:tcPr>
          <w:p>
            <w:pPr>
              <w:jc w:val="left"/>
              <w:rPr>
                <w:rFonts w:ascii="方正仿宋_GBK" w:hAnsi="方正仿宋_GBK" w:eastAsia="方正仿宋_GBK" w:cs="方正仿宋_GBK"/>
                <w:sz w:val="24"/>
              </w:rPr>
            </w:pPr>
          </w:p>
        </w:tc>
        <w:tc>
          <w:tcPr>
            <w:tcW w:w="1827" w:type="dxa"/>
            <w:gridSpan w:val="2"/>
            <w:noWrap w:val="0"/>
            <w:vAlign w:val="center"/>
          </w:tcPr>
          <w:p>
            <w:pPr>
              <w:jc w:val="left"/>
              <w:rPr>
                <w:rFonts w:ascii="方正仿宋_GBK" w:hAnsi="方正仿宋_GBK" w:eastAsia="方正仿宋_GBK" w:cs="方正仿宋_GBK"/>
                <w:sz w:val="24"/>
              </w:rPr>
            </w:pPr>
          </w:p>
        </w:tc>
        <w:tc>
          <w:tcPr>
            <w:tcW w:w="1376" w:type="dxa"/>
            <w:noWrap w:val="0"/>
            <w:vAlign w:val="center"/>
          </w:tcPr>
          <w:p>
            <w:pPr>
              <w:jc w:val="left"/>
              <w:rPr>
                <w:rFonts w:ascii="方正仿宋_GBK" w:hAnsi="方正仿宋_GBK" w:eastAsia="方正仿宋_GBK" w:cs="方正仿宋_GBK"/>
                <w:sz w:val="24"/>
              </w:rPr>
            </w:pPr>
          </w:p>
        </w:tc>
        <w:tc>
          <w:tcPr>
            <w:tcW w:w="1970"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78"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78"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87"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152"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18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448"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187"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152"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18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44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87"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152"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18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44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678"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67510"/>
    <w:multiLevelType w:val="singleLevel"/>
    <w:tmpl w:val="D7C67510"/>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明明">
    <w15:presenceInfo w15:providerId="WPS Office" w15:userId="3442384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DDECA85"/>
    <w:rsid w:val="16EB8C75"/>
    <w:rsid w:val="2D4D13D7"/>
    <w:rsid w:val="2FE7F350"/>
    <w:rsid w:val="2FF2CB4C"/>
    <w:rsid w:val="349F321C"/>
    <w:rsid w:val="3C3368FB"/>
    <w:rsid w:val="3D5FDCFC"/>
    <w:rsid w:val="4DEDE56A"/>
    <w:rsid w:val="4FDF64B8"/>
    <w:rsid w:val="53060569"/>
    <w:rsid w:val="5B1145CA"/>
    <w:rsid w:val="5B7F4D8C"/>
    <w:rsid w:val="5EFBCD0D"/>
    <w:rsid w:val="5F2BE56A"/>
    <w:rsid w:val="60DB4A69"/>
    <w:rsid w:val="67724376"/>
    <w:rsid w:val="67AFE317"/>
    <w:rsid w:val="67B40CA5"/>
    <w:rsid w:val="67F794C3"/>
    <w:rsid w:val="6B76C293"/>
    <w:rsid w:val="6BFF583D"/>
    <w:rsid w:val="6FC72380"/>
    <w:rsid w:val="73FB884D"/>
    <w:rsid w:val="7CEC4C3B"/>
    <w:rsid w:val="7D9F3A20"/>
    <w:rsid w:val="7DBFEB58"/>
    <w:rsid w:val="7DD39989"/>
    <w:rsid w:val="7E9F479A"/>
    <w:rsid w:val="7EFB8082"/>
    <w:rsid w:val="7FBF18BA"/>
    <w:rsid w:val="7FBFEDDC"/>
    <w:rsid w:val="7FE6F99F"/>
    <w:rsid w:val="7FFEEF88"/>
    <w:rsid w:val="7FFFC784"/>
    <w:rsid w:val="9BB6394A"/>
    <w:rsid w:val="9FF753B3"/>
    <w:rsid w:val="AEFDCF14"/>
    <w:rsid w:val="B15F1AA3"/>
    <w:rsid w:val="B5F24E2C"/>
    <w:rsid w:val="B6C6CCD9"/>
    <w:rsid w:val="B7AF05BC"/>
    <w:rsid w:val="BBFF548B"/>
    <w:rsid w:val="BDBE6345"/>
    <w:rsid w:val="BFE6F955"/>
    <w:rsid w:val="CEAEA899"/>
    <w:rsid w:val="CF76E734"/>
    <w:rsid w:val="CFFCCD05"/>
    <w:rsid w:val="D4FF877D"/>
    <w:rsid w:val="D7B84784"/>
    <w:rsid w:val="D7FFFC13"/>
    <w:rsid w:val="DFBFD46B"/>
    <w:rsid w:val="DFFF69F1"/>
    <w:rsid w:val="E376E1AF"/>
    <w:rsid w:val="E7733DD2"/>
    <w:rsid w:val="EE2BF456"/>
    <w:rsid w:val="EFDFAF66"/>
    <w:rsid w:val="EFF191A9"/>
    <w:rsid w:val="EFFF9603"/>
    <w:rsid w:val="F3FE26C4"/>
    <w:rsid w:val="F5FFE1B4"/>
    <w:rsid w:val="F77F2BC2"/>
    <w:rsid w:val="F7E8C28E"/>
    <w:rsid w:val="F7FB34F2"/>
    <w:rsid w:val="F7FE4851"/>
    <w:rsid w:val="F7FE68CB"/>
    <w:rsid w:val="F9DCD19F"/>
    <w:rsid w:val="FBDA1DCA"/>
    <w:rsid w:val="FDEF10DB"/>
    <w:rsid w:val="FDFE22A6"/>
    <w:rsid w:val="FDFFDEC4"/>
    <w:rsid w:val="FEF77542"/>
    <w:rsid w:val="FF47B36E"/>
    <w:rsid w:val="FFBFB86A"/>
    <w:rsid w:val="FFEF2FC6"/>
    <w:rsid w:val="FFFB93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5">
    <w:name w:val="Normal Indent"/>
    <w:basedOn w:val="1"/>
    <w:qFormat/>
    <w:uiPriority w:val="0"/>
    <w:pPr>
      <w:ind w:firstLine="420"/>
    </w:pPr>
    <w:rPr>
      <w:szCs w:val="20"/>
    </w:rPr>
  </w:style>
  <w:style w:type="paragraph" w:styleId="6">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7">
    <w:name w:val="Body Text"/>
    <w:basedOn w:val="1"/>
    <w:next w:val="1"/>
    <w:qFormat/>
    <w:uiPriority w:val="0"/>
    <w:pPr>
      <w:spacing w:after="120"/>
    </w:pPr>
  </w:style>
  <w:style w:type="paragraph" w:styleId="8">
    <w:name w:val="Plain Text"/>
    <w:basedOn w:val="1"/>
    <w:unhideWhenUsed/>
    <w:qFormat/>
    <w:uiPriority w:val="99"/>
    <w:rPr>
      <w:rFonts w:ascii="宋体" w:hAnsi="Calibri"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line="360" w:lineRule="auto"/>
    </w:pPr>
    <w:rPr>
      <w:sz w:val="24"/>
    </w:rPr>
  </w:style>
  <w:style w:type="paragraph" w:styleId="12">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7"/>
    <w:qFormat/>
    <w:uiPriority w:val="34"/>
    <w:pPr>
      <w:ind w:firstLine="420" w:firstLineChars="200"/>
    </w:pPr>
  </w:style>
  <w:style w:type="paragraph" w:customStyle="1" w:styleId="17">
    <w:name w:val="星耀正文"/>
    <w:basedOn w:val="1"/>
    <w:qFormat/>
    <w:uiPriority w:val="3"/>
    <w:pPr>
      <w:ind w:firstLine="422" w:firstLineChars="200"/>
    </w:pPr>
    <w:rPr>
      <w:rFonts w:ascii="宋体" w:hAnsi="宋体" w:eastAsia="仿宋_GB2312"/>
      <w:bCs/>
    </w:rPr>
  </w:style>
  <w:style w:type="paragraph" w:customStyle="1" w:styleId="18">
    <w:name w:val="USE 1"/>
    <w:basedOn w:val="1"/>
    <w:qFormat/>
    <w:uiPriority w:val="0"/>
    <w:pPr>
      <w:spacing w:line="200" w:lineRule="atLeast"/>
      <w:jc w:val="left"/>
    </w:pPr>
    <w:rPr>
      <w:rFonts w:ascii="宋体" w:hAnsi="宋体"/>
      <w:b/>
      <w:sz w:val="24"/>
      <w:szCs w:val="28"/>
    </w:rPr>
  </w:style>
  <w:style w:type="paragraph" w:customStyle="1" w:styleId="19">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0">
    <w:name w:val="_Style 3"/>
    <w:basedOn w:val="1"/>
    <w:next w:val="1"/>
    <w:qFormat/>
    <w:uiPriority w:val="99"/>
    <w:pPr>
      <w:spacing w:line="360" w:lineRule="auto"/>
      <w:ind w:firstLine="420" w:firstLineChars="200"/>
    </w:pPr>
  </w:style>
  <w:style w:type="character" w:customStyle="1" w:styleId="21">
    <w:name w:val="font01"/>
    <w:basedOn w:val="15"/>
    <w:qFormat/>
    <w:uiPriority w:val="0"/>
    <w:rPr>
      <w:rFonts w:hint="default" w:ascii="等线" w:hAnsi="等线" w:eastAsia="等线" w:cs="等线"/>
      <w:b/>
      <w:bCs/>
      <w:color w:val="000000"/>
      <w:sz w:val="22"/>
      <w:szCs w:val="22"/>
      <w:u w:val="none"/>
    </w:rPr>
  </w:style>
  <w:style w:type="character" w:customStyle="1" w:styleId="22">
    <w:name w:val="font11"/>
    <w:basedOn w:val="15"/>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4426</Words>
  <Characters>4538</Characters>
  <Lines>0</Lines>
  <Paragraphs>0</Paragraphs>
  <TotalTime>1</TotalTime>
  <ScaleCrop>false</ScaleCrop>
  <LinksUpToDate>false</LinksUpToDate>
  <CharactersWithSpaces>4540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2025-04-23T09:16:00Z</dcterms:created>
  <dc:creator>yang</dc:creator>
  <cp:lastModifiedBy>lxy</cp:lastModifiedBy>
  <cp:lastPrinted>2026-02-11T09:14:00Z</cp:lastPrinted>
  <dcterms:modified xsi:type="dcterms:W3CDTF">2026-02-12T17:38:50Z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768A200D1B081CB432E98A6904ECB177</vt:lpwstr>
  </property>
  <property fmtid="{D5CDD505-2E9C-101B-9397-08002B2CF9AE}" pid="4" name="KSOTemplateDocerSaveRecord">
    <vt:lpwstr>eyJoZGlkIjoiNjMzNDdlMzFhN2JhNDE2NmEyZTE0ZDI3MDBmZGNmOGMiLCJ1c2VySWQiOiIzODU1OTk3NTUifQ==</vt:lpwstr>
  </property>
</Properties>
</file>