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autoSpaceDE/>
        <w:autoSpaceDN/>
        <w:bidi w:val="0"/>
        <w:spacing w:line="560" w:lineRule="exact"/>
        <w:jc w:val="center"/>
        <w:rPr>
          <w:rFonts w:hint="eastAsia" w:ascii="黑体" w:hAnsi="黑体" w:eastAsia="黑体" w:cs="黑体"/>
          <w:bCs/>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SA"/>
        </w:rPr>
        <w:t>龙华图书馆新馆</w:t>
      </w:r>
      <w:r>
        <w:rPr>
          <w:rFonts w:hint="eastAsia" w:ascii="方正小标宋简体" w:hAnsi="方正小标宋简体" w:eastAsia="方正小标宋简体" w:cs="方正小标宋简体"/>
          <w:sz w:val="44"/>
          <w:szCs w:val="44"/>
          <w:highlight w:val="none"/>
          <w:lang w:val="en-US" w:eastAsia="zh-CN"/>
        </w:rPr>
        <w:t>2026年网络租赁</w:t>
      </w:r>
      <w:r>
        <w:rPr>
          <w:rFonts w:hint="eastAsia" w:ascii="方正小标宋简体" w:hAnsi="方正小标宋简体" w:eastAsia="方正小标宋简体" w:cs="方正小标宋简体"/>
          <w:sz w:val="44"/>
          <w:szCs w:val="44"/>
          <w:highlight w:val="none"/>
        </w:rPr>
        <w:t>项目</w:t>
      </w:r>
      <w:r>
        <w:rPr>
          <w:rFonts w:hint="eastAsia" w:ascii="方正小标宋简体" w:hAnsi="方正小标宋简体" w:eastAsia="方正小标宋简体" w:cs="方正小标宋简体"/>
          <w:bCs/>
          <w:sz w:val="44"/>
          <w:szCs w:val="44"/>
          <w:highlight w:val="none"/>
        </w:rPr>
        <w:t>需求书</w:t>
      </w:r>
    </w:p>
    <w:p>
      <w:pPr>
        <w:pStyle w:val="8"/>
        <w:pageBreakBefore w:val="0"/>
        <w:kinsoku/>
        <w:wordWrap/>
        <w:overflowPunct/>
        <w:autoSpaceDE/>
        <w:autoSpaceDN/>
        <w:bidi w:val="0"/>
        <w:snapToGrid w:val="0"/>
        <w:spacing w:after="0" w:line="560" w:lineRule="exact"/>
        <w:ind w:left="0" w:leftChars="0" w:right="1470" w:firstLine="640" w:firstLineChars="200"/>
        <w:rPr>
          <w:rFonts w:hint="eastAsia" w:ascii="黑体" w:hAnsi="黑体" w:eastAsia="黑体" w:cs="黑体"/>
          <w:bCs/>
          <w:sz w:val="32"/>
          <w:szCs w:val="32"/>
          <w:highlight w:val="none"/>
        </w:rPr>
      </w:pPr>
    </w:p>
    <w:p>
      <w:pPr>
        <w:pStyle w:val="8"/>
        <w:pageBreakBefore w:val="0"/>
        <w:kinsoku/>
        <w:wordWrap/>
        <w:overflowPunct/>
        <w:autoSpaceDE/>
        <w:autoSpaceDN/>
        <w:bidi w:val="0"/>
        <w:snapToGrid w:val="0"/>
        <w:spacing w:after="0" w:line="560" w:lineRule="exact"/>
        <w:ind w:left="0" w:leftChars="0" w:right="147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一、时间安排</w:t>
      </w:r>
    </w:p>
    <w:p>
      <w:pPr>
        <w:pStyle w:val="8"/>
        <w:pageBreakBefore w:val="0"/>
        <w:kinsoku/>
        <w:wordWrap/>
        <w:overflowPunct/>
        <w:autoSpaceDE/>
        <w:autoSpaceDN/>
        <w:bidi w:val="0"/>
        <w:spacing w:after="0" w:line="56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 w:eastAsia="仿宋_GB2312" w:cs="仿宋"/>
          <w:kern w:val="2"/>
          <w:sz w:val="32"/>
          <w:szCs w:val="32"/>
          <w:highlight w:val="none"/>
          <w:lang w:val="en-US" w:eastAsia="zh-CN" w:bidi="ar-SA"/>
        </w:rPr>
        <w:t>项目起止时间为</w:t>
      </w:r>
      <w:r>
        <w:rPr>
          <w:rFonts w:hint="eastAsia" w:ascii="仿宋_GB2312" w:hAnsi="仿宋_GB2312" w:eastAsia="仿宋_GB2312" w:cs="仿宋_GB2312"/>
          <w:sz w:val="32"/>
          <w:szCs w:val="32"/>
          <w:highlight w:val="none"/>
        </w:rPr>
        <w:t>2026年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2027年3月14日</w:t>
      </w:r>
      <w:r>
        <w:rPr>
          <w:rFonts w:hint="eastAsia" w:ascii="仿宋_GB2312" w:hAnsi="仿宋_GB2312" w:eastAsia="仿宋_GB2312" w:cs="仿宋_GB2312"/>
          <w:sz w:val="32"/>
          <w:szCs w:val="32"/>
          <w:highlight w:val="none"/>
        </w:rPr>
        <w:t>（具体以合同约定为准）</w:t>
      </w:r>
    </w:p>
    <w:p>
      <w:pPr>
        <w:pStyle w:val="8"/>
        <w:pageBreakBefore w:val="0"/>
        <w:kinsoku/>
        <w:wordWrap/>
        <w:overflowPunct/>
        <w:autoSpaceDE/>
        <w:autoSpaceDN/>
        <w:bidi w:val="0"/>
        <w:spacing w:after="0" w:line="560" w:lineRule="exact"/>
        <w:ind w:left="0" w:leftChars="0" w:right="147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二、项目内容及要求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目前，我区正全面推进“鹭湖四馆”项目的建设。其中“鹭湖四馆”项目区图书馆新馆共6层（地下2层，地上4层），建筑面积约3.34万平方米。为</w:t>
      </w:r>
      <w:r>
        <w:rPr>
          <w:rFonts w:hint="eastAsia" w:ascii="仿宋_GB2312" w:hAnsi="仿宋_GB2312" w:eastAsia="仿宋_GB2312" w:cs="仿宋_GB2312"/>
          <w:sz w:val="32"/>
          <w:szCs w:val="32"/>
          <w:highlight w:val="none"/>
        </w:rPr>
        <w:t>高标准、高质量建设</w:t>
      </w:r>
      <w:r>
        <w:rPr>
          <w:rFonts w:hint="eastAsia" w:ascii="仿宋_GB2312" w:hAnsi="仿宋_GB2312" w:eastAsia="仿宋_GB2312" w:cs="仿宋_GB2312"/>
          <w:sz w:val="32"/>
          <w:szCs w:val="32"/>
          <w:highlight w:val="none"/>
          <w:lang w:val="en-US" w:eastAsia="zh-CN"/>
        </w:rPr>
        <w:t>区图书馆新馆</w:t>
      </w:r>
      <w:r>
        <w:rPr>
          <w:rFonts w:hint="eastAsia" w:ascii="仿宋_GB2312" w:hAnsi="仿宋_GB2312" w:eastAsia="仿宋_GB2312" w:cs="仿宋_GB2312"/>
          <w:sz w:val="32"/>
          <w:szCs w:val="32"/>
          <w:highlight w:val="none"/>
        </w:rPr>
        <w:t>，满足后期运营需求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须提前部署图书馆网络环境，以便馆内立库及弱电机房设备调试。现拟采购区图书馆新馆2026年网络租赁服务。</w:t>
      </w:r>
    </w:p>
    <w:p>
      <w:pPr>
        <w:pageBreakBefore w:val="0"/>
        <w:kinsoku/>
        <w:wordWrap/>
        <w:overflowPunct/>
        <w:autoSpaceDE/>
        <w:autoSpaceDN/>
        <w:bidi w:val="0"/>
        <w:spacing w:line="560" w:lineRule="exact"/>
        <w:ind w:firstLine="640" w:firstLineChars="200"/>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Times New Roman" w:eastAsia="仿宋_GB2312" w:cs="Times New Roman"/>
          <w:sz w:val="32"/>
          <w:szCs w:val="32"/>
          <w:highlight w:val="none"/>
          <w:lang w:val="en-US" w:eastAsia="zh-CN"/>
        </w:rPr>
        <w:t>中标商需提供</w:t>
      </w:r>
      <w:r>
        <w:rPr>
          <w:rFonts w:hint="eastAsia" w:ascii="仿宋_GB2312" w:hAnsi="仿宋_GB2312" w:eastAsia="仿宋_GB2312" w:cs="仿宋_GB2312"/>
          <w:b w:val="0"/>
          <w:bCs w:val="0"/>
          <w:kern w:val="2"/>
          <w:sz w:val="32"/>
          <w:szCs w:val="32"/>
          <w:highlight w:val="none"/>
          <w:lang w:val="en-US" w:eastAsia="zh-CN" w:bidi="ar-SA"/>
        </w:rPr>
        <w:t>2</w:t>
      </w:r>
      <w:r>
        <w:rPr>
          <w:rFonts w:hint="default" w:ascii="仿宋_GB2312" w:hAnsi="仿宋_GB2312" w:eastAsia="仿宋_GB2312" w:cs="仿宋_GB2312"/>
          <w:b w:val="0"/>
          <w:bCs w:val="0"/>
          <w:kern w:val="2"/>
          <w:sz w:val="32"/>
          <w:szCs w:val="32"/>
          <w:highlight w:val="none"/>
          <w:lang w:val="en-US" w:eastAsia="zh-CN" w:bidi="ar-SA"/>
        </w:rPr>
        <w:t>条不同方向的光纤城域网专线，1条VPN组网专线，</w:t>
      </w:r>
      <w:r>
        <w:rPr>
          <w:rFonts w:hint="eastAsia" w:ascii="仿宋_GB2312" w:hAnsi="仿宋_GB2312" w:eastAsia="仿宋_GB2312" w:cs="仿宋_GB2312"/>
          <w:b w:val="0"/>
          <w:bCs w:val="0"/>
          <w:kern w:val="2"/>
          <w:sz w:val="32"/>
          <w:szCs w:val="32"/>
          <w:highlight w:val="none"/>
          <w:lang w:val="en-US" w:eastAsia="zh-CN" w:bidi="ar-SA"/>
        </w:rPr>
        <w:t>5</w:t>
      </w:r>
      <w:r>
        <w:rPr>
          <w:rFonts w:hint="default" w:ascii="仿宋_GB2312" w:hAnsi="仿宋_GB2312" w:eastAsia="仿宋_GB2312" w:cs="仿宋_GB2312"/>
          <w:b w:val="0"/>
          <w:bCs w:val="0"/>
          <w:kern w:val="2"/>
          <w:sz w:val="32"/>
          <w:szCs w:val="32"/>
          <w:highlight w:val="none"/>
          <w:lang w:val="en-US" w:eastAsia="zh-CN" w:bidi="ar-SA"/>
        </w:rPr>
        <w:t>条</w:t>
      </w:r>
      <w:r>
        <w:rPr>
          <w:rFonts w:hint="eastAsia" w:ascii="仿宋_GB2312" w:hAnsi="仿宋_GB2312" w:eastAsia="仿宋_GB2312" w:cs="仿宋_GB2312"/>
          <w:b w:val="0"/>
          <w:bCs w:val="0"/>
          <w:kern w:val="2"/>
          <w:sz w:val="32"/>
          <w:szCs w:val="32"/>
          <w:highlight w:val="none"/>
          <w:lang w:val="en-US" w:eastAsia="zh-CN" w:bidi="ar-SA"/>
        </w:rPr>
        <w:t>普通光纤</w:t>
      </w:r>
      <w:r>
        <w:rPr>
          <w:rFonts w:hint="default" w:ascii="仿宋_GB2312" w:hAnsi="仿宋_GB2312" w:eastAsia="仿宋_GB2312" w:cs="仿宋_GB2312"/>
          <w:b w:val="0"/>
          <w:bCs w:val="0"/>
          <w:kern w:val="2"/>
          <w:sz w:val="32"/>
          <w:szCs w:val="32"/>
          <w:highlight w:val="none"/>
          <w:lang w:val="en-US" w:eastAsia="zh-CN" w:bidi="ar-SA"/>
        </w:rPr>
        <w:t>，1条政务专线</w:t>
      </w:r>
      <w:r>
        <w:rPr>
          <w:rFonts w:hint="eastAsia" w:ascii="仿宋_GB2312" w:hAnsi="仿宋_GB2312" w:eastAsia="仿宋_GB2312" w:cs="仿宋_GB2312"/>
          <w:b w:val="0"/>
          <w:bCs w:val="0"/>
          <w:kern w:val="2"/>
          <w:sz w:val="32"/>
          <w:szCs w:val="32"/>
          <w:highlight w:val="none"/>
          <w:lang w:val="en-US" w:eastAsia="zh-CN" w:bidi="ar-SA"/>
        </w:rPr>
        <w:t>及14个固定座机电话</w:t>
      </w:r>
      <w:r>
        <w:rPr>
          <w:rFonts w:hint="default" w:ascii="仿宋_GB2312" w:hAnsi="仿宋_GB2312" w:eastAsia="仿宋_GB2312" w:cs="仿宋_GB2312"/>
          <w:b w:val="0"/>
          <w:bCs w:val="0"/>
          <w:kern w:val="2"/>
          <w:sz w:val="32"/>
          <w:szCs w:val="32"/>
          <w:highlight w:val="none"/>
          <w:lang w:val="en-US" w:eastAsia="zh-CN" w:bidi="ar-SA"/>
        </w:rPr>
        <w:t>。具体需求如下：</w:t>
      </w:r>
    </w:p>
    <w:tbl>
      <w:tblPr>
        <w:tblStyle w:val="13"/>
        <w:tblW w:w="85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
        <w:gridCol w:w="830"/>
        <w:gridCol w:w="885"/>
        <w:gridCol w:w="870"/>
        <w:gridCol w:w="3125"/>
        <w:gridCol w:w="2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6"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序号</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产品类型</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规格参数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数量</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default"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用途</w:t>
            </w:r>
          </w:p>
        </w:tc>
        <w:tc>
          <w:tcPr>
            <w:tcW w:w="2393"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7"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城域网专线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主：上100Mb</w:t>
            </w:r>
            <w:r>
              <w:rPr>
                <w:rFonts w:hint="eastAsia" w:ascii="仿宋_GB2312" w:hAnsi="仿宋_GB2312" w:eastAsia="仿宋_GB2312" w:cs="仿宋_GB2312"/>
                <w:b w:val="0"/>
                <w:bCs w:val="0"/>
                <w:sz w:val="24"/>
                <w:szCs w:val="24"/>
                <w:highlight w:val="none"/>
                <w:lang w:val="en-US" w:eastAsia="zh-CN"/>
              </w:rPr>
              <w:br w:type="textWrapping"/>
            </w:r>
            <w:r>
              <w:rPr>
                <w:rFonts w:hint="eastAsia" w:ascii="仿宋_GB2312" w:hAnsi="仿宋_GB2312" w:eastAsia="仿宋_GB2312" w:cs="仿宋_GB2312"/>
                <w:b w:val="0"/>
                <w:bCs w:val="0"/>
                <w:sz w:val="24"/>
                <w:szCs w:val="24"/>
                <w:highlight w:val="none"/>
                <w:lang w:val="en-US" w:eastAsia="zh-CN"/>
              </w:rPr>
              <w:t>下行100Mb</w:t>
            </w:r>
            <w:r>
              <w:rPr>
                <w:rFonts w:hint="eastAsia" w:ascii="仿宋_GB2312" w:hAnsi="仿宋_GB2312" w:eastAsia="仿宋_GB2312" w:cs="仿宋_GB2312"/>
                <w:b w:val="0"/>
                <w:bCs w:val="0"/>
                <w:sz w:val="24"/>
                <w:szCs w:val="24"/>
                <w:highlight w:val="none"/>
                <w:lang w:val="en-US" w:eastAsia="zh-CN"/>
              </w:rPr>
              <w:br w:type="textWrapping"/>
            </w:r>
            <w:r>
              <w:rPr>
                <w:rFonts w:hint="eastAsia" w:ascii="仿宋_GB2312" w:hAnsi="仿宋_GB2312" w:eastAsia="仿宋_GB2312" w:cs="仿宋_GB2312"/>
                <w:b w:val="0"/>
                <w:bCs w:val="0"/>
                <w:sz w:val="24"/>
                <w:szCs w:val="24"/>
                <w:highlight w:val="none"/>
                <w:lang w:val="en-US" w:eastAsia="zh-CN"/>
              </w:rPr>
              <w:t>+</w:t>
            </w:r>
            <w:r>
              <w:rPr>
                <w:rFonts w:hint="eastAsia" w:ascii="仿宋_GB2312" w:hAnsi="仿宋_GB2312" w:eastAsia="仿宋_GB2312" w:cs="仿宋_GB2312"/>
                <w:b w:val="0"/>
                <w:bCs w:val="0"/>
                <w:sz w:val="24"/>
                <w:szCs w:val="24"/>
                <w:highlight w:val="none"/>
                <w:lang w:val="en-US" w:eastAsia="zh-CN"/>
              </w:rPr>
              <w:br w:type="textWrapping"/>
            </w:r>
            <w:r>
              <w:rPr>
                <w:rFonts w:hint="eastAsia" w:ascii="仿宋_GB2312" w:hAnsi="仿宋_GB2312" w:eastAsia="仿宋_GB2312" w:cs="仿宋_GB2312"/>
                <w:b w:val="0"/>
                <w:bCs w:val="0"/>
                <w:sz w:val="24"/>
                <w:szCs w:val="24"/>
                <w:highlight w:val="none"/>
                <w:lang w:val="en-US" w:eastAsia="zh-CN"/>
              </w:rPr>
              <w:t>备：上100Mb</w:t>
            </w:r>
            <w:r>
              <w:rPr>
                <w:rFonts w:hint="eastAsia" w:ascii="仿宋_GB2312" w:hAnsi="仿宋_GB2312" w:eastAsia="仿宋_GB2312" w:cs="仿宋_GB2312"/>
                <w:b w:val="0"/>
                <w:bCs w:val="0"/>
                <w:sz w:val="24"/>
                <w:szCs w:val="24"/>
                <w:highlight w:val="none"/>
                <w:lang w:val="en-US" w:eastAsia="zh-CN"/>
              </w:rPr>
              <w:br w:type="textWrapping"/>
            </w:r>
            <w:r>
              <w:rPr>
                <w:rFonts w:hint="eastAsia" w:ascii="仿宋_GB2312" w:hAnsi="仿宋_GB2312" w:eastAsia="仿宋_GB2312" w:cs="仿宋_GB2312"/>
                <w:b w:val="0"/>
                <w:bCs w:val="0"/>
                <w:sz w:val="24"/>
                <w:szCs w:val="24"/>
                <w:highlight w:val="none"/>
                <w:lang w:val="en-US" w:eastAsia="zh-CN"/>
              </w:rPr>
              <w:t>下行100Mb</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2条</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连接全国文化信息共享工程、数字图书馆推广工程、读者电子阅览、服务设备、馆员办公及图书馆门户网站</w:t>
            </w:r>
          </w:p>
        </w:tc>
        <w:tc>
          <w:tcPr>
            <w:tcW w:w="2393"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不同方向的链路，满足多点容灾需求，防止因单点网络故障造成业务中断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VPN组网专线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上行30Mb</w:t>
            </w:r>
            <w:r>
              <w:rPr>
                <w:rFonts w:hint="eastAsia" w:ascii="仿宋_GB2312" w:hAnsi="仿宋_GB2312" w:eastAsia="仿宋_GB2312" w:cs="仿宋_GB2312"/>
                <w:b w:val="0"/>
                <w:bCs w:val="0"/>
                <w:sz w:val="24"/>
                <w:szCs w:val="24"/>
                <w:highlight w:val="none"/>
                <w:lang w:val="en-US" w:eastAsia="zh-CN"/>
              </w:rPr>
              <w:br w:type="textWrapping"/>
            </w:r>
            <w:r>
              <w:rPr>
                <w:rFonts w:hint="eastAsia" w:ascii="仿宋_GB2312" w:hAnsi="仿宋_GB2312" w:eastAsia="仿宋_GB2312" w:cs="仿宋_GB2312"/>
                <w:b w:val="0"/>
                <w:bCs w:val="0"/>
                <w:sz w:val="24"/>
                <w:szCs w:val="24"/>
                <w:highlight w:val="none"/>
                <w:lang w:val="en-US" w:eastAsia="zh-CN"/>
              </w:rPr>
              <w:t>下行30Mb</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1条</w:t>
            </w:r>
          </w:p>
        </w:tc>
        <w:tc>
          <w:tcPr>
            <w:tcW w:w="3125" w:type="dxa"/>
            <w:tcBorders>
              <w:top w:val="single" w:color="000000" w:sz="4" w:space="0"/>
              <w:left w:val="single" w:color="000000" w:sz="4" w:space="0"/>
              <w:bottom w:val="single" w:color="000000" w:sz="4" w:space="0"/>
              <w:right w:val="single" w:color="000000" w:sz="4" w:space="0"/>
            </w:tcBorders>
            <w:noWrap/>
            <w:vAlign w:val="center"/>
          </w:tcPr>
          <w:p>
            <w:pPr>
              <w:pStyle w:val="2"/>
              <w:pageBreakBefore w:val="0"/>
              <w:kinsoku/>
              <w:wordWrap/>
              <w:overflowPunct/>
              <w:autoSpaceDE/>
              <w:autoSpaceDN/>
              <w:bidi w:val="0"/>
              <w:spacing w:line="560" w:lineRule="exact"/>
              <w:jc w:val="center"/>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链接深圳图书馆中心机房，进行实时数据交互</w:t>
            </w:r>
          </w:p>
        </w:tc>
        <w:tc>
          <w:tcPr>
            <w:tcW w:w="2393" w:type="dxa"/>
            <w:tcBorders>
              <w:top w:val="single" w:color="000000" w:sz="4" w:space="0"/>
              <w:left w:val="single" w:color="000000" w:sz="4" w:space="0"/>
              <w:bottom w:val="single" w:color="000000" w:sz="4" w:space="0"/>
              <w:right w:val="single" w:color="000000" w:sz="4" w:space="0"/>
            </w:tcBorders>
            <w:noWrap/>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3</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固定座机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办公专用</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14台</w:t>
            </w:r>
          </w:p>
        </w:tc>
        <w:tc>
          <w:tcPr>
            <w:tcW w:w="3125" w:type="dxa"/>
            <w:tcBorders>
              <w:top w:val="single" w:color="000000" w:sz="4" w:space="0"/>
              <w:left w:val="single" w:color="000000" w:sz="4" w:space="0"/>
              <w:bottom w:val="single" w:color="000000" w:sz="4" w:space="0"/>
              <w:right w:val="single" w:color="000000" w:sz="4" w:space="0"/>
            </w:tcBorders>
            <w:noWrap/>
            <w:vAlign w:val="center"/>
          </w:tcPr>
          <w:p>
            <w:pPr>
              <w:pStyle w:val="2"/>
              <w:pageBreakBefore w:val="0"/>
              <w:kinsoku/>
              <w:wordWrap/>
              <w:overflowPunct/>
              <w:autoSpaceDE/>
              <w:autoSpaceDN/>
              <w:bidi w:val="0"/>
              <w:spacing w:line="560" w:lineRule="exact"/>
              <w:jc w:val="center"/>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服务及办公用</w:t>
            </w:r>
          </w:p>
        </w:tc>
        <w:tc>
          <w:tcPr>
            <w:tcW w:w="2393" w:type="dxa"/>
            <w:tcBorders>
              <w:top w:val="single" w:color="000000" w:sz="4" w:space="0"/>
              <w:left w:val="single" w:color="000000" w:sz="4" w:space="0"/>
              <w:bottom w:val="single" w:color="000000" w:sz="4" w:space="0"/>
              <w:right w:val="single" w:color="000000" w:sz="4" w:space="0"/>
            </w:tcBorders>
            <w:noWrap/>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普通光纤</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上行100Mb</w:t>
            </w:r>
            <w:r>
              <w:rPr>
                <w:rFonts w:hint="eastAsia" w:ascii="仿宋_GB2312" w:hAnsi="仿宋_GB2312" w:eastAsia="仿宋_GB2312" w:cs="仿宋_GB2312"/>
                <w:b w:val="0"/>
                <w:bCs w:val="0"/>
                <w:sz w:val="24"/>
                <w:szCs w:val="24"/>
                <w:highlight w:val="none"/>
                <w:lang w:val="en-US" w:eastAsia="zh-CN"/>
              </w:rPr>
              <w:br w:type="textWrapping"/>
            </w:r>
            <w:r>
              <w:rPr>
                <w:rFonts w:hint="eastAsia" w:ascii="仿宋_GB2312" w:hAnsi="仿宋_GB2312" w:eastAsia="仿宋_GB2312" w:cs="仿宋_GB2312"/>
                <w:b w:val="0"/>
                <w:bCs w:val="0"/>
                <w:sz w:val="24"/>
                <w:szCs w:val="24"/>
                <w:highlight w:val="none"/>
                <w:lang w:val="en-US" w:eastAsia="zh-CN"/>
              </w:rPr>
              <w:t>下行1000Mb</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5条</w:t>
            </w:r>
          </w:p>
        </w:tc>
        <w:tc>
          <w:tcPr>
            <w:tcW w:w="3125" w:type="dxa"/>
            <w:tcBorders>
              <w:top w:val="single" w:color="000000" w:sz="4" w:space="0"/>
              <w:left w:val="single" w:color="000000" w:sz="4" w:space="0"/>
              <w:bottom w:val="single" w:color="000000" w:sz="4" w:space="0"/>
              <w:right w:val="single" w:color="000000" w:sz="4" w:space="0"/>
            </w:tcBorders>
            <w:noWrap/>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接入数字资源及图书馆读者及馆员的日常WIFI使用</w:t>
            </w:r>
          </w:p>
        </w:tc>
        <w:tc>
          <w:tcPr>
            <w:tcW w:w="2393" w:type="dxa"/>
            <w:tcBorders>
              <w:top w:val="single" w:color="000000" w:sz="4" w:space="0"/>
              <w:left w:val="single" w:color="000000" w:sz="4" w:space="0"/>
              <w:bottom w:val="single" w:color="000000" w:sz="4" w:space="0"/>
              <w:right w:val="single" w:color="000000" w:sz="4" w:space="0"/>
            </w:tcBorders>
            <w:noWrap/>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政务以太专线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上行20Mb</w:t>
            </w:r>
            <w:r>
              <w:rPr>
                <w:rFonts w:hint="eastAsia" w:ascii="仿宋_GB2312" w:hAnsi="仿宋_GB2312" w:eastAsia="仿宋_GB2312" w:cs="仿宋_GB2312"/>
                <w:b w:val="0"/>
                <w:bCs w:val="0"/>
                <w:sz w:val="24"/>
                <w:szCs w:val="24"/>
                <w:highlight w:val="none"/>
                <w:lang w:val="en-US" w:eastAsia="zh-CN"/>
              </w:rPr>
              <w:br w:type="textWrapping"/>
            </w:r>
            <w:r>
              <w:rPr>
                <w:rFonts w:hint="eastAsia" w:ascii="仿宋_GB2312" w:hAnsi="仿宋_GB2312" w:eastAsia="仿宋_GB2312" w:cs="仿宋_GB2312"/>
                <w:b w:val="0"/>
                <w:bCs w:val="0"/>
                <w:sz w:val="24"/>
                <w:szCs w:val="24"/>
                <w:highlight w:val="none"/>
                <w:lang w:val="en-US" w:eastAsia="zh-CN"/>
              </w:rPr>
              <w:t>下行20Mb</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1条</w:t>
            </w:r>
          </w:p>
        </w:tc>
        <w:tc>
          <w:tcPr>
            <w:tcW w:w="3125" w:type="dxa"/>
            <w:tcBorders>
              <w:top w:val="single" w:color="000000" w:sz="4" w:space="0"/>
              <w:left w:val="single" w:color="000000" w:sz="4" w:space="0"/>
              <w:bottom w:val="single" w:color="000000" w:sz="4" w:space="0"/>
              <w:right w:val="single" w:color="000000" w:sz="4" w:space="0"/>
            </w:tcBorders>
            <w:noWrap/>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OA走件，内部公文处理</w:t>
            </w:r>
          </w:p>
        </w:tc>
        <w:tc>
          <w:tcPr>
            <w:tcW w:w="2393" w:type="dxa"/>
            <w:tcBorders>
              <w:top w:val="single" w:color="000000" w:sz="4" w:space="0"/>
              <w:left w:val="single" w:color="000000" w:sz="4" w:space="0"/>
              <w:bottom w:val="single" w:color="000000" w:sz="4" w:space="0"/>
              <w:right w:val="single" w:color="000000" w:sz="4" w:space="0"/>
            </w:tcBorders>
            <w:noWrap/>
            <w:vAlign w:val="center"/>
          </w:tcPr>
          <w:p>
            <w:pPr>
              <w:pStyle w:val="2"/>
              <w:pageBreakBefore w:val="0"/>
              <w:kinsoku/>
              <w:wordWrap/>
              <w:overflowPunct/>
              <w:autoSpaceDE/>
              <w:autoSpaceDN/>
              <w:bidi w:val="0"/>
              <w:spacing w:line="560" w:lineRule="exact"/>
              <w:jc w:val="center"/>
              <w:rPr>
                <w:rFonts w:hint="eastAsia" w:ascii="仿宋_GB2312" w:hAnsi="仿宋_GB2312" w:eastAsia="仿宋_GB2312" w:cs="仿宋_GB2312"/>
                <w:b w:val="0"/>
                <w:bCs w:val="0"/>
                <w:sz w:val="24"/>
                <w:szCs w:val="24"/>
                <w:highlight w:val="none"/>
                <w:lang w:val="en-US" w:eastAsia="zh-CN"/>
              </w:rPr>
            </w:pPr>
          </w:p>
        </w:tc>
      </w:tr>
    </w:tbl>
    <w:p>
      <w:pPr>
        <w:pageBreakBefore w:val="0"/>
        <w:numPr>
          <w:ilvl w:val="0"/>
          <w:numId w:val="1"/>
        </w:numPr>
        <w:tabs>
          <w:tab w:val="left" w:pos="1820"/>
        </w:tabs>
        <w:kinsoku/>
        <w:wordWrap/>
        <w:overflowPunct/>
        <w:autoSpaceDE/>
        <w:autoSpaceDN/>
        <w:bidi w:val="0"/>
        <w:adjustRightInd w:val="0"/>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报价限额</w:t>
      </w:r>
    </w:p>
    <w:p>
      <w:pPr>
        <w:pStyle w:val="2"/>
        <w:pageBreakBefore w:val="0"/>
        <w:kinsoku/>
        <w:wordWrap/>
        <w:overflowPunct/>
        <w:autoSpaceDE/>
        <w:autoSpaceDN/>
        <w:bidi w:val="0"/>
        <w:spacing w:line="560" w:lineRule="exact"/>
        <w:rPr>
          <w:rFonts w:hint="eastAsia"/>
          <w:highlight w:val="none"/>
        </w:rPr>
      </w:pP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val="en-US" w:eastAsia="zh-CN"/>
        </w:rPr>
        <w:t>16.2</w:t>
      </w:r>
      <w:r>
        <w:rPr>
          <w:rFonts w:hint="eastAsia" w:ascii="黑体" w:hAnsi="黑体" w:eastAsia="黑体" w:cs="黑体"/>
          <w:sz w:val="32"/>
          <w:szCs w:val="32"/>
          <w:highlight w:val="none"/>
        </w:rPr>
        <w:t>万元，</w:t>
      </w:r>
      <w:r>
        <w:rPr>
          <w:rFonts w:hint="eastAsia" w:ascii="仿宋_GB2312" w:hAnsi="仿宋_GB2312" w:eastAsia="仿宋_GB2312" w:cs="仿宋_GB2312"/>
          <w:sz w:val="32"/>
          <w:szCs w:val="32"/>
          <w:highlight w:val="none"/>
        </w:rPr>
        <w:t>项目报价表需与下表保持一致：</w:t>
      </w:r>
    </w:p>
    <w:tbl>
      <w:tblPr>
        <w:tblStyle w:val="13"/>
        <w:tblW w:w="4890" w:type="pct"/>
        <w:tblInd w:w="86" w:type="dxa"/>
        <w:tblLayout w:type="fixed"/>
        <w:tblCellMar>
          <w:top w:w="0" w:type="dxa"/>
          <w:left w:w="108" w:type="dxa"/>
          <w:bottom w:w="0" w:type="dxa"/>
          <w:right w:w="108" w:type="dxa"/>
        </w:tblCellMar>
      </w:tblPr>
      <w:tblGrid>
        <w:gridCol w:w="805"/>
        <w:gridCol w:w="1799"/>
        <w:gridCol w:w="6258"/>
      </w:tblGrid>
      <w:tr>
        <w:tblPrEx>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autoSpaceDE/>
              <w:autoSpaceDN/>
              <w:bidi w:val="0"/>
              <w:spacing w:line="560" w:lineRule="exact"/>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序号</w:t>
            </w:r>
          </w:p>
        </w:tc>
        <w:tc>
          <w:tcPr>
            <w:tcW w:w="1015"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autoSpaceDE/>
              <w:autoSpaceDN/>
              <w:bidi w:val="0"/>
              <w:spacing w:line="560" w:lineRule="exact"/>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项目</w:t>
            </w:r>
          </w:p>
        </w:tc>
        <w:tc>
          <w:tcPr>
            <w:tcW w:w="35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autoSpaceDE/>
              <w:autoSpaceDN/>
              <w:bidi w:val="0"/>
              <w:spacing w:line="560" w:lineRule="exact"/>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内容</w:t>
            </w:r>
          </w:p>
        </w:tc>
      </w:tr>
      <w:tr>
        <w:tblPrEx>
          <w:tblCellMar>
            <w:top w:w="0" w:type="dxa"/>
            <w:left w:w="108" w:type="dxa"/>
            <w:bottom w:w="0" w:type="dxa"/>
            <w:right w:w="108" w:type="dxa"/>
          </w:tblCellMar>
        </w:tblPrEx>
        <w:trPr>
          <w:trHeight w:val="54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autoSpaceDE/>
              <w:autoSpaceDN/>
              <w:bidi w:val="0"/>
              <w:spacing w:line="560" w:lineRule="exact"/>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015" w:type="pc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autoSpaceDE/>
              <w:autoSpaceDN/>
              <w:bidi w:val="0"/>
              <w:spacing w:line="560" w:lineRule="exact"/>
              <w:jc w:val="center"/>
              <w:textAlignment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kern w:val="0"/>
                <w:szCs w:val="21"/>
                <w:highlight w:val="none"/>
                <w:lang w:val="en-US" w:eastAsia="zh-CN" w:bidi="ar"/>
              </w:rPr>
              <w:t>龙华图书馆新馆2026年网络租赁</w:t>
            </w:r>
          </w:p>
        </w:tc>
        <w:tc>
          <w:tcPr>
            <w:tcW w:w="3530" w:type="pc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autoSpaceDE/>
              <w:autoSpaceDN/>
              <w:bidi w:val="0"/>
              <w:spacing w:line="560" w:lineRule="exact"/>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val="en-US" w:eastAsia="zh-CN" w:bidi="ar"/>
              </w:rPr>
              <w:t>提供2条不同方向上下行100M的光纤城域网专线；1条上下行30M的VPN组网专线；5条上行100M，下行1000M的普通光纤；1条上下行20M的政务专线及14个固定座机电话</w:t>
            </w:r>
            <w:r>
              <w:rPr>
                <w:rFonts w:hint="eastAsia" w:ascii="宋体" w:hAnsi="宋体" w:eastAsia="宋体" w:cs="宋体"/>
                <w:color w:val="000000"/>
                <w:kern w:val="0"/>
                <w:szCs w:val="21"/>
                <w:highlight w:val="none"/>
                <w:lang w:bidi="ar"/>
              </w:rPr>
              <w:t>。</w:t>
            </w:r>
          </w:p>
        </w:tc>
      </w:tr>
      <w:tr>
        <w:tblPrEx>
          <w:tblCellMar>
            <w:top w:w="0" w:type="dxa"/>
            <w:left w:w="108" w:type="dxa"/>
            <w:bottom w:w="0" w:type="dxa"/>
            <w:right w:w="108" w:type="dxa"/>
          </w:tblCellMar>
        </w:tblPrEx>
        <w:trPr>
          <w:trHeight w:val="380"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autoSpaceDE/>
              <w:autoSpaceDN/>
              <w:bidi w:val="0"/>
              <w:spacing w:line="560" w:lineRule="exact"/>
              <w:jc w:val="left"/>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投标价格（万元）：_____（以万元为单位，并最多保留两位小数）</w:t>
            </w:r>
          </w:p>
        </w:tc>
      </w:tr>
    </w:tbl>
    <w:p>
      <w:pPr>
        <w:pageBreakBefore w:val="0"/>
        <w:kinsoku/>
        <w:wordWrap/>
        <w:overflowPunct/>
        <w:autoSpaceDE/>
        <w:autoSpaceDN/>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bCs/>
          <w:sz w:val="32"/>
          <w:szCs w:val="32"/>
          <w:highlight w:val="none"/>
        </w:rPr>
        <w:t>四、</w:t>
      </w:r>
      <w:r>
        <w:rPr>
          <w:rFonts w:hint="eastAsia" w:ascii="黑体" w:hAnsi="黑体" w:eastAsia="黑体" w:cs="黑体"/>
          <w:sz w:val="32"/>
          <w:szCs w:val="32"/>
          <w:highlight w:val="none"/>
        </w:rPr>
        <w:t>供应商的资质要求</w:t>
      </w:r>
    </w:p>
    <w:p>
      <w:pPr>
        <w:pageBreakBefore w:val="0"/>
        <w:kinsoku/>
        <w:wordWrap/>
        <w:overflowPunct/>
        <w:autoSpaceDE/>
        <w:autoSpaceDN/>
        <w:bidi w:val="0"/>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pPr>
        <w:pageBreakBefore w:val="0"/>
        <w:kinsoku/>
        <w:wordWrap/>
        <w:overflowPunct/>
        <w:autoSpaceDE/>
        <w:autoSpaceDN/>
        <w:bidi w:val="0"/>
        <w:spacing w:line="560" w:lineRule="exact"/>
        <w:ind w:firstLine="640" w:firstLineChars="20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2.参与本项目投标近三年内（供应商成立不足三年的可从成立之日起算），在经营活动中没有重大违法记录以及不存在被有关部门禁止参与政府采购活动且在有效期内的情况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highlight w:val="none"/>
          <w:lang w:eastAsia="zh-CN"/>
        </w:rPr>
        <w:t>；</w:t>
      </w:r>
    </w:p>
    <w:p>
      <w:pPr>
        <w:pageBreakBefore w:val="0"/>
        <w:kinsoku/>
        <w:wordWrap/>
        <w:overflowPunct/>
        <w:autoSpaceDE/>
        <w:autoSpaceDN/>
        <w:bidi w:val="0"/>
        <w:spacing w:line="560" w:lineRule="exact"/>
        <w:ind w:firstLine="640" w:firstLineChars="200"/>
        <w:rPr>
          <w:rFonts w:hint="eastAsia" w:ascii="仿宋_GB2312" w:eastAsia="仿宋_GB2312"/>
          <w:color w:val="000000"/>
          <w:sz w:val="32"/>
          <w:szCs w:val="32"/>
          <w:highlight w:val="none"/>
        </w:rPr>
      </w:pPr>
      <w:r>
        <w:rPr>
          <w:rFonts w:hint="eastAsia" w:ascii="仿宋_GB2312" w:hAnsi="仿宋" w:eastAsia="仿宋_GB2312" w:cs="仿宋"/>
          <w:sz w:val="32"/>
          <w:szCs w:val="32"/>
          <w:highlight w:val="none"/>
        </w:rPr>
        <w:t>3.单位负责人为同一人或者存在直接控股、管理关系的不同供应商，不得同时参加本项目的采购活动。</w:t>
      </w:r>
    </w:p>
    <w:p>
      <w:pPr>
        <w:pageBreakBefore w:val="0"/>
        <w:kinsoku/>
        <w:wordWrap/>
        <w:overflowPunct/>
        <w:autoSpaceDE/>
        <w:autoSpaceDN/>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五、选定供应商方法</w:t>
      </w:r>
    </w:p>
    <w:p>
      <w:pPr>
        <w:pageBreakBefore w:val="0"/>
        <w:kinsoku/>
        <w:wordWrap/>
        <w:overflowPunct/>
        <w:autoSpaceDE/>
        <w:autoSpaceDN/>
        <w:bidi w:val="0"/>
        <w:spacing w:line="560" w:lineRule="exact"/>
        <w:ind w:firstLine="640" w:firstLineChars="200"/>
        <w:rPr>
          <w:rFonts w:hint="eastAsia"/>
          <w:highlight w:val="none"/>
        </w:rPr>
      </w:pP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val="en-US" w:eastAsia="zh-CN"/>
        </w:rPr>
        <w:t>公开征集采购</w:t>
      </w:r>
      <w:r>
        <w:rPr>
          <w:rFonts w:hint="eastAsia" w:ascii="仿宋_GB2312" w:hAnsi="仿宋_GB2312" w:eastAsia="仿宋_GB2312" w:cs="仿宋_GB2312"/>
          <w:sz w:val="32"/>
          <w:szCs w:val="32"/>
          <w:highlight w:val="none"/>
        </w:rPr>
        <w:t>方式，以综合评分法确定供应商。</w:t>
      </w:r>
    </w:p>
    <w:p>
      <w:pPr>
        <w:pageBreakBefore w:val="0"/>
        <w:kinsoku/>
        <w:wordWrap/>
        <w:overflowPunct/>
        <w:autoSpaceDE/>
        <w:autoSpaceDN/>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六、评分要求</w:t>
      </w:r>
    </w:p>
    <w:p>
      <w:pPr>
        <w:pStyle w:val="19"/>
        <w:pageBreakBefore w:val="0"/>
        <w:kinsoku/>
        <w:wordWrap/>
        <w:overflowPunct/>
        <w:autoSpaceDE/>
        <w:autoSpaceDN/>
        <w:bidi w:val="0"/>
        <w:spacing w:line="560" w:lineRule="exact"/>
        <w:ind w:firstLine="640" w:firstLineChars="200"/>
        <w:rPr>
          <w:rFonts w:hint="eastAsia" w:ascii="楷体_GB2312" w:hAnsi="楷体_GB2312" w:eastAsia="楷体_GB2312" w:cs="楷体_GB2312"/>
          <w:b w:val="0"/>
          <w:sz w:val="32"/>
          <w:szCs w:val="32"/>
          <w:highlight w:val="none"/>
        </w:rPr>
      </w:pPr>
      <w:r>
        <w:rPr>
          <w:rFonts w:hint="eastAsia" w:ascii="楷体_GB2312" w:hAnsi="楷体_GB2312" w:eastAsia="楷体_GB2312" w:cs="楷体_GB2312"/>
          <w:b w:val="0"/>
          <w:sz w:val="32"/>
          <w:szCs w:val="32"/>
          <w:highlight w:val="none"/>
        </w:rPr>
        <w:t>（一）评分规则</w:t>
      </w:r>
    </w:p>
    <w:p>
      <w:pPr>
        <w:pageBreakBefore w:val="0"/>
        <w:kinsoku/>
        <w:wordWrap/>
        <w:overflowPunct/>
        <w:autoSpaceDE/>
        <w:autoSpaceDN/>
        <w:bidi w:val="0"/>
        <w:spacing w:line="560" w:lineRule="exact"/>
        <w:ind w:firstLine="640" w:firstLineChars="200"/>
        <w:rPr>
          <w:rFonts w:hint="eastAsia" w:ascii="楷体_GB2312" w:hAnsi="楷体_GB2312" w:eastAsia="楷体_GB2312" w:cs="楷体_GB2312"/>
          <w:bCs/>
          <w:color w:val="000000"/>
          <w:sz w:val="32"/>
          <w:szCs w:val="32"/>
          <w:highlight w:val="none"/>
        </w:rPr>
      </w:pPr>
      <w:r>
        <w:rPr>
          <w:rFonts w:hint="eastAsia" w:ascii="仿宋_GB2312" w:eastAsia="仿宋_GB2312"/>
          <w:color w:val="000000"/>
          <w:sz w:val="32"/>
          <w:szCs w:val="32"/>
          <w:highlight w:val="none"/>
        </w:rPr>
        <w:t>采取综合评分标准，平均分最高的投标人为本项目中标人。</w:t>
      </w:r>
    </w:p>
    <w:p>
      <w:pPr>
        <w:pStyle w:val="19"/>
        <w:pageBreakBefore w:val="0"/>
        <w:kinsoku/>
        <w:wordWrap/>
        <w:overflowPunct/>
        <w:autoSpaceDE/>
        <w:autoSpaceDN/>
        <w:bidi w:val="0"/>
        <w:spacing w:line="560" w:lineRule="exact"/>
        <w:ind w:firstLine="640" w:firstLineChars="200"/>
        <w:rPr>
          <w:rFonts w:hint="eastAsia" w:ascii="楷体_GB2312" w:hAnsi="楷体_GB2312" w:eastAsia="楷体_GB2312" w:cs="楷体_GB2312"/>
          <w:b w:val="0"/>
          <w:sz w:val="32"/>
          <w:szCs w:val="32"/>
          <w:highlight w:val="none"/>
        </w:rPr>
      </w:pPr>
      <w:r>
        <w:rPr>
          <w:rFonts w:hint="eastAsia" w:ascii="楷体_GB2312" w:hAnsi="楷体_GB2312" w:eastAsia="楷体_GB2312" w:cs="楷体_GB2312"/>
          <w:b w:val="0"/>
          <w:sz w:val="32"/>
          <w:szCs w:val="32"/>
          <w:highlight w:val="none"/>
        </w:rPr>
        <w:t>（二）评分权重</w:t>
      </w:r>
    </w:p>
    <w:tbl>
      <w:tblPr>
        <w:tblStyle w:val="13"/>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tcPr>
          <w:p>
            <w:pPr>
              <w:pStyle w:val="19"/>
              <w:pageBreakBefore w:val="0"/>
              <w:kinsoku/>
              <w:wordWrap/>
              <w:overflowPunct/>
              <w:autoSpaceDE/>
              <w:autoSpaceDN/>
              <w:bidi w:val="0"/>
              <w:spacing w:line="560" w:lineRule="exact"/>
              <w:jc w:val="center"/>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评分内容</w:t>
            </w:r>
          </w:p>
        </w:tc>
        <w:tc>
          <w:tcPr>
            <w:tcW w:w="2089" w:type="dxa"/>
            <w:tcBorders>
              <w:top w:val="single" w:color="auto" w:sz="4" w:space="0"/>
              <w:left w:val="single" w:color="auto" w:sz="4" w:space="0"/>
              <w:bottom w:val="single" w:color="auto" w:sz="4" w:space="0"/>
              <w:right w:val="single" w:color="auto" w:sz="4" w:space="0"/>
            </w:tcBorders>
          </w:tcPr>
          <w:p>
            <w:pPr>
              <w:pStyle w:val="19"/>
              <w:pageBreakBefore w:val="0"/>
              <w:kinsoku/>
              <w:wordWrap/>
              <w:overflowPunct/>
              <w:autoSpaceDE/>
              <w:autoSpaceDN/>
              <w:bidi w:val="0"/>
              <w:spacing w:line="560" w:lineRule="exact"/>
              <w:jc w:val="center"/>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商务部分</w:t>
            </w:r>
          </w:p>
        </w:tc>
        <w:tc>
          <w:tcPr>
            <w:tcW w:w="2089" w:type="dxa"/>
            <w:tcBorders>
              <w:top w:val="single" w:color="auto" w:sz="4" w:space="0"/>
              <w:left w:val="single" w:color="auto" w:sz="4" w:space="0"/>
              <w:bottom w:val="single" w:color="auto" w:sz="4" w:space="0"/>
              <w:right w:val="single" w:color="auto" w:sz="4" w:space="0"/>
            </w:tcBorders>
          </w:tcPr>
          <w:p>
            <w:pPr>
              <w:pStyle w:val="19"/>
              <w:pageBreakBefore w:val="0"/>
              <w:kinsoku/>
              <w:wordWrap/>
              <w:overflowPunct/>
              <w:autoSpaceDE/>
              <w:autoSpaceDN/>
              <w:bidi w:val="0"/>
              <w:spacing w:line="560" w:lineRule="exact"/>
              <w:jc w:val="center"/>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技术部分</w:t>
            </w:r>
          </w:p>
        </w:tc>
        <w:tc>
          <w:tcPr>
            <w:tcW w:w="2089" w:type="dxa"/>
            <w:tcBorders>
              <w:top w:val="single" w:color="auto" w:sz="4" w:space="0"/>
              <w:left w:val="single" w:color="auto" w:sz="4" w:space="0"/>
              <w:bottom w:val="single" w:color="auto" w:sz="4" w:space="0"/>
              <w:right w:val="single" w:color="auto" w:sz="4" w:space="0"/>
            </w:tcBorders>
          </w:tcPr>
          <w:p>
            <w:pPr>
              <w:pStyle w:val="19"/>
              <w:pageBreakBefore w:val="0"/>
              <w:kinsoku/>
              <w:wordWrap/>
              <w:overflowPunct/>
              <w:autoSpaceDE/>
              <w:autoSpaceDN/>
              <w:bidi w:val="0"/>
              <w:spacing w:line="560" w:lineRule="exact"/>
              <w:jc w:val="center"/>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tcPr>
          <w:p>
            <w:pPr>
              <w:pStyle w:val="19"/>
              <w:pageBreakBefore w:val="0"/>
              <w:kinsoku/>
              <w:wordWrap/>
              <w:overflowPunct/>
              <w:autoSpaceDE/>
              <w:autoSpaceDN/>
              <w:bidi w:val="0"/>
              <w:spacing w:line="560" w:lineRule="exact"/>
              <w:jc w:val="center"/>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分值</w:t>
            </w:r>
          </w:p>
        </w:tc>
        <w:tc>
          <w:tcPr>
            <w:tcW w:w="2089" w:type="dxa"/>
            <w:tcBorders>
              <w:top w:val="single" w:color="auto" w:sz="4" w:space="0"/>
              <w:left w:val="single" w:color="auto" w:sz="4" w:space="0"/>
              <w:bottom w:val="single" w:color="auto" w:sz="4" w:space="0"/>
              <w:right w:val="single" w:color="auto" w:sz="4" w:space="0"/>
            </w:tcBorders>
          </w:tcPr>
          <w:p>
            <w:pPr>
              <w:pStyle w:val="19"/>
              <w:pageBreakBefore w:val="0"/>
              <w:kinsoku/>
              <w:wordWrap/>
              <w:overflowPunct/>
              <w:autoSpaceDE/>
              <w:autoSpaceDN/>
              <w:bidi w:val="0"/>
              <w:spacing w:line="560" w:lineRule="exact"/>
              <w:jc w:val="center"/>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lang w:val="en-US" w:eastAsia="zh-CN"/>
              </w:rPr>
              <w:t>30</w:t>
            </w:r>
            <w:r>
              <w:rPr>
                <w:rFonts w:hint="eastAsia" w:ascii="仿宋_GB2312" w:hAnsi="仿宋_GB2312" w:eastAsia="仿宋_GB2312" w:cs="仿宋_GB2312"/>
                <w:b w:val="0"/>
                <w:highlight w:val="none"/>
              </w:rPr>
              <w:t>分</w:t>
            </w:r>
          </w:p>
        </w:tc>
        <w:tc>
          <w:tcPr>
            <w:tcW w:w="2089" w:type="dxa"/>
            <w:tcBorders>
              <w:top w:val="single" w:color="auto" w:sz="4" w:space="0"/>
              <w:left w:val="single" w:color="auto" w:sz="4" w:space="0"/>
              <w:bottom w:val="single" w:color="auto" w:sz="4" w:space="0"/>
              <w:right w:val="single" w:color="auto" w:sz="4" w:space="0"/>
            </w:tcBorders>
          </w:tcPr>
          <w:p>
            <w:pPr>
              <w:pStyle w:val="19"/>
              <w:pageBreakBefore w:val="0"/>
              <w:kinsoku/>
              <w:wordWrap/>
              <w:overflowPunct/>
              <w:autoSpaceDE/>
              <w:autoSpaceDN/>
              <w:bidi w:val="0"/>
              <w:spacing w:line="560" w:lineRule="exact"/>
              <w:jc w:val="center"/>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lang w:val="en-US" w:eastAsia="zh-CN"/>
              </w:rPr>
              <w:t>50</w:t>
            </w:r>
            <w:r>
              <w:rPr>
                <w:rFonts w:hint="eastAsia" w:ascii="仿宋_GB2312" w:hAnsi="仿宋_GB2312" w:eastAsia="仿宋_GB2312" w:cs="仿宋_GB2312"/>
                <w:b w:val="0"/>
                <w:highlight w:val="none"/>
              </w:rPr>
              <w:t>分</w:t>
            </w:r>
          </w:p>
        </w:tc>
        <w:tc>
          <w:tcPr>
            <w:tcW w:w="2089" w:type="dxa"/>
            <w:tcBorders>
              <w:top w:val="single" w:color="auto" w:sz="4" w:space="0"/>
              <w:left w:val="single" w:color="auto" w:sz="4" w:space="0"/>
              <w:bottom w:val="single" w:color="auto" w:sz="4" w:space="0"/>
              <w:right w:val="single" w:color="auto" w:sz="4" w:space="0"/>
            </w:tcBorders>
          </w:tcPr>
          <w:p>
            <w:pPr>
              <w:pStyle w:val="19"/>
              <w:pageBreakBefore w:val="0"/>
              <w:kinsoku/>
              <w:wordWrap/>
              <w:overflowPunct/>
              <w:autoSpaceDE/>
              <w:autoSpaceDN/>
              <w:bidi w:val="0"/>
              <w:spacing w:line="560" w:lineRule="exact"/>
              <w:jc w:val="center"/>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lang w:val="en-US" w:eastAsia="zh-CN"/>
              </w:rPr>
              <w:t>2</w:t>
            </w:r>
            <w:r>
              <w:rPr>
                <w:rFonts w:hint="eastAsia" w:ascii="仿宋_GB2312" w:hAnsi="仿宋_GB2312" w:eastAsia="仿宋_GB2312" w:cs="仿宋_GB2312"/>
                <w:b w:val="0"/>
                <w:highlight w:val="none"/>
              </w:rPr>
              <w:t>0分</w:t>
            </w:r>
          </w:p>
        </w:tc>
      </w:tr>
    </w:tbl>
    <w:p>
      <w:pPr>
        <w:pStyle w:val="19"/>
        <w:pageBreakBefore w:val="0"/>
        <w:kinsoku/>
        <w:wordWrap/>
        <w:overflowPunct/>
        <w:autoSpaceDE/>
        <w:autoSpaceDN/>
        <w:bidi w:val="0"/>
        <w:spacing w:line="560" w:lineRule="exact"/>
        <w:ind w:firstLine="640" w:firstLineChars="200"/>
        <w:rPr>
          <w:rFonts w:hint="eastAsia" w:ascii="仿宋_GB2312" w:eastAsia="仿宋_GB2312"/>
          <w:sz w:val="32"/>
          <w:szCs w:val="32"/>
          <w:highlight w:val="none"/>
        </w:rPr>
      </w:pPr>
      <w:r>
        <w:rPr>
          <w:rFonts w:hint="eastAsia" w:ascii="楷体_GB2312" w:hAnsi="楷体_GB2312" w:eastAsia="楷体_GB2312" w:cs="楷体_GB2312"/>
          <w:b w:val="0"/>
          <w:sz w:val="32"/>
          <w:szCs w:val="32"/>
          <w:highlight w:val="none"/>
        </w:rPr>
        <w:t>（三）评分标准</w:t>
      </w:r>
    </w:p>
    <w:tbl>
      <w:tblPr>
        <w:tblStyle w:val="14"/>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79"/>
        <w:gridCol w:w="6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58" w:type="dxa"/>
            <w:vMerge w:val="restart"/>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报价</w:t>
            </w:r>
          </w:p>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0分）</w:t>
            </w:r>
          </w:p>
        </w:tc>
        <w:tc>
          <w:tcPr>
            <w:tcW w:w="1179" w:type="dxa"/>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评分因素</w:t>
            </w:r>
          </w:p>
        </w:tc>
        <w:tc>
          <w:tcPr>
            <w:tcW w:w="6494" w:type="dxa"/>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8"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179" w:type="dxa"/>
            <w:vAlign w:val="center"/>
          </w:tcPr>
          <w:p>
            <w:pPr>
              <w:pageBreakBefore w:val="0"/>
              <w:kinsoku/>
              <w:wordWrap/>
              <w:overflowPunct/>
              <w:topLinePunct/>
              <w:autoSpaceDE/>
              <w:autoSpaceDN/>
              <w:bidi w:val="0"/>
              <w:snapToGrid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价格</w:t>
            </w:r>
          </w:p>
        </w:tc>
        <w:tc>
          <w:tcPr>
            <w:tcW w:w="6494" w:type="dxa"/>
            <w:vAlign w:val="center"/>
          </w:tcPr>
          <w:p>
            <w:pPr>
              <w:pageBreakBefore w:val="0"/>
              <w:kinsoku/>
              <w:wordWrap/>
              <w:overflowPunct/>
              <w:topLinePunct/>
              <w:autoSpaceDE/>
              <w:autoSpaceDN/>
              <w:bidi w:val="0"/>
              <w:snapToGrid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以本次报价或投标人所报的有效报价中的最低价作为基准报价。投标人报价得分=（基准价/投标人报价）*</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1" w:type="dxa"/>
            <w:gridSpan w:val="3"/>
          </w:tcPr>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758" w:type="dxa"/>
            <w:vMerge w:val="restart"/>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商务</w:t>
            </w:r>
          </w:p>
          <w:p>
            <w:pPr>
              <w:pStyle w:val="2"/>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部分</w:t>
            </w:r>
          </w:p>
          <w:p>
            <w:pPr>
              <w:pStyle w:val="2"/>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30</w:t>
            </w:r>
            <w:r>
              <w:rPr>
                <w:rFonts w:hint="eastAsia" w:ascii="仿宋_GB2312" w:hAnsi="仿宋_GB2312" w:eastAsia="仿宋_GB2312" w:cs="仿宋_GB2312"/>
                <w:sz w:val="24"/>
                <w:szCs w:val="24"/>
                <w:highlight w:val="none"/>
              </w:rPr>
              <w:t>分）</w:t>
            </w:r>
          </w:p>
        </w:tc>
        <w:tc>
          <w:tcPr>
            <w:tcW w:w="1179" w:type="dxa"/>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评分因素</w:t>
            </w:r>
          </w:p>
        </w:tc>
        <w:tc>
          <w:tcPr>
            <w:tcW w:w="6494" w:type="dxa"/>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8"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179" w:type="dxa"/>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同类项目经验（</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分）</w:t>
            </w:r>
          </w:p>
        </w:tc>
        <w:tc>
          <w:tcPr>
            <w:tcW w:w="6494" w:type="dxa"/>
          </w:tcPr>
          <w:p>
            <w:pPr>
              <w:pageBreakBefore w:val="0"/>
              <w:numPr>
                <w:ilvl w:val="0"/>
                <w:numId w:val="2"/>
              </w:numPr>
              <w:kinsoku/>
              <w:wordWrap/>
              <w:overflowPunct/>
              <w:autoSpaceDE/>
              <w:autoSpaceDN/>
              <w:bidi w:val="0"/>
              <w:spacing w:line="56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评分内容：</w:t>
            </w:r>
          </w:p>
          <w:p>
            <w:pPr>
              <w:pageBreakBefore w:val="0"/>
              <w:numPr>
                <w:ilvl w:val="0"/>
                <w:numId w:val="0"/>
              </w:numPr>
              <w:kinsoku/>
              <w:wordWrap/>
              <w:overflowPunct/>
              <w:autoSpaceDE/>
              <w:autoSpaceDN/>
              <w:bidi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年1月1日至本项目投标截止时间(以签订合同日期为准)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在公共场馆</w:t>
            </w:r>
            <w:r>
              <w:rPr>
                <w:rFonts w:hint="eastAsia" w:ascii="仿宋_GB2312" w:hAnsi="仿宋_GB2312" w:eastAsia="仿宋_GB2312" w:cs="仿宋_GB2312"/>
                <w:color w:val="auto"/>
                <w:sz w:val="24"/>
                <w:szCs w:val="24"/>
                <w:highlight w:val="none"/>
              </w:rPr>
              <w:t>宽带服务项目或专线服务项目业绩情况:每提供1个得</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分，最高得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分。</w:t>
            </w:r>
          </w:p>
          <w:p>
            <w:pPr>
              <w:pageBreakBefore w:val="0"/>
              <w:kinsoku/>
              <w:wordWrap/>
              <w:overflowPunct/>
              <w:autoSpaceDE/>
              <w:autoSpaceDN/>
              <w:bidi w:val="0"/>
              <w:spacing w:line="560" w:lineRule="exac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每项业绩须按以下要求提供完整准确的证明文件，一年一签的长期服务续签合同只计算一个业绩。</w:t>
            </w:r>
          </w:p>
          <w:p>
            <w:pPr>
              <w:pageBreakBefore w:val="0"/>
              <w:kinsoku/>
              <w:wordWrap/>
              <w:overflowPunct/>
              <w:autoSpaceDE/>
              <w:autoSpaceDN/>
              <w:bidi w:val="0"/>
              <w:spacing w:line="56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评分依据：</w:t>
            </w:r>
          </w:p>
          <w:p>
            <w:pPr>
              <w:pageBreakBefore w:val="0"/>
              <w:numPr>
                <w:ilvl w:val="0"/>
                <w:numId w:val="0"/>
              </w:numPr>
              <w:kinsoku/>
              <w:wordWrap/>
              <w:overflowPunct/>
              <w:autoSpaceDE/>
              <w:autoSpaceDN/>
              <w:bidi w:val="0"/>
              <w:spacing w:line="56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提供合同或协议关键页(关键信息包括但不仅限于合同的项目名称、服务内容、签订日期等),未提供的不得分，原件备查。</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评分中出现无证明资料或</w:t>
            </w:r>
            <w:r>
              <w:rPr>
                <w:rFonts w:hint="eastAsia" w:ascii="仿宋_GB2312" w:hAnsi="仿宋_GB2312" w:eastAsia="仿宋_GB2312" w:cs="仿宋_GB2312"/>
                <w:color w:val="auto"/>
                <w:sz w:val="24"/>
                <w:szCs w:val="24"/>
                <w:highlight w:val="none"/>
                <w:lang w:eastAsia="zh-CN"/>
              </w:rPr>
              <w:t>评委</w:t>
            </w:r>
            <w:r>
              <w:rPr>
                <w:rFonts w:hint="eastAsia" w:ascii="仿宋_GB2312" w:hAnsi="仿宋_GB2312" w:eastAsia="仿宋_GB2312" w:cs="仿宋_GB2312"/>
                <w:color w:val="auto"/>
                <w:sz w:val="24"/>
                <w:szCs w:val="24"/>
                <w:highlight w:val="none"/>
              </w:rPr>
              <w:t>无法凭所提供资料判断是否得分的情况，一律作不得分处理。通过上述资料无法判断是否得分的，也可以同时提供能证明得分的其它资料，如项目报告或采购单位(或被服务单位) 出具的证明文件等</w:t>
            </w: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179" w:type="dxa"/>
            <w:vAlign w:val="center"/>
          </w:tcPr>
          <w:p>
            <w:pPr>
              <w:pageBreakBefore w:val="0"/>
              <w:kinsoku/>
              <w:wordWrap/>
              <w:overflowPunct/>
              <w:topLinePunct/>
              <w:autoSpaceDE/>
              <w:autoSpaceDN/>
              <w:bidi w:val="0"/>
              <w:snapToGrid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拟安排项目负责人</w:t>
            </w:r>
          </w:p>
          <w:p>
            <w:pPr>
              <w:pageBreakBefore w:val="0"/>
              <w:kinsoku/>
              <w:wordWrap/>
              <w:overflowPunct/>
              <w:topLinePunct/>
              <w:autoSpaceDE/>
              <w:autoSpaceDN/>
              <w:bidi w:val="0"/>
              <w:snapToGrid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p>
        </w:tc>
        <w:tc>
          <w:tcPr>
            <w:tcW w:w="6494" w:type="dxa"/>
            <w:vAlign w:val="center"/>
          </w:tcPr>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评分内容：</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1、具有本科或以上学历证书，得 2分；</w:t>
            </w:r>
          </w:p>
          <w:p>
            <w:pPr>
              <w:pStyle w:val="22"/>
              <w:pageBreakBefore w:val="0"/>
              <w:kinsoku/>
              <w:wordWrap/>
              <w:overflowPunct/>
              <w:autoSpaceDE/>
              <w:autoSpaceDN/>
              <w:bidi w:val="0"/>
              <w:spacing w:line="560" w:lineRule="exact"/>
              <w:ind w:firstLine="0" w:firstLine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具有</w:t>
            </w:r>
            <w:r>
              <w:rPr>
                <w:rFonts w:hint="eastAsia" w:ascii="仿宋_GB2312" w:hAnsi="仿宋_GB2312" w:eastAsia="仿宋_GB2312" w:cs="仿宋_GB2312"/>
                <w:color w:val="auto"/>
                <w:sz w:val="24"/>
                <w:szCs w:val="24"/>
                <w:highlight w:val="none"/>
                <w:lang w:val="en-US" w:eastAsia="zh-CN"/>
              </w:rPr>
              <w:t>工信部和人社部门颁发的</w:t>
            </w:r>
            <w:r>
              <w:rPr>
                <w:rFonts w:hint="eastAsia" w:ascii="仿宋_GB2312" w:hAnsi="仿宋_GB2312" w:eastAsia="仿宋_GB2312" w:cs="仿宋_GB2312"/>
                <w:color w:val="auto"/>
                <w:sz w:val="24"/>
                <w:szCs w:val="24"/>
                <w:highlight w:val="none"/>
              </w:rPr>
              <w:t>信息系统项目管理师 (高级)证书，得</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p>
          <w:p>
            <w:pPr>
              <w:pStyle w:val="2"/>
              <w:pageBreakBefore w:val="0"/>
              <w:kinsoku/>
              <w:wordWrap/>
              <w:overflowPunct/>
              <w:autoSpaceDE/>
              <w:autoSpaceDN/>
              <w:bidi w:val="0"/>
              <w:spacing w:line="560" w:lineRule="exact"/>
              <w:ind w:firstLineChars="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以上2项累计最高可得 5分。</w:t>
            </w:r>
          </w:p>
          <w:p>
            <w:pPr>
              <w:pageBreakBefore w:val="0"/>
              <w:kinsoku/>
              <w:wordWrap/>
              <w:overflowPunct/>
              <w:topLinePunct/>
              <w:autoSpaceDE/>
              <w:autoSpaceDN/>
              <w:bidi w:val="0"/>
              <w:snapToGrid w:val="0"/>
              <w:spacing w:line="560" w:lineRule="exact"/>
              <w:ind w:firstLineChars="0"/>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（二）评分依据:</w:t>
            </w:r>
          </w:p>
          <w:p>
            <w:pPr>
              <w:pageBreakBefore w:val="0"/>
              <w:kinsoku/>
              <w:wordWrap/>
              <w:overflowPunct/>
              <w:topLinePunct/>
              <w:autoSpaceDE/>
              <w:autoSpaceDN/>
              <w:bidi w:val="0"/>
              <w:snapToGrid w:val="0"/>
              <w:spacing w:line="560" w:lineRule="exact"/>
              <w:ind w:firstLineChars="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1.提供通过投标人为项目负责人缴纳的近三个月的任意一个月 (由于社保部门原因最近一个月的社保证明无法提供的可往前顺延一个月)的社保证明作为本单位员工的证明依据。</w:t>
            </w:r>
          </w:p>
          <w:p>
            <w:pPr>
              <w:pageBreakBefore w:val="0"/>
              <w:kinsoku/>
              <w:wordWrap/>
              <w:overflowPunct/>
              <w:topLinePunct/>
              <w:autoSpaceDE/>
              <w:autoSpaceDN/>
              <w:bidi w:val="0"/>
              <w:snapToGrid w:val="0"/>
              <w:spacing w:line="560" w:lineRule="exact"/>
              <w:ind w:firstLineChars="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考察学历的，提供学历证书以及学信网查询记录，原件备查。学信网无法查询的，可提供其他佐证材料:如毕业院校、人社部门等颁发机构或监管机构等单位出具的证明;留学归国入员如无法提供学信网查询记录截图，提供国(境)外学历证书扫描件(以及中文翻译件)和教育部留学服务中心出具的国外学历学位认证书扫描件[或教育部留学服务中心网站(http://zwfw.cscse.edu.cn/) 在线查询截图]也予以认可。</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3.提供相关证书复印件(或官方网站截图)，原件备查。评分中出现无证明资料或评委无法凭所提供资料判断是否得分的情况，律作不得分处理。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58"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179" w:type="dxa"/>
            <w:vAlign w:val="center"/>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rPr>
              <w:t>拟安排的项目主要团队成员(主要</w:t>
            </w:r>
            <w:r>
              <w:rPr>
                <w:rFonts w:hint="eastAsia" w:ascii="仿宋_GB2312" w:hAnsi="仿宋_GB2312" w:eastAsia="仿宋_GB2312" w:cs="仿宋_GB2312"/>
                <w:color w:val="auto"/>
                <w:sz w:val="24"/>
                <w:szCs w:val="24"/>
                <w:highlight w:val="none"/>
                <w:lang w:val="en-US" w:eastAsia="zh-CN"/>
              </w:rPr>
              <w:t>技术人员）情况</w:t>
            </w:r>
            <w:r>
              <w:rPr>
                <w:rFonts w:hint="eastAsia" w:ascii="仿宋_GB2312" w:hAnsi="仿宋_GB2312" w:eastAsia="仿宋_GB2312" w:cs="仿宋_GB2312"/>
                <w:color w:val="auto"/>
                <w:sz w:val="24"/>
                <w:szCs w:val="24"/>
                <w:highlight w:val="none"/>
              </w:rPr>
              <w:t>(项目负责人除外)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8分）</w:t>
            </w:r>
          </w:p>
        </w:tc>
        <w:tc>
          <w:tcPr>
            <w:tcW w:w="6494" w:type="dxa"/>
          </w:tcPr>
          <w:p>
            <w:pPr>
              <w:pStyle w:val="22"/>
              <w:pageBreakBefore w:val="0"/>
              <w:kinsoku/>
              <w:wordWrap/>
              <w:overflowPunct/>
              <w:autoSpaceDE/>
              <w:autoSpaceDN/>
              <w:bidi w:val="0"/>
              <w:spacing w:line="560" w:lineRule="exact"/>
              <w:ind w:firstLine="0" w:firstLineChars="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评分内容：</w:t>
            </w:r>
          </w:p>
          <w:p>
            <w:pPr>
              <w:pStyle w:val="22"/>
              <w:pageBreakBefore w:val="0"/>
              <w:kinsoku/>
              <w:wordWrap/>
              <w:overflowPunct/>
              <w:autoSpaceDE/>
              <w:autoSpaceDN/>
              <w:bidi w:val="0"/>
              <w:spacing w:line="560" w:lineRule="exact"/>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网络信息安全负责人1名:</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kern w:val="2"/>
                <w:sz w:val="24"/>
                <w:szCs w:val="24"/>
                <w:highlight w:val="none"/>
                <w:lang w:val="en-US" w:eastAsia="zh-CN" w:bidi="ar-SA"/>
              </w:rPr>
              <w:t>1、具有本科或以上学历证书，得 2分；</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2、具有中国网络安全审查技术与认证中心颁发的信息安全保障人员认证 CISAW (安全集成)证书，得2分；</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本项最高</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w:t>
            </w:r>
          </w:p>
          <w:p>
            <w:pPr>
              <w:pStyle w:val="22"/>
              <w:pageBreakBefore w:val="0"/>
              <w:numPr>
                <w:ilvl w:val="0"/>
                <w:numId w:val="0"/>
              </w:numPr>
              <w:kinsoku/>
              <w:wordWrap/>
              <w:overflowPunct/>
              <w:autoSpaceDE/>
              <w:autoSpaceDN/>
              <w:bidi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网络技术</w:t>
            </w:r>
            <w:r>
              <w:rPr>
                <w:rFonts w:hint="eastAsia" w:ascii="仿宋_GB2312" w:hAnsi="仿宋_GB2312" w:eastAsia="仿宋_GB2312" w:cs="仿宋_GB2312"/>
                <w:color w:val="auto"/>
                <w:sz w:val="24"/>
                <w:szCs w:val="24"/>
                <w:highlight w:val="none"/>
              </w:rPr>
              <w:t>负责人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名:</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kern w:val="2"/>
                <w:sz w:val="24"/>
                <w:szCs w:val="24"/>
                <w:highlight w:val="none"/>
                <w:lang w:val="en-US" w:eastAsia="zh-CN" w:bidi="ar-SA"/>
              </w:rPr>
              <w:t>1、具有本科或以上学历证书，得 2分；</w:t>
            </w:r>
          </w:p>
          <w:p>
            <w:pPr>
              <w:pStyle w:val="22"/>
              <w:pageBreakBefore w:val="0"/>
              <w:kinsoku/>
              <w:wordWrap/>
              <w:overflowPunct/>
              <w:autoSpaceDE/>
              <w:autoSpaceDN/>
              <w:bidi w:val="0"/>
              <w:spacing w:line="560" w:lineRule="exact"/>
              <w:ind w:firstLine="0" w:firstLine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val="en-US" w:eastAsia="zh-CN"/>
              </w:rPr>
              <w:t>工业和信息化部教育与考试中心认证的</w:t>
            </w:r>
            <w:r>
              <w:rPr>
                <w:rFonts w:hint="eastAsia" w:ascii="仿宋_GB2312" w:hAnsi="仿宋_GB2312" w:eastAsia="仿宋_GB2312" w:cs="仿宋_GB2312"/>
                <w:color w:val="auto"/>
                <w:sz w:val="24"/>
                <w:szCs w:val="24"/>
                <w:highlight w:val="none"/>
              </w:rPr>
              <w:t>高级网络工程师</w:t>
            </w:r>
            <w:r>
              <w:rPr>
                <w:rFonts w:hint="eastAsia" w:ascii="仿宋_GB2312" w:hAnsi="仿宋_GB2312" w:eastAsia="仿宋_GB2312" w:cs="仿宋_GB2312"/>
                <w:color w:val="auto"/>
                <w:sz w:val="24"/>
                <w:szCs w:val="24"/>
                <w:highlight w:val="none"/>
                <w:lang w:val="en-US" w:eastAsia="zh-CN"/>
              </w:rPr>
              <w:t>证书</w:t>
            </w:r>
            <w:r>
              <w:rPr>
                <w:rFonts w:hint="eastAsia" w:ascii="仿宋_GB2312" w:hAnsi="仿宋_GB2312" w:eastAsia="仿宋_GB2312" w:cs="仿宋_GB2312"/>
                <w:color w:val="auto"/>
                <w:sz w:val="24"/>
                <w:szCs w:val="24"/>
                <w:highlight w:val="none"/>
              </w:rPr>
              <w:t>，得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p>
          <w:p>
            <w:pPr>
              <w:pStyle w:val="22"/>
              <w:pageBreakBefore w:val="0"/>
              <w:kinsoku/>
              <w:wordWrap/>
              <w:overflowPunct/>
              <w:autoSpaceDE/>
              <w:autoSpaceDN/>
              <w:bidi w:val="0"/>
              <w:spacing w:line="560" w:lineRule="exact"/>
              <w:ind w:firstLine="0" w:firstLine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本项最高得 </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分。</w:t>
            </w:r>
          </w:p>
          <w:p>
            <w:pPr>
              <w:pStyle w:val="22"/>
              <w:pageBreakBefore w:val="0"/>
              <w:kinsoku/>
              <w:wordWrap/>
              <w:overflowPunct/>
              <w:autoSpaceDE/>
              <w:autoSpaceDN/>
              <w:bidi w:val="0"/>
              <w:spacing w:line="560" w:lineRule="exact"/>
              <w:ind w:firstLine="0" w:firstLine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备注:同一人不能承担多个团队成员类别。</w:t>
            </w:r>
          </w:p>
          <w:p>
            <w:pPr>
              <w:pStyle w:val="22"/>
              <w:pageBreakBefore w:val="0"/>
              <w:kinsoku/>
              <w:wordWrap/>
              <w:overflowPunct/>
              <w:autoSpaceDE/>
              <w:autoSpaceDN/>
              <w:bidi w:val="0"/>
              <w:spacing w:line="560" w:lineRule="exact"/>
              <w:ind w:firstLine="0" w:firstLineChars="0"/>
              <w:rPr>
                <w:rFonts w:hint="eastAsia" w:ascii="仿宋_GB2312" w:hAnsi="仿宋_GB2312" w:eastAsia="仿宋_GB2312" w:cs="仿宋_GB2312"/>
                <w:b/>
                <w:bCs/>
                <w:color w:val="auto"/>
                <w:sz w:val="24"/>
                <w:szCs w:val="24"/>
                <w:highlight w:val="none"/>
                <w:lang w:eastAsia="zh-CN"/>
              </w:rPr>
            </w:pPr>
          </w:p>
          <w:p>
            <w:pPr>
              <w:pStyle w:val="22"/>
              <w:pageBreakBefore w:val="0"/>
              <w:kinsoku/>
              <w:wordWrap/>
              <w:overflowPunct/>
              <w:autoSpaceDE/>
              <w:autoSpaceDN/>
              <w:bidi w:val="0"/>
              <w:spacing w:line="560" w:lineRule="exact"/>
              <w:ind w:firstLine="0" w:firstLineChars="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）评分依据:</w:t>
            </w:r>
          </w:p>
          <w:p>
            <w:pPr>
              <w:pStyle w:val="22"/>
              <w:pageBreakBefore w:val="0"/>
              <w:kinsoku/>
              <w:wordWrap/>
              <w:overflowPunct/>
              <w:autoSpaceDE/>
              <w:autoSpaceDN/>
              <w:bidi w:val="0"/>
              <w:spacing w:line="560" w:lineRule="exact"/>
              <w:ind w:firstLine="0" w:firstLine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1.关于正式员工，要求提供通过投标人为项目团队成员缴纳的近三个月的任意一个月 (由于社保部门原因最近一个月的社保证明无法提供的可往前顺延一个月)的社保证明作为本单位员工的证明依据。</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eastAsia="zh-CN"/>
              </w:rPr>
              <w:t>2.提供相关证书</w:t>
            </w:r>
            <w:r>
              <w:rPr>
                <w:rFonts w:hint="eastAsia" w:ascii="仿宋_GB2312" w:hAnsi="仿宋_GB2312" w:eastAsia="仿宋_GB2312" w:cs="仿宋_GB2312"/>
                <w:color w:val="auto"/>
                <w:sz w:val="24"/>
                <w:szCs w:val="24"/>
                <w:highlight w:val="none"/>
                <w:lang w:val="en-US" w:eastAsia="zh-CN"/>
              </w:rPr>
              <w:t>复印件</w:t>
            </w:r>
            <w:r>
              <w:rPr>
                <w:rFonts w:hint="eastAsia" w:ascii="仿宋_GB2312" w:hAnsi="仿宋_GB2312" w:eastAsia="仿宋_GB2312" w:cs="仿宋_GB2312"/>
                <w:color w:val="auto"/>
                <w:sz w:val="24"/>
                <w:szCs w:val="24"/>
                <w:highlight w:val="none"/>
                <w:lang w:eastAsia="zh-CN"/>
              </w:rPr>
              <w:t>(或官方网站截图)，原件备查。评分中出现无证明资料或评委无法凭所提供资料判断是否得分的情况，一律作不得分处。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179" w:type="dxa"/>
            <w:vAlign w:val="center"/>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项目完成（服务期满）后的服务承诺（</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p>
        </w:tc>
        <w:tc>
          <w:tcPr>
            <w:tcW w:w="6494" w:type="dxa"/>
          </w:tcPr>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（一）评审内容：</w:t>
            </w:r>
          </w:p>
          <w:p>
            <w:pPr>
              <w:pageBreakBefore w:val="0"/>
              <w:kinsoku/>
              <w:wordWrap/>
              <w:overflowPunct/>
              <w:autoSpaceDE/>
              <w:autoSpaceDN/>
              <w:bidi w:val="0"/>
              <w:adjustRightInd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根据针对本项目做出的服务承诺，考察包括但不限于以下内容：</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1.在服务期满后主动交接项目相关资料；</w:t>
            </w:r>
          </w:p>
          <w:p>
            <w:pPr>
              <w:pageBreakBefore w:val="0"/>
              <w:kinsoku/>
              <w:wordWrap/>
              <w:overflowPunct/>
              <w:autoSpaceDE/>
              <w:autoSpaceDN/>
              <w:bidi w:val="0"/>
              <w:adjustRightInd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2.配合甲方推进项目建设，协助提供相关材料，直至项目结项为止。</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（二）评审依据：</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提供服务承诺函（格式自拟）并加盖投标人公章，未提供承诺或承诺内容不满足要求不得分。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179" w:type="dxa"/>
            <w:vAlign w:val="center"/>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auto"/>
                <w:sz w:val="24"/>
                <w:szCs w:val="24"/>
                <w:highlight w:val="none"/>
              </w:rPr>
              <w:t>供应商认证情况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6分</w:t>
            </w:r>
            <w:r>
              <w:rPr>
                <w:rFonts w:hint="eastAsia" w:ascii="仿宋_GB2312" w:hAnsi="仿宋_GB2312" w:eastAsia="仿宋_GB2312" w:cs="仿宋_GB2312"/>
                <w:color w:val="auto"/>
                <w:sz w:val="24"/>
                <w:szCs w:val="24"/>
                <w:highlight w:val="none"/>
                <w:lang w:eastAsia="zh-CN"/>
              </w:rPr>
              <w:t>）</w:t>
            </w:r>
          </w:p>
        </w:tc>
        <w:tc>
          <w:tcPr>
            <w:tcW w:w="6494" w:type="dxa"/>
          </w:tcPr>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一</w:t>
            </w:r>
            <w:r>
              <w:rPr>
                <w:rFonts w:hint="eastAsia" w:ascii="仿宋_GB2312" w:hAnsi="仿宋_GB2312" w:eastAsia="仿宋_GB2312" w:cs="仿宋_GB2312"/>
                <w:b/>
                <w:bCs/>
                <w:sz w:val="24"/>
                <w:szCs w:val="24"/>
                <w:highlight w:val="none"/>
                <w:lang w:eastAsia="zh-CN"/>
              </w:rPr>
              <w:t>）考察内容：</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.具有企业诚信管理体系认证证书得</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分；</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.具有风险管理体系认</w:t>
            </w:r>
            <w:r>
              <w:rPr>
                <w:rFonts w:hint="eastAsia" w:ascii="仿宋_GB2312" w:hAnsi="仿宋_GB2312" w:eastAsia="仿宋_GB2312" w:cs="仿宋_GB2312"/>
                <w:sz w:val="24"/>
                <w:szCs w:val="24"/>
                <w:highlight w:val="none"/>
                <w:lang w:val="en-US" w:eastAsia="zh-CN"/>
              </w:rPr>
              <w:t>证</w:t>
            </w:r>
            <w:r>
              <w:rPr>
                <w:rFonts w:hint="eastAsia" w:ascii="仿宋_GB2312" w:hAnsi="仿宋_GB2312" w:eastAsia="仿宋_GB2312" w:cs="仿宋_GB2312"/>
                <w:sz w:val="24"/>
                <w:szCs w:val="24"/>
                <w:highlight w:val="none"/>
                <w:lang w:eastAsia="zh-CN"/>
              </w:rPr>
              <w:t>证书得</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分；</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本项最高得</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lang w:eastAsia="zh-CN"/>
              </w:rPr>
              <w:t>分，未提供或其他情况不得分。</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lang w:eastAsia="zh-CN"/>
              </w:rPr>
              <w:t>）证明文件：</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1.提供证书扫描件及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2.未提供或未按要求提供或提供的不清晰导致评审委员会无法判断的，不得分。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1" w:type="dxa"/>
            <w:gridSpan w:val="3"/>
          </w:tcPr>
          <w:p>
            <w:pPr>
              <w:pageBreakBefore w:val="0"/>
              <w:tabs>
                <w:tab w:val="center" w:pos="4107"/>
                <w:tab w:val="left" w:pos="5892"/>
              </w:tabs>
              <w:kinsoku/>
              <w:wordWrap/>
              <w:overflowPunct/>
              <w:autoSpaceDE/>
              <w:autoSpaceDN/>
              <w:bidi w:val="0"/>
              <w:spacing w:line="560" w:lineRule="exact"/>
              <w:jc w:val="left"/>
              <w:rPr>
                <w:rFonts w:hint="eastAsia" w:ascii="仿宋_GB2312" w:hAnsi="仿宋_GB2312" w:eastAsia="仿宋_GB2312" w:cs="仿宋_GB2312"/>
                <w:b/>
                <w:bCs/>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Merge w:val="restart"/>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技术部分（</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0分）</w:t>
            </w:r>
          </w:p>
        </w:tc>
        <w:tc>
          <w:tcPr>
            <w:tcW w:w="1179" w:type="dxa"/>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实施方案</w:t>
            </w:r>
          </w:p>
          <w:p>
            <w:pPr>
              <w:pStyle w:val="2"/>
              <w:pageBreakBefore w:val="0"/>
              <w:kinsoku/>
              <w:wordWrap/>
              <w:overflowPunct/>
              <w:autoSpaceDE/>
              <w:autoSpaceDN/>
              <w:bidi w:val="0"/>
              <w:spacing w:line="5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25</w:t>
            </w:r>
            <w:r>
              <w:rPr>
                <w:rFonts w:hint="eastAsia" w:ascii="仿宋_GB2312" w:hAnsi="仿宋_GB2312" w:eastAsia="仿宋_GB2312" w:cs="仿宋_GB2312"/>
                <w:sz w:val="24"/>
                <w:szCs w:val="24"/>
                <w:highlight w:val="none"/>
              </w:rPr>
              <w:t>分）</w:t>
            </w:r>
          </w:p>
        </w:tc>
        <w:tc>
          <w:tcPr>
            <w:tcW w:w="6494" w:type="dxa"/>
          </w:tcPr>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（一）评审内容：</w:t>
            </w:r>
          </w:p>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根据投标人提供的实施方案，考察包括但不限于：</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1.对项目需求的认识和理解；</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2.项目目标和成果；</w:t>
            </w:r>
          </w:p>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3.工作思路和流程；</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4.相关配合工作的分析。</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（二）评审依据：</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满足以上任意一项要求得</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分，最高得</w:t>
            </w:r>
            <w:r>
              <w:rPr>
                <w:rFonts w:hint="eastAsia" w:ascii="仿宋_GB2312" w:hAnsi="仿宋_GB2312" w:eastAsia="仿宋_GB2312" w:cs="仿宋_GB2312"/>
                <w:sz w:val="24"/>
                <w:szCs w:val="24"/>
                <w:highlight w:val="none"/>
                <w:lang w:val="en-US" w:eastAsia="zh-CN"/>
              </w:rPr>
              <w:t>16</w:t>
            </w:r>
            <w:r>
              <w:rPr>
                <w:rFonts w:hint="eastAsia" w:ascii="仿宋_GB2312" w:hAnsi="仿宋_GB2312" w:eastAsia="仿宋_GB2312" w:cs="仿宋_GB2312"/>
                <w:sz w:val="24"/>
                <w:szCs w:val="24"/>
                <w:highlight w:val="none"/>
              </w:rPr>
              <w:t>分。在此基础上，根据各供应商的具体响应内容按照量化的评审因素指标进一步评审，设定优、良、中、差四个评分标准：</w:t>
            </w:r>
          </w:p>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1.优：项目实施方案内容全面、具体、针对性强、科学合理、可操作性强得</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分；</w:t>
            </w:r>
          </w:p>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2.良：项目实施方案内容较全面、较具体、针对性较强、较科学合理、可操作性较强得</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分；</w:t>
            </w:r>
          </w:p>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3.中：项目实施方案内容较基本全面、一般具体、针对性一般、一般科学合理、可操作性一般得</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分；</w:t>
            </w:r>
          </w:p>
          <w:p>
            <w:pPr>
              <w:pageBreakBefore w:val="0"/>
              <w:kinsoku/>
              <w:wordWrap/>
              <w:overflowPunct/>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4.差：其他情况不得分。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Merge w:val="continue"/>
          </w:tcPr>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p>
        </w:tc>
        <w:tc>
          <w:tcPr>
            <w:tcW w:w="1179" w:type="dxa"/>
            <w:vAlign w:val="center"/>
          </w:tcPr>
          <w:p>
            <w:pPr>
              <w:pageBreakBefore w:val="0"/>
              <w:kinsoku/>
              <w:wordWrap/>
              <w:overflowPunct/>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质量保障措施及方案</w:t>
            </w:r>
          </w:p>
          <w:p>
            <w:pPr>
              <w:pStyle w:val="2"/>
              <w:pageBreakBefore w:val="0"/>
              <w:kinsoku/>
              <w:wordWrap/>
              <w:overflowPunct/>
              <w:autoSpaceDE/>
              <w:autoSpaceDN/>
              <w:bidi w:val="0"/>
              <w:spacing w:line="5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25</w:t>
            </w:r>
            <w:r>
              <w:rPr>
                <w:rFonts w:hint="eastAsia" w:ascii="仿宋_GB2312" w:hAnsi="仿宋_GB2312" w:eastAsia="仿宋_GB2312" w:cs="仿宋_GB2312"/>
                <w:sz w:val="24"/>
                <w:szCs w:val="24"/>
                <w:highlight w:val="none"/>
              </w:rPr>
              <w:t>分）</w:t>
            </w:r>
          </w:p>
        </w:tc>
        <w:tc>
          <w:tcPr>
            <w:tcW w:w="6494" w:type="dxa"/>
          </w:tcPr>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（一）评审内容：</w:t>
            </w:r>
          </w:p>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根据对项目的理解及自身管理经验，针对本项目提出</w:t>
            </w:r>
            <w:r>
              <w:rPr>
                <w:rFonts w:hint="eastAsia" w:ascii="仿宋_GB2312" w:hAnsi="仿宋_GB2312" w:eastAsia="仿宋_GB2312" w:cs="仿宋_GB2312"/>
                <w:sz w:val="24"/>
                <w:szCs w:val="24"/>
                <w:highlight w:val="none"/>
                <w:lang w:val="en-US" w:eastAsia="zh-CN"/>
              </w:rPr>
              <w:t>实施</w:t>
            </w:r>
            <w:r>
              <w:rPr>
                <w:rFonts w:hint="eastAsia" w:ascii="仿宋_GB2312" w:hAnsi="仿宋_GB2312" w:eastAsia="仿宋_GB2312" w:cs="仿宋_GB2312"/>
                <w:sz w:val="24"/>
                <w:szCs w:val="24"/>
                <w:highlight w:val="none"/>
              </w:rPr>
              <w:t>质量保障措施及方案。包括但不限于以下内容：</w:t>
            </w:r>
          </w:p>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1.具备详细的完成时间保障措施；</w:t>
            </w:r>
          </w:p>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2.详细阐述</w:t>
            </w:r>
            <w:r>
              <w:rPr>
                <w:rFonts w:hint="eastAsia" w:ascii="仿宋_GB2312" w:hAnsi="仿宋_GB2312" w:eastAsia="仿宋_GB2312" w:cs="仿宋_GB2312"/>
                <w:sz w:val="24"/>
                <w:szCs w:val="24"/>
                <w:highlight w:val="none"/>
                <w:lang w:val="en-US" w:eastAsia="zh-CN"/>
              </w:rPr>
              <w:t>项目规划及实施</w:t>
            </w:r>
            <w:r>
              <w:rPr>
                <w:rFonts w:hint="eastAsia" w:ascii="仿宋_GB2312" w:hAnsi="仿宋_GB2312" w:eastAsia="仿宋_GB2312" w:cs="仿宋_GB2312"/>
                <w:sz w:val="24"/>
                <w:szCs w:val="24"/>
                <w:highlight w:val="none"/>
              </w:rPr>
              <w:t>人员管理制度与措施；</w:t>
            </w:r>
          </w:p>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3.详细阐述项目</w:t>
            </w:r>
            <w:r>
              <w:rPr>
                <w:rFonts w:hint="eastAsia" w:ascii="仿宋_GB2312" w:hAnsi="仿宋_GB2312" w:eastAsia="仿宋_GB2312" w:cs="仿宋_GB2312"/>
                <w:sz w:val="24"/>
                <w:szCs w:val="24"/>
                <w:highlight w:val="none"/>
                <w:lang w:val="en-US" w:eastAsia="zh-CN"/>
              </w:rPr>
              <w:t>实施</w:t>
            </w:r>
            <w:r>
              <w:rPr>
                <w:rFonts w:hint="eastAsia" w:ascii="仿宋_GB2312" w:hAnsi="仿宋_GB2312" w:eastAsia="仿宋_GB2312" w:cs="仿宋_GB2312"/>
                <w:sz w:val="24"/>
                <w:szCs w:val="24"/>
                <w:highlight w:val="none"/>
              </w:rPr>
              <w:t>质量管理制度与措施；</w:t>
            </w:r>
          </w:p>
          <w:p>
            <w:pPr>
              <w:pageBreakBefore w:val="0"/>
              <w:kinsoku/>
              <w:wordWrap/>
              <w:overflowPunct/>
              <w:autoSpaceDE/>
              <w:autoSpaceDN/>
              <w:bidi w:val="0"/>
              <w:spacing w:line="560" w:lineRule="exact"/>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rPr>
              <w:t>4.详细阐释对该项目的技术保障与创新能力。</w:t>
            </w:r>
          </w:p>
          <w:p>
            <w:pPr>
              <w:pageBreakBefore w:val="0"/>
              <w:kinsoku/>
              <w:wordWrap/>
              <w:overflowPunct/>
              <w:topLinePunct/>
              <w:autoSpaceDE/>
              <w:autoSpaceDN/>
              <w:bidi w:val="0"/>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二、评分标准：</w:t>
            </w:r>
          </w:p>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满足以上任意一项要求得</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分，最高得</w:t>
            </w:r>
            <w:r>
              <w:rPr>
                <w:rFonts w:hint="eastAsia" w:ascii="仿宋_GB2312" w:hAnsi="仿宋_GB2312" w:eastAsia="仿宋_GB2312" w:cs="仿宋_GB2312"/>
                <w:sz w:val="24"/>
                <w:szCs w:val="24"/>
                <w:highlight w:val="none"/>
                <w:lang w:val="en-US" w:eastAsia="zh-CN"/>
              </w:rPr>
              <w:t>16</w:t>
            </w:r>
            <w:r>
              <w:rPr>
                <w:rFonts w:hint="eastAsia" w:ascii="仿宋_GB2312" w:hAnsi="仿宋_GB2312" w:eastAsia="仿宋_GB2312" w:cs="仿宋_GB2312"/>
                <w:sz w:val="24"/>
                <w:szCs w:val="24"/>
                <w:highlight w:val="none"/>
              </w:rPr>
              <w:t>分。在此基础上，根据各供应商的具体响应内容按照量化的评审因素指标进一步评审，设定优、良、中、差四个评分标准：</w:t>
            </w:r>
          </w:p>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1.优：以上项目质量保障措施及方案三点内容全面具体、针对性强、可操作性强，得</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分；；</w:t>
            </w:r>
          </w:p>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2.良：以上项目质量保障措施及方案的三点内容较全面、针对性较强、可操作性较强，得</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分；；</w:t>
            </w:r>
          </w:p>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3.中：以上项目质量保障措施及方案三点内容完整性、针对性、可操作性均一般，得</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分；</w:t>
            </w:r>
          </w:p>
          <w:p>
            <w:pPr>
              <w:pageBreakBefore w:val="0"/>
              <w:kinsoku/>
              <w:wordWrap/>
              <w:overflowPunct/>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4.差：其它情况不得分。</w:t>
            </w:r>
          </w:p>
        </w:tc>
      </w:tr>
    </w:tbl>
    <w:p>
      <w:pPr>
        <w:pStyle w:val="19"/>
        <w:pageBreakBefore w:val="0"/>
        <w:kinsoku/>
        <w:wordWrap/>
        <w:overflowPunct/>
        <w:autoSpaceDE/>
        <w:autoSpaceDN/>
        <w:bidi w:val="0"/>
        <w:spacing w:line="560" w:lineRule="exact"/>
        <w:ind w:firstLine="640" w:firstLineChars="200"/>
        <w:rPr>
          <w:rFonts w:hint="eastAsia" w:ascii="楷体_GB2312" w:hAnsi="楷体_GB2312" w:eastAsia="楷体_GB2312" w:cs="楷体_GB2312"/>
          <w:b w:val="0"/>
          <w:color w:val="auto"/>
          <w:sz w:val="32"/>
          <w:szCs w:val="32"/>
          <w:highlight w:val="none"/>
        </w:rPr>
      </w:pPr>
      <w:r>
        <w:rPr>
          <w:rFonts w:hint="eastAsia" w:ascii="黑体" w:hAnsi="黑体" w:eastAsia="黑体" w:cs="黑体"/>
          <w:b w:val="0"/>
          <w:bCs w:val="0"/>
          <w:color w:val="auto"/>
          <w:sz w:val="32"/>
          <w:szCs w:val="32"/>
          <w:highlight w:val="none"/>
        </w:rPr>
        <w:t>七、供应商提供资料清单</w:t>
      </w:r>
      <w:r>
        <w:rPr>
          <w:rFonts w:hint="eastAsia" w:ascii="楷体_GB2312" w:hAnsi="楷体_GB2312" w:eastAsia="楷体_GB2312" w:cs="楷体_GB2312"/>
          <w:bCs w:val="0"/>
          <w:color w:val="auto"/>
          <w:sz w:val="32"/>
          <w:szCs w:val="32"/>
          <w:highlight w:val="none"/>
        </w:rPr>
        <w:t>（每页均需加盖公章）</w:t>
      </w:r>
    </w:p>
    <w:p>
      <w:pPr>
        <w:pageBreakBefore w:val="0"/>
        <w:kinsoku/>
        <w:wordWrap/>
        <w:overflowPunct/>
        <w:autoSpaceDE/>
        <w:autoSpaceDN/>
        <w:bidi w:val="0"/>
        <w:spacing w:line="560" w:lineRule="exact"/>
        <w:ind w:firstLine="640" w:firstLineChars="200"/>
        <w:rPr>
          <w:rFonts w:hint="eastAsia" w:ascii="仿宋_GB2312" w:hAnsi="仿宋" w:eastAsia="仿宋_GB2312"/>
          <w:sz w:val="32"/>
          <w:highlight w:val="none"/>
        </w:rPr>
      </w:pPr>
      <w:r>
        <w:rPr>
          <w:rFonts w:hint="eastAsia" w:ascii="仿宋_GB2312" w:hAnsi="仿宋" w:eastAsia="仿宋_GB2312"/>
          <w:sz w:val="32"/>
          <w:highlight w:val="none"/>
        </w:rPr>
        <w:t>1.营业执照、事业法人证书、社会团体法人登记证书；</w:t>
      </w:r>
    </w:p>
    <w:p>
      <w:pPr>
        <w:pageBreakBefore w:val="0"/>
        <w:kinsoku/>
        <w:wordWrap/>
        <w:overflowPunct/>
        <w:autoSpaceDE/>
        <w:autoSpaceDN/>
        <w:bidi w:val="0"/>
        <w:spacing w:line="560" w:lineRule="exact"/>
        <w:ind w:firstLine="640" w:firstLineChars="200"/>
        <w:rPr>
          <w:rFonts w:hint="eastAsia" w:ascii="仿宋_GB2312" w:hAnsi="仿宋" w:eastAsia="仿宋_GB2312"/>
          <w:sz w:val="32"/>
          <w:highlight w:val="none"/>
        </w:rPr>
      </w:pPr>
      <w:r>
        <w:rPr>
          <w:rFonts w:hint="eastAsia" w:ascii="仿宋_GB2312" w:hAnsi="仿宋" w:eastAsia="仿宋_GB2312"/>
          <w:sz w:val="32"/>
          <w:szCs w:val="32"/>
          <w:highlight w:val="none"/>
        </w:rPr>
        <w:t>2.</w:t>
      </w:r>
      <w:r>
        <w:rPr>
          <w:rFonts w:hint="eastAsia" w:ascii="仿宋_GB2312" w:hAnsi="仿宋" w:eastAsia="仿宋_GB2312"/>
          <w:sz w:val="32"/>
          <w:highlight w:val="none"/>
        </w:rPr>
        <w:t>法定代表人身份证复印件；（非法定代表人投标的，需提供授权委托书及代理人身份证复印件）</w:t>
      </w:r>
    </w:p>
    <w:p>
      <w:pPr>
        <w:pStyle w:val="8"/>
        <w:pageBreakBefore w:val="0"/>
        <w:kinsoku/>
        <w:wordWrap/>
        <w:overflowPunct/>
        <w:autoSpaceDE/>
        <w:autoSpaceDN/>
        <w:bidi w:val="0"/>
        <w:spacing w:after="0" w:line="560" w:lineRule="exact"/>
        <w:ind w:left="0" w:leftChars="0" w:right="0" w:rightChars="0" w:firstLine="640"/>
        <w:rPr>
          <w:rFonts w:hint="eastAsia" w:ascii="仿宋_GB2312" w:hAnsi="仿宋" w:eastAsia="仿宋_GB2312"/>
          <w:sz w:val="32"/>
          <w:highlight w:val="none"/>
        </w:rPr>
      </w:pPr>
      <w:r>
        <w:rPr>
          <w:rFonts w:hint="eastAsia" w:ascii="仿宋_GB2312" w:hAnsi="仿宋" w:eastAsia="仿宋_GB2312"/>
          <w:sz w:val="32"/>
          <w:highlight w:val="none"/>
        </w:rPr>
        <w:t>3.项目报价表</w:t>
      </w:r>
      <w:r>
        <w:rPr>
          <w:rFonts w:hint="eastAsia" w:ascii="仿宋_GB2312" w:hAnsi="仿宋" w:eastAsia="仿宋_GB2312"/>
          <w:b/>
          <w:bCs/>
          <w:sz w:val="32"/>
          <w:highlight w:val="none"/>
        </w:rPr>
        <w:t>（需按格式提供）</w:t>
      </w:r>
      <w:r>
        <w:rPr>
          <w:rFonts w:hint="eastAsia" w:ascii="仿宋_GB2312" w:hAnsi="仿宋" w:eastAsia="仿宋_GB2312"/>
          <w:sz w:val="32"/>
          <w:highlight w:val="none"/>
        </w:rPr>
        <w:t>；</w:t>
      </w:r>
    </w:p>
    <w:p>
      <w:pPr>
        <w:pStyle w:val="8"/>
        <w:pageBreakBefore w:val="0"/>
        <w:kinsoku/>
        <w:wordWrap/>
        <w:overflowPunct/>
        <w:autoSpaceDE/>
        <w:autoSpaceDN/>
        <w:bidi w:val="0"/>
        <w:spacing w:after="0" w:line="560" w:lineRule="exact"/>
        <w:ind w:left="0" w:leftChars="0" w:right="0" w:rightChars="0" w:firstLine="640"/>
        <w:jc w:val="left"/>
        <w:rPr>
          <w:rFonts w:hint="eastAsia" w:ascii="仿宋_GB2312" w:hAnsi="仿宋" w:eastAsia="仿宋_GB2312"/>
          <w:sz w:val="32"/>
          <w:highlight w:val="none"/>
        </w:rPr>
      </w:pPr>
      <w:r>
        <w:rPr>
          <w:rFonts w:hint="eastAsia" w:ascii="仿宋_GB2312" w:hAnsi="仿宋" w:eastAsia="仿宋_GB2312"/>
          <w:sz w:val="32"/>
          <w:highlight w:val="none"/>
        </w:rPr>
        <w:t>4.评分规则所需资料（同类业绩证明、方案等）；</w:t>
      </w:r>
    </w:p>
    <w:p>
      <w:pPr>
        <w:pStyle w:val="8"/>
        <w:pageBreakBefore w:val="0"/>
        <w:kinsoku/>
        <w:wordWrap/>
        <w:overflowPunct/>
        <w:autoSpaceDE/>
        <w:autoSpaceDN/>
        <w:bidi w:val="0"/>
        <w:spacing w:after="0" w:line="560" w:lineRule="exact"/>
        <w:ind w:left="0" w:leftChars="0" w:right="0" w:rightChars="0" w:firstLine="640"/>
        <w:jc w:val="left"/>
        <w:rPr>
          <w:rFonts w:hint="eastAsia" w:ascii="仿宋_GB2312" w:hAnsi="仿宋" w:eastAsia="仿宋_GB2312"/>
          <w:sz w:val="32"/>
          <w:highlight w:val="none"/>
        </w:rPr>
      </w:pPr>
      <w:r>
        <w:rPr>
          <w:rFonts w:hint="eastAsia" w:ascii="仿宋_GB2312" w:hAnsi="仿宋" w:eastAsia="仿宋_GB2312"/>
          <w:sz w:val="32"/>
          <w:highlight w:val="none"/>
        </w:rPr>
        <w:t>5.诚信承诺书（详见附件1）；</w:t>
      </w:r>
    </w:p>
    <w:p>
      <w:pPr>
        <w:pStyle w:val="8"/>
        <w:pageBreakBefore w:val="0"/>
        <w:kinsoku/>
        <w:wordWrap/>
        <w:overflowPunct/>
        <w:autoSpaceDE/>
        <w:autoSpaceDN/>
        <w:bidi w:val="0"/>
        <w:spacing w:after="0" w:line="560" w:lineRule="exact"/>
        <w:ind w:left="0" w:leftChars="0" w:right="0" w:rightChars="0" w:firstLine="640"/>
        <w:jc w:val="left"/>
        <w:rPr>
          <w:rFonts w:hint="eastAsia" w:ascii="仿宋_GB2312" w:hAnsi="仿宋" w:eastAsia="仿宋_GB2312"/>
          <w:sz w:val="32"/>
          <w:highlight w:val="none"/>
        </w:rPr>
      </w:pPr>
      <w:r>
        <w:rPr>
          <w:rFonts w:hint="eastAsia" w:ascii="仿宋_GB2312" w:hAnsi="仿宋" w:eastAsia="仿宋_GB2312"/>
          <w:sz w:val="32"/>
          <w:highlight w:val="none"/>
        </w:rPr>
        <w:t>6.填写《供应商基本情况表》（加盖公章，详见附件2）并提供表中投标（响应）供应商相关人员的近三个月社保缴纳情况，若本月社保未能提供，则提供前三个月的社保情况，如供应商为新成立企业且成立时间不足3个月的，可提供加盖公章的情况说明或其他相关证明材料。</w:t>
      </w:r>
    </w:p>
    <w:p>
      <w:pPr>
        <w:pStyle w:val="8"/>
        <w:pageBreakBefore w:val="0"/>
        <w:kinsoku/>
        <w:wordWrap/>
        <w:overflowPunct/>
        <w:autoSpaceDE/>
        <w:autoSpaceDN/>
        <w:bidi w:val="0"/>
        <w:spacing w:after="0" w:line="560" w:lineRule="exact"/>
        <w:ind w:left="0" w:leftChars="0" w:right="0" w:rightChars="0" w:firstLine="640"/>
        <w:rPr>
          <w:rFonts w:hint="eastAsia" w:ascii="仿宋_GB2312" w:hAnsi="仿宋" w:eastAsia="仿宋_GB2312"/>
          <w:sz w:val="32"/>
          <w:szCs w:val="24"/>
          <w:highlight w:val="none"/>
        </w:rPr>
      </w:pPr>
      <w:r>
        <w:rPr>
          <w:rFonts w:hint="eastAsia" w:ascii="黑体" w:hAnsi="黑体" w:eastAsia="黑体" w:cs="黑体"/>
          <w:sz w:val="32"/>
          <w:szCs w:val="32"/>
          <w:highlight w:val="none"/>
          <w:u w:color="000000"/>
        </w:rPr>
        <w:t>八、其他注意事项</w:t>
      </w:r>
    </w:p>
    <w:p>
      <w:pPr>
        <w:pStyle w:val="8"/>
        <w:pageBreakBefore w:val="0"/>
        <w:kinsoku/>
        <w:wordWrap/>
        <w:overflowPunct/>
        <w:autoSpaceDE/>
        <w:autoSpaceDN/>
        <w:bidi w:val="0"/>
        <w:spacing w:after="0" w:line="560" w:lineRule="exact"/>
        <w:ind w:left="0" w:leftChars="0" w:right="0" w:rightChars="0" w:firstLine="640"/>
        <w:rPr>
          <w:rFonts w:hint="eastAsia" w:ascii="仿宋_GB2312" w:hAnsi="仿宋" w:eastAsia="仿宋_GB2312"/>
          <w:sz w:val="32"/>
          <w:highlight w:val="none"/>
        </w:rPr>
      </w:pPr>
      <w:r>
        <w:rPr>
          <w:rFonts w:hint="eastAsia" w:ascii="仿宋_GB2312" w:hAnsi="仿宋" w:eastAsia="仿宋_GB2312"/>
          <w:sz w:val="32"/>
          <w:highlight w:val="none"/>
        </w:rPr>
        <w:t>供应商需以邮寄方式提供</w:t>
      </w:r>
      <w:r>
        <w:rPr>
          <w:rFonts w:hint="eastAsia" w:ascii="仿宋_GB2312" w:hAnsi="仿宋" w:eastAsia="仿宋_GB2312"/>
          <w:sz w:val="32"/>
          <w:highlight w:val="none"/>
          <w:lang w:val="en-US" w:eastAsia="zh-CN"/>
        </w:rPr>
        <w:t>5</w:t>
      </w:r>
      <w:r>
        <w:rPr>
          <w:rFonts w:hint="eastAsia" w:ascii="仿宋_GB2312" w:hAnsi="仿宋" w:eastAsia="仿宋_GB2312"/>
          <w:sz w:val="32"/>
          <w:highlight w:val="none"/>
        </w:rPr>
        <w:t>份密封纸质版投标资料至本单位，并在封面备注</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龙华图书馆新馆2026年网络租赁</w:t>
      </w:r>
      <w:r>
        <w:rPr>
          <w:rFonts w:hint="eastAsia" w:ascii="仿宋_GB2312" w:hAnsi="仿宋_GB2312" w:eastAsia="仿宋_GB2312" w:cs="仿宋_GB2312"/>
          <w:color w:val="000000"/>
          <w:kern w:val="0"/>
          <w:sz w:val="32"/>
          <w:szCs w:val="32"/>
          <w:highlight w:val="none"/>
        </w:rPr>
        <w:t>项目+公司全称+日期+联系人+联系方式”。</w:t>
      </w:r>
    </w:p>
    <w:p>
      <w:pPr>
        <w:pStyle w:val="8"/>
        <w:pageBreakBefore w:val="0"/>
        <w:kinsoku/>
        <w:wordWrap/>
        <w:overflowPunct/>
        <w:autoSpaceDE/>
        <w:autoSpaceDN/>
        <w:bidi w:val="0"/>
        <w:spacing w:after="0" w:line="560" w:lineRule="exact"/>
        <w:ind w:left="0" w:leftChars="0" w:right="0" w:rightChars="0" w:firstLine="640" w:firstLineChars="200"/>
        <w:rPr>
          <w:rFonts w:hint="eastAsia" w:ascii="仿宋_GB2312" w:hAnsi="仿宋" w:eastAsia="仿宋_GB2312"/>
          <w:sz w:val="32"/>
          <w:highlight w:val="none"/>
        </w:rPr>
      </w:pPr>
      <w:r>
        <w:rPr>
          <w:rFonts w:hint="eastAsia" w:ascii="仿宋_GB2312" w:hAnsi="仿宋" w:eastAsia="仿宋_GB2312"/>
          <w:sz w:val="32"/>
          <w:highlight w:val="none"/>
        </w:rPr>
        <w:t>地址：</w:t>
      </w:r>
      <w:bookmarkStart w:id="0" w:name="OLE_LINK5"/>
      <w:r>
        <w:rPr>
          <w:rFonts w:hint="eastAsia" w:ascii="仿宋_GB2312" w:hAnsi="仿宋" w:eastAsia="仿宋_GB2312"/>
          <w:sz w:val="32"/>
          <w:highlight w:val="none"/>
        </w:rPr>
        <w:t>深圳市龙华区龙华街道富康行政服务办公区</w:t>
      </w:r>
      <w:bookmarkEnd w:id="0"/>
    </w:p>
    <w:p>
      <w:pPr>
        <w:pStyle w:val="20"/>
        <w:pageBreakBefore w:val="0"/>
        <w:kinsoku/>
        <w:wordWrap/>
        <w:overflowPunct/>
        <w:autoSpaceDE/>
        <w:autoSpaceDN/>
        <w:bidi w:val="0"/>
        <w:spacing w:line="560" w:lineRule="exact"/>
        <w:ind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收件人：吴先生</w:t>
      </w:r>
    </w:p>
    <w:p>
      <w:pPr>
        <w:pageBreakBefore w:val="0"/>
        <w:kinsoku/>
        <w:wordWrap/>
        <w:overflowPunct/>
        <w:autoSpaceDE/>
        <w:autoSpaceDN/>
        <w:bidi w:val="0"/>
        <w:spacing w:line="560" w:lineRule="exact"/>
        <w:ind w:firstLine="640" w:firstLineChars="200"/>
        <w:rPr>
          <w:rFonts w:hint="eastAsia" w:ascii="仿宋_GB2312" w:hAnsi="仿宋" w:eastAsia="仿宋_GB2312"/>
          <w:sz w:val="32"/>
          <w:highlight w:val="none"/>
        </w:rPr>
      </w:pPr>
      <w:r>
        <w:rPr>
          <w:rFonts w:hint="eastAsia" w:ascii="仿宋_GB2312" w:hAnsi="仿宋" w:eastAsia="仿宋_GB2312"/>
          <w:sz w:val="32"/>
          <w:highlight w:val="none"/>
        </w:rPr>
        <w:t>联系方式</w:t>
      </w:r>
      <w:r>
        <w:rPr>
          <w:rFonts w:hint="eastAsia" w:ascii="仿宋_GB2312" w:hAnsi="仿宋" w:eastAsia="仿宋_GB2312"/>
          <w:sz w:val="32"/>
          <w:highlight w:val="none"/>
          <w:lang w:eastAsia="zh-CN"/>
        </w:rPr>
        <w:t>：</w:t>
      </w:r>
      <w:r>
        <w:rPr>
          <w:rFonts w:hint="eastAsia" w:ascii="仿宋_GB2312" w:hAnsi="仿宋" w:eastAsia="仿宋_GB2312"/>
          <w:sz w:val="32"/>
          <w:highlight w:val="none"/>
        </w:rPr>
        <w:t>0755-23338140</w:t>
      </w:r>
    </w:p>
    <w:p>
      <w:pPr>
        <w:pStyle w:val="20"/>
        <w:pageBreakBefore w:val="0"/>
        <w:kinsoku/>
        <w:wordWrap/>
        <w:overflowPunct/>
        <w:autoSpaceDE/>
        <w:autoSpaceDN/>
        <w:bidi w:val="0"/>
        <w:spacing w:line="560" w:lineRule="exact"/>
        <w:ind w:firstLine="0" w:firstLineChars="0"/>
        <w:rPr>
          <w:rFonts w:hint="eastAsia" w:ascii="仿宋_GB2312" w:hAnsi="仿宋" w:eastAsia="仿宋_GB2312" w:cs="Times New Roman"/>
          <w:sz w:val="32"/>
          <w:highlight w:val="none"/>
        </w:rPr>
      </w:pPr>
    </w:p>
    <w:p>
      <w:pPr>
        <w:pStyle w:val="20"/>
        <w:pageBreakBefore w:val="0"/>
        <w:kinsoku/>
        <w:wordWrap/>
        <w:overflowPunct/>
        <w:autoSpaceDE/>
        <w:autoSpaceDN/>
        <w:bidi w:val="0"/>
        <w:spacing w:line="560" w:lineRule="exact"/>
        <w:ind w:firstLine="0" w:firstLineChars="0"/>
        <w:rPr>
          <w:rFonts w:hint="eastAsia" w:ascii="仿宋_GB2312" w:hAnsi="仿宋" w:eastAsia="仿宋_GB2312" w:cs="Times New Roman"/>
          <w:sz w:val="32"/>
          <w:highlight w:val="none"/>
        </w:rPr>
      </w:pPr>
      <w:r>
        <w:rPr>
          <w:rFonts w:ascii="仿宋_GB2312" w:hAnsi="仿宋" w:eastAsia="仿宋_GB2312" w:cs="Times New Roman"/>
          <w:sz w:val="32"/>
          <w:highlight w:val="none"/>
        </w:rPr>
        <w:br w:type="page"/>
      </w:r>
    </w:p>
    <w:p>
      <w:pPr>
        <w:pStyle w:val="20"/>
        <w:pageBreakBefore w:val="0"/>
        <w:kinsoku/>
        <w:wordWrap/>
        <w:overflowPunct/>
        <w:autoSpaceDE/>
        <w:autoSpaceDN/>
        <w:bidi w:val="0"/>
        <w:spacing w:line="560" w:lineRule="exact"/>
        <w:ind w:firstLine="0" w:firstLineChars="0"/>
        <w:rPr>
          <w:rFonts w:hint="eastAsia" w:ascii="黑体" w:hAnsi="黑体" w:eastAsia="黑体" w:cs="黑体"/>
          <w:color w:val="000000"/>
          <w:sz w:val="32"/>
          <w:szCs w:val="32"/>
          <w:highlight w:val="none"/>
        </w:rPr>
        <w:sectPr>
          <w:pgSz w:w="11906" w:h="16838"/>
          <w:pgMar w:top="2098" w:right="1474" w:bottom="1984" w:left="1587" w:header="851" w:footer="992" w:gutter="0"/>
          <w:cols w:space="720" w:num="1"/>
          <w:docGrid w:type="lines" w:linePitch="312" w:charSpace="0"/>
        </w:sectPr>
      </w:pPr>
      <w:bookmarkStart w:id="1" w:name="_GoBack"/>
      <w:bookmarkEnd w:id="1"/>
    </w:p>
    <w:p>
      <w:pPr>
        <w:pStyle w:val="20"/>
        <w:pageBreakBefore w:val="0"/>
        <w:kinsoku/>
        <w:wordWrap/>
        <w:overflowPunct/>
        <w:autoSpaceDE/>
        <w:autoSpaceDN/>
        <w:bidi w:val="0"/>
        <w:spacing w:line="560" w:lineRule="exact"/>
        <w:ind w:firstLine="0" w:firstLineChars="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附件1</w:t>
      </w:r>
    </w:p>
    <w:p>
      <w:pPr>
        <w:pStyle w:val="5"/>
        <w:pageBreakBefore w:val="0"/>
        <w:kinsoku/>
        <w:wordWrap/>
        <w:overflowPunct/>
        <w:autoSpaceDE/>
        <w:autoSpaceDN/>
        <w:bidi w:val="0"/>
        <w:spacing w:line="560" w:lineRule="exact"/>
        <w:jc w:val="center"/>
        <w:rPr>
          <w:rFonts w:ascii="黑体"/>
          <w:b w:val="0"/>
          <w:kern w:val="0"/>
          <w:sz w:val="24"/>
          <w:highlight w:val="none"/>
        </w:rPr>
      </w:pPr>
      <w:r>
        <w:rPr>
          <w:rFonts w:hint="eastAsia" w:ascii="黑体"/>
          <w:b w:val="0"/>
          <w:kern w:val="0"/>
          <w:sz w:val="24"/>
          <w:highlight w:val="none"/>
        </w:rPr>
        <w:t>诚信承诺书</w:t>
      </w:r>
    </w:p>
    <w:p>
      <w:pPr>
        <w:pageBreakBefore w:val="0"/>
        <w:kinsoku/>
        <w:wordWrap/>
        <w:overflowPunct/>
        <w:autoSpaceDE/>
        <w:autoSpaceDN/>
        <w:bidi w:val="0"/>
        <w:spacing w:line="560" w:lineRule="exact"/>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深圳市龙华区文化广电旅游体育局</w:t>
      </w:r>
    </w:p>
    <w:p>
      <w:pPr>
        <w:pageBreakBefore w:val="0"/>
        <w:kinsoku/>
        <w:wordWrap/>
        <w:overflowPunct/>
        <w:autoSpaceDE/>
        <w:autoSpaceDN/>
        <w:bidi w:val="0"/>
        <w:spacing w:line="560" w:lineRule="exact"/>
        <w:ind w:right="-815" w:firstLine="420" w:firstLineChars="200"/>
        <w:rPr>
          <w:rFonts w:hint="eastAsia" w:ascii="宋体" w:hAnsi="宋体"/>
          <w:szCs w:val="21"/>
          <w:highlight w:val="none"/>
        </w:rPr>
      </w:pPr>
      <w:r>
        <w:rPr>
          <w:rFonts w:hint="eastAsia" w:ascii="宋体" w:hAnsi="宋体"/>
          <w:szCs w:val="21"/>
          <w:highlight w:val="none"/>
        </w:rPr>
        <w:t>我单位承诺：</w:t>
      </w:r>
    </w:p>
    <w:p>
      <w:pPr>
        <w:pageBreakBefore w:val="0"/>
        <w:kinsoku/>
        <w:wordWrap/>
        <w:overflowPunct/>
        <w:autoSpaceDE/>
        <w:autoSpaceDN/>
        <w:bidi w:val="0"/>
        <w:spacing w:line="560" w:lineRule="exact"/>
        <w:ind w:firstLine="420" w:firstLineChars="200"/>
        <w:rPr>
          <w:rFonts w:hint="eastAsia" w:ascii="宋体" w:hAnsi="宋体"/>
          <w:szCs w:val="21"/>
          <w:highlight w:val="none"/>
        </w:rPr>
      </w:pPr>
      <w:r>
        <w:rPr>
          <w:rFonts w:hint="eastAsia" w:ascii="宋体" w:hAnsi="宋体"/>
          <w:szCs w:val="21"/>
          <w:highlight w:val="none"/>
        </w:rPr>
        <w:t>1.我单位参与本项目所投标（响应）的货物、工程或服务，不存在侵犯知识产权的情况。</w:t>
      </w:r>
    </w:p>
    <w:p>
      <w:pPr>
        <w:pageBreakBefore w:val="0"/>
        <w:kinsoku/>
        <w:wordWrap/>
        <w:overflowPunct/>
        <w:autoSpaceDE/>
        <w:autoSpaceDN/>
        <w:bidi w:val="0"/>
        <w:spacing w:line="560" w:lineRule="exact"/>
        <w:ind w:firstLine="420" w:firstLineChars="200"/>
        <w:rPr>
          <w:rFonts w:hint="eastAsia" w:ascii="宋体" w:hAnsi="宋体"/>
          <w:szCs w:val="21"/>
          <w:highlight w:val="none"/>
        </w:rPr>
      </w:pPr>
      <w:r>
        <w:rPr>
          <w:rFonts w:hint="eastAsia" w:ascii="宋体" w:hAnsi="宋体"/>
          <w:szCs w:val="21"/>
          <w:highlight w:val="none"/>
        </w:rPr>
        <w:t>2.我单位参与本项目</w:t>
      </w:r>
      <w:r>
        <w:rPr>
          <w:rFonts w:hint="eastAsia"/>
          <w:szCs w:val="21"/>
          <w:highlight w:val="none"/>
        </w:rPr>
        <w:t>政府采购活动时不存在被有关部门禁止参与政府采购活动且在有效期内的情况。</w:t>
      </w:r>
    </w:p>
    <w:p>
      <w:pPr>
        <w:pageBreakBefore w:val="0"/>
        <w:kinsoku/>
        <w:wordWrap/>
        <w:overflowPunct/>
        <w:autoSpaceDE/>
        <w:autoSpaceDN/>
        <w:bidi w:val="0"/>
        <w:spacing w:line="560" w:lineRule="exact"/>
        <w:ind w:firstLine="420" w:firstLineChars="200"/>
        <w:rPr>
          <w:rFonts w:hint="eastAsia" w:ascii="宋体" w:hAnsi="宋体"/>
          <w:szCs w:val="21"/>
          <w:highlight w:val="none"/>
        </w:rPr>
      </w:pPr>
      <w:r>
        <w:rPr>
          <w:rFonts w:hint="eastAsia" w:ascii="宋体" w:hAnsi="宋体"/>
          <w:szCs w:val="21"/>
          <w:highlight w:val="none"/>
        </w:rPr>
        <w:t>3.我单位具备《中华人民共和国政府采购法》第二十二条第一款规定的六项条件。</w:t>
      </w:r>
    </w:p>
    <w:p>
      <w:pPr>
        <w:pageBreakBefore w:val="0"/>
        <w:kinsoku/>
        <w:wordWrap/>
        <w:overflowPunct/>
        <w:autoSpaceDE/>
        <w:autoSpaceDN/>
        <w:bidi w:val="0"/>
        <w:spacing w:line="560" w:lineRule="exact"/>
        <w:ind w:firstLine="420" w:firstLineChars="200"/>
        <w:rPr>
          <w:rFonts w:hint="eastAsia" w:ascii="宋体" w:hAnsi="宋体"/>
          <w:szCs w:val="21"/>
          <w:highlight w:val="none"/>
        </w:rPr>
      </w:pPr>
      <w:r>
        <w:rPr>
          <w:rFonts w:hint="eastAsia" w:ascii="宋体" w:hAnsi="宋体"/>
          <w:szCs w:val="21"/>
          <w:highlight w:val="none"/>
        </w:rPr>
        <w:t>4.我单位</w:t>
      </w:r>
      <w:r>
        <w:rPr>
          <w:rFonts w:hint="eastAsia"/>
          <w:szCs w:val="21"/>
          <w:highlight w:val="none"/>
        </w:rPr>
        <w:t>未被列入失信被执行人、重大税收违法案件当事人名单、政府采购严重违法失信行为记录名单。</w:t>
      </w:r>
    </w:p>
    <w:p>
      <w:pPr>
        <w:pageBreakBefore w:val="0"/>
        <w:kinsoku/>
        <w:wordWrap/>
        <w:overflowPunct/>
        <w:autoSpaceDE/>
        <w:autoSpaceDN/>
        <w:bidi w:val="0"/>
        <w:spacing w:line="560" w:lineRule="exact"/>
        <w:ind w:firstLine="420" w:firstLineChars="200"/>
        <w:rPr>
          <w:rFonts w:hint="eastAsia" w:ascii="宋体" w:hAnsi="宋体"/>
          <w:szCs w:val="21"/>
          <w:highlight w:val="none"/>
        </w:rPr>
      </w:pPr>
      <w:r>
        <w:rPr>
          <w:rFonts w:hint="eastAsia" w:ascii="宋体" w:hAnsi="宋体"/>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pageBreakBefore w:val="0"/>
        <w:kinsoku/>
        <w:wordWrap/>
        <w:overflowPunct/>
        <w:autoSpaceDE/>
        <w:autoSpaceDN/>
        <w:bidi w:val="0"/>
        <w:spacing w:line="560" w:lineRule="exact"/>
        <w:ind w:firstLine="420" w:firstLineChars="200"/>
        <w:rPr>
          <w:rFonts w:hint="eastAsia" w:ascii="宋体" w:hAnsi="宋体"/>
          <w:szCs w:val="21"/>
          <w:highlight w:val="none"/>
        </w:rPr>
      </w:pPr>
      <w:r>
        <w:rPr>
          <w:rFonts w:hint="eastAsia" w:ascii="宋体" w:hAnsi="宋体"/>
          <w:szCs w:val="21"/>
          <w:highlight w:val="none"/>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pageBreakBefore w:val="0"/>
        <w:kinsoku/>
        <w:wordWrap/>
        <w:overflowPunct/>
        <w:autoSpaceDE/>
        <w:autoSpaceDN/>
        <w:bidi w:val="0"/>
        <w:spacing w:line="560" w:lineRule="exact"/>
        <w:ind w:firstLine="420" w:firstLineChars="200"/>
        <w:rPr>
          <w:rFonts w:hint="eastAsia" w:ascii="宋体" w:hAnsi="宋体"/>
          <w:bCs/>
          <w:szCs w:val="21"/>
          <w:highlight w:val="none"/>
        </w:rPr>
      </w:pPr>
      <w:r>
        <w:rPr>
          <w:rFonts w:hint="eastAsia" w:ascii="宋体" w:hAnsi="宋体"/>
          <w:bCs/>
          <w:szCs w:val="21"/>
          <w:highlight w:val="none"/>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pageBreakBefore w:val="0"/>
        <w:kinsoku/>
        <w:wordWrap/>
        <w:overflowPunct/>
        <w:autoSpaceDE/>
        <w:autoSpaceDN/>
        <w:bidi w:val="0"/>
        <w:spacing w:line="560" w:lineRule="exact"/>
        <w:ind w:firstLine="420" w:firstLineChars="200"/>
        <w:rPr>
          <w:rFonts w:hint="eastAsia" w:ascii="宋体" w:hAnsi="宋体"/>
          <w:szCs w:val="21"/>
          <w:highlight w:val="none"/>
        </w:rPr>
      </w:pPr>
      <w:r>
        <w:rPr>
          <w:rFonts w:hint="eastAsia" w:ascii="宋体" w:hAnsi="宋体"/>
          <w:b/>
          <w:szCs w:val="21"/>
          <w:highlight w:val="none"/>
        </w:rPr>
        <w:t>8.我单位清楚，如存在违反投标承诺行为情节严重的，将根据《深圳市财政局关于印发&lt;深圳市财政局政府采购供应商信用信息管理办法&gt;的通知》，依法被列入失信信息。</w:t>
      </w:r>
    </w:p>
    <w:p>
      <w:pPr>
        <w:pageBreakBefore w:val="0"/>
        <w:kinsoku/>
        <w:wordWrap/>
        <w:overflowPunct/>
        <w:autoSpaceDE/>
        <w:autoSpaceDN/>
        <w:bidi w:val="0"/>
        <w:spacing w:line="560" w:lineRule="exact"/>
        <w:ind w:firstLine="420" w:firstLineChars="200"/>
        <w:rPr>
          <w:rFonts w:hint="eastAsia"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pPr>
        <w:pageBreakBefore w:val="0"/>
        <w:kinsoku/>
        <w:wordWrap/>
        <w:overflowPunct/>
        <w:autoSpaceDE/>
        <w:autoSpaceDN/>
        <w:bidi w:val="0"/>
        <w:spacing w:before="78" w:beforeLines="25" w:after="78" w:afterLines="25" w:line="560" w:lineRule="exact"/>
        <w:ind w:firstLine="5460" w:firstLineChars="2600"/>
        <w:rPr>
          <w:rFonts w:hint="eastAsia" w:ascii="宋体" w:hAnsi="宋体"/>
          <w:szCs w:val="21"/>
          <w:highlight w:val="none"/>
        </w:rPr>
      </w:pPr>
    </w:p>
    <w:p>
      <w:pPr>
        <w:pageBreakBefore w:val="0"/>
        <w:kinsoku/>
        <w:wordWrap/>
        <w:overflowPunct/>
        <w:autoSpaceDE/>
        <w:autoSpaceDN/>
        <w:bidi w:val="0"/>
        <w:spacing w:before="78" w:beforeLines="25" w:after="78" w:afterLines="25" w:line="560" w:lineRule="exact"/>
        <w:ind w:firstLine="5460" w:firstLineChars="2600"/>
        <w:rPr>
          <w:rFonts w:hint="eastAsia" w:ascii="宋体" w:hAnsi="宋体"/>
          <w:szCs w:val="21"/>
          <w:highlight w:val="none"/>
        </w:rPr>
      </w:pPr>
      <w:r>
        <w:rPr>
          <w:rFonts w:hint="eastAsia" w:ascii="宋体" w:hAnsi="宋体"/>
          <w:szCs w:val="21"/>
          <w:highlight w:val="none"/>
        </w:rPr>
        <w:t xml:space="preserve">                                    </w:t>
      </w:r>
    </w:p>
    <w:p>
      <w:pPr>
        <w:pageBreakBefore w:val="0"/>
        <w:kinsoku/>
        <w:wordWrap/>
        <w:overflowPunct/>
        <w:autoSpaceDE/>
        <w:autoSpaceDN/>
        <w:bidi w:val="0"/>
        <w:spacing w:before="78" w:beforeLines="25" w:after="78" w:afterLines="25" w:line="560" w:lineRule="exact"/>
        <w:ind w:firstLine="5460" w:firstLineChars="2600"/>
        <w:rPr>
          <w:rFonts w:hint="eastAsia"/>
          <w:szCs w:val="21"/>
          <w:highlight w:val="none"/>
        </w:rPr>
      </w:pPr>
      <w:r>
        <w:rPr>
          <w:rFonts w:hint="eastAsia"/>
          <w:szCs w:val="21"/>
          <w:highlight w:val="none"/>
        </w:rPr>
        <w:t>投标人：</w:t>
      </w:r>
      <w:r>
        <w:rPr>
          <w:rFonts w:hint="eastAsia"/>
          <w:szCs w:val="21"/>
          <w:highlight w:val="none"/>
          <w:u w:val="single"/>
        </w:rPr>
        <w:t xml:space="preserve">              </w:t>
      </w:r>
    </w:p>
    <w:p>
      <w:pPr>
        <w:pageBreakBefore w:val="0"/>
        <w:kinsoku/>
        <w:wordWrap/>
        <w:overflowPunct/>
        <w:autoSpaceDE/>
        <w:autoSpaceDN/>
        <w:bidi w:val="0"/>
        <w:spacing w:line="560" w:lineRule="exact"/>
        <w:ind w:firstLine="645"/>
        <w:rPr>
          <w:rFonts w:hint="eastAsia" w:ascii="宋体" w:hAnsi="宋体"/>
          <w:szCs w:val="21"/>
          <w:highlight w:val="none"/>
        </w:rPr>
      </w:pPr>
      <w:r>
        <w:rPr>
          <w:rFonts w:hint="eastAsia" w:ascii="宋体" w:hAnsi="宋体"/>
          <w:szCs w:val="21"/>
          <w:highlight w:val="none"/>
        </w:rPr>
        <w:t xml:space="preserve">                                              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pageBreakBefore w:val="0"/>
        <w:kinsoku/>
        <w:wordWrap/>
        <w:overflowPunct/>
        <w:autoSpaceDE/>
        <w:autoSpaceDN/>
        <w:bidi w:val="0"/>
        <w:spacing w:line="560" w:lineRule="exact"/>
        <w:rPr>
          <w:rFonts w:hint="eastAsia"/>
          <w:highlight w:val="none"/>
        </w:rPr>
      </w:pPr>
    </w:p>
    <w:p>
      <w:pPr>
        <w:pStyle w:val="20"/>
        <w:pageBreakBefore w:val="0"/>
        <w:kinsoku/>
        <w:wordWrap/>
        <w:overflowPunct/>
        <w:autoSpaceDE/>
        <w:autoSpaceDN/>
        <w:bidi w:val="0"/>
        <w:spacing w:line="560" w:lineRule="exact"/>
        <w:ind w:firstLine="0" w:firstLineChars="0"/>
        <w:rPr>
          <w:rFonts w:hint="eastAsia" w:ascii="黑体" w:hAnsi="黑体" w:eastAsia="黑体" w:cs="黑体"/>
          <w:color w:val="000000"/>
          <w:sz w:val="32"/>
          <w:szCs w:val="32"/>
          <w:highlight w:val="none"/>
        </w:rPr>
        <w:sectPr>
          <w:pgSz w:w="11906" w:h="16838"/>
          <w:pgMar w:top="2098" w:right="1474" w:bottom="1984" w:left="1587" w:header="851" w:footer="992" w:gutter="0"/>
          <w:cols w:space="720" w:num="1"/>
          <w:docGrid w:type="lines" w:linePitch="312" w:charSpace="0"/>
        </w:sectPr>
      </w:pPr>
    </w:p>
    <w:p>
      <w:pPr>
        <w:pStyle w:val="20"/>
        <w:pageBreakBefore w:val="0"/>
        <w:kinsoku/>
        <w:wordWrap/>
        <w:overflowPunct/>
        <w:autoSpaceDE/>
        <w:autoSpaceDN/>
        <w:bidi w:val="0"/>
        <w:spacing w:line="560" w:lineRule="exact"/>
        <w:ind w:firstLine="0" w:firstLineChars="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附件2</w:t>
      </w:r>
    </w:p>
    <w:p>
      <w:pPr>
        <w:pStyle w:val="12"/>
        <w:pageBreakBefore w:val="0"/>
        <w:kinsoku/>
        <w:wordWrap/>
        <w:overflowPunct/>
        <w:autoSpaceDE/>
        <w:autoSpaceDN/>
        <w:bidi w:val="0"/>
        <w:snapToGrid w:val="0"/>
        <w:spacing w:before="0" w:after="0" w:line="560" w:lineRule="exact"/>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供应商基本情况表</w:t>
      </w:r>
    </w:p>
    <w:p>
      <w:pPr>
        <w:pageBreakBefore w:val="0"/>
        <w:kinsoku/>
        <w:wordWrap/>
        <w:overflowPunct/>
        <w:autoSpaceDE/>
        <w:autoSpaceDN/>
        <w:bidi w:val="0"/>
        <w:spacing w:line="560" w:lineRule="exact"/>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填表单位：（加盖单位公章）</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 xml:space="preserve">   填表日期：    年   月   日</w:t>
      </w:r>
    </w:p>
    <w:tbl>
      <w:tblPr>
        <w:tblStyle w:val="14"/>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23"/>
        <w:gridCol w:w="133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采购人</w:t>
            </w:r>
          </w:p>
        </w:tc>
        <w:tc>
          <w:tcPr>
            <w:tcW w:w="2553" w:type="dxa"/>
            <w:gridSpan w:val="2"/>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991" w:type="dxa"/>
            <w:gridSpan w:val="2"/>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3645" w:type="dxa"/>
            <w:gridSpan w:val="2"/>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vAlign w:val="center"/>
          </w:tcPr>
          <w:p>
            <w:pPr>
              <w:pageBreakBefore w:val="0"/>
              <w:kinsoku/>
              <w:wordWrap/>
              <w:overflowPunct/>
              <w:autoSpaceDE/>
              <w:autoSpaceDN/>
              <w:bidi w:val="0"/>
              <w:snapToGrid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投标（响应）供应商</w:t>
            </w:r>
          </w:p>
        </w:tc>
        <w:tc>
          <w:tcPr>
            <w:tcW w:w="2553" w:type="dxa"/>
            <w:gridSpan w:val="2"/>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991" w:type="dxa"/>
            <w:gridSpan w:val="2"/>
            <w:vAlign w:val="center"/>
          </w:tcPr>
          <w:p>
            <w:pPr>
              <w:pageBreakBefore w:val="0"/>
              <w:kinsoku/>
              <w:wordWrap/>
              <w:overflowPunct/>
              <w:autoSpaceDE/>
              <w:autoSpaceDN/>
              <w:bidi w:val="0"/>
              <w:snapToGrid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供应商统一社会信用代码</w:t>
            </w:r>
          </w:p>
        </w:tc>
        <w:tc>
          <w:tcPr>
            <w:tcW w:w="3645" w:type="dxa"/>
            <w:gridSpan w:val="2"/>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vAlign w:val="center"/>
          </w:tcPr>
          <w:p>
            <w:pPr>
              <w:pageBreakBefore w:val="0"/>
              <w:kinsoku/>
              <w:wordWrap/>
              <w:overflowPunct/>
              <w:autoSpaceDE/>
              <w:autoSpaceDN/>
              <w:bidi w:val="0"/>
              <w:snapToGrid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序号</w:t>
            </w:r>
          </w:p>
        </w:tc>
        <w:tc>
          <w:tcPr>
            <w:tcW w:w="2285" w:type="dxa"/>
            <w:gridSpan w:val="2"/>
            <w:tcBorders>
              <w:bottom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职务</w:t>
            </w:r>
          </w:p>
        </w:tc>
        <w:tc>
          <w:tcPr>
            <w:tcW w:w="1330" w:type="dxa"/>
            <w:tcBorders>
              <w:bottom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姓名</w:t>
            </w:r>
          </w:p>
        </w:tc>
        <w:tc>
          <w:tcPr>
            <w:tcW w:w="1991" w:type="dxa"/>
            <w:gridSpan w:val="2"/>
            <w:tcBorders>
              <w:bottom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身份证号码</w:t>
            </w:r>
          </w:p>
        </w:tc>
        <w:tc>
          <w:tcPr>
            <w:tcW w:w="1500" w:type="dxa"/>
            <w:tcBorders>
              <w:bottom w:val="single" w:color="auto" w:sz="4" w:space="0"/>
            </w:tcBorders>
            <w:vAlign w:val="center"/>
          </w:tcPr>
          <w:p>
            <w:pPr>
              <w:pageBreakBefore w:val="0"/>
              <w:kinsoku/>
              <w:wordWrap/>
              <w:overflowPunct/>
              <w:autoSpaceDE/>
              <w:autoSpaceDN/>
              <w:bidi w:val="0"/>
              <w:snapToGrid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劳动合同</w:t>
            </w:r>
          </w:p>
          <w:p>
            <w:pPr>
              <w:pageBreakBefore w:val="0"/>
              <w:kinsoku/>
              <w:wordWrap/>
              <w:overflowPunct/>
              <w:autoSpaceDE/>
              <w:autoSpaceDN/>
              <w:bidi w:val="0"/>
              <w:snapToGrid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关系单位</w:t>
            </w:r>
          </w:p>
        </w:tc>
        <w:tc>
          <w:tcPr>
            <w:tcW w:w="2145" w:type="dxa"/>
            <w:tcBorders>
              <w:bottom w:val="single" w:color="auto" w:sz="4" w:space="0"/>
            </w:tcBorders>
            <w:vAlign w:val="center"/>
          </w:tcPr>
          <w:p>
            <w:pPr>
              <w:pageBreakBefore w:val="0"/>
              <w:kinsoku/>
              <w:wordWrap/>
              <w:overflowPunct/>
              <w:autoSpaceDE/>
              <w:autoSpaceDN/>
              <w:bidi w:val="0"/>
              <w:snapToGrid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缴纳社会</w:t>
            </w:r>
          </w:p>
          <w:p>
            <w:pPr>
              <w:pageBreakBefore w:val="0"/>
              <w:kinsoku/>
              <w:wordWrap/>
              <w:overflowPunct/>
              <w:autoSpaceDE/>
              <w:autoSpaceDN/>
              <w:bidi w:val="0"/>
              <w:snapToGrid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228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2"/>
                <w:highlight w:val="none"/>
              </w:rPr>
              <w:t>法定代表人/单位负责人/主要经营负责人</w:t>
            </w:r>
          </w:p>
        </w:tc>
        <w:tc>
          <w:tcPr>
            <w:tcW w:w="13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214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c>
          <w:tcPr>
            <w:tcW w:w="228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2"/>
                <w:highlight w:val="none"/>
              </w:rPr>
              <w:t>项目投标授权代表人</w:t>
            </w:r>
          </w:p>
        </w:tc>
        <w:tc>
          <w:tcPr>
            <w:tcW w:w="13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214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w:t>
            </w:r>
          </w:p>
        </w:tc>
        <w:tc>
          <w:tcPr>
            <w:tcW w:w="2285" w:type="dxa"/>
            <w:gridSpan w:val="2"/>
            <w:tcBorders>
              <w:top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项目负责人</w:t>
            </w:r>
          </w:p>
        </w:tc>
        <w:tc>
          <w:tcPr>
            <w:tcW w:w="1330" w:type="dxa"/>
            <w:tcBorders>
              <w:top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991" w:type="dxa"/>
            <w:gridSpan w:val="2"/>
            <w:tcBorders>
              <w:top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500" w:type="dxa"/>
            <w:tcBorders>
              <w:top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2145" w:type="dxa"/>
            <w:tcBorders>
              <w:top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w:t>
            </w:r>
          </w:p>
        </w:tc>
        <w:tc>
          <w:tcPr>
            <w:tcW w:w="2285" w:type="dxa"/>
            <w:gridSpan w:val="2"/>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主要技术人员</w:t>
            </w:r>
          </w:p>
        </w:tc>
        <w:tc>
          <w:tcPr>
            <w:tcW w:w="1330" w:type="dxa"/>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991" w:type="dxa"/>
            <w:gridSpan w:val="2"/>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500" w:type="dxa"/>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2145" w:type="dxa"/>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w:t>
            </w:r>
          </w:p>
        </w:tc>
        <w:tc>
          <w:tcPr>
            <w:tcW w:w="2285" w:type="dxa"/>
            <w:gridSpan w:val="2"/>
            <w:vAlign w:val="center"/>
          </w:tcPr>
          <w:p>
            <w:pPr>
              <w:pStyle w:val="6"/>
              <w:pageBreakBefore w:val="0"/>
              <w:kinsoku/>
              <w:wordWrap/>
              <w:overflowPunct/>
              <w:autoSpaceDE/>
              <w:autoSpaceDN/>
              <w:bidi w:val="0"/>
              <w:snapToGrid w:val="0"/>
              <w:spacing w:line="560" w:lineRule="exact"/>
              <w:ind w:firstLine="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投标文件编制人员</w:t>
            </w:r>
          </w:p>
        </w:tc>
        <w:tc>
          <w:tcPr>
            <w:tcW w:w="1330" w:type="dxa"/>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991" w:type="dxa"/>
            <w:gridSpan w:val="2"/>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1500" w:type="dxa"/>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2145" w:type="dxa"/>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序号</w:t>
            </w:r>
          </w:p>
        </w:tc>
        <w:tc>
          <w:tcPr>
            <w:tcW w:w="2285" w:type="dxa"/>
            <w:gridSpan w:val="2"/>
            <w:tcBorders>
              <w:bottom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关联关系类型</w:t>
            </w:r>
          </w:p>
        </w:tc>
        <w:tc>
          <w:tcPr>
            <w:tcW w:w="2121" w:type="dxa"/>
            <w:gridSpan w:val="2"/>
            <w:tcBorders>
              <w:bottom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关联主体名称</w:t>
            </w:r>
          </w:p>
        </w:tc>
        <w:tc>
          <w:tcPr>
            <w:tcW w:w="4845" w:type="dxa"/>
            <w:gridSpan w:val="3"/>
            <w:tcBorders>
              <w:bottom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228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控股股东</w:t>
            </w:r>
          </w:p>
        </w:tc>
        <w:tc>
          <w:tcPr>
            <w:tcW w:w="212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napToGrid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c>
          <w:tcPr>
            <w:tcW w:w="228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管理关系</w:t>
            </w:r>
          </w:p>
        </w:tc>
        <w:tc>
          <w:tcPr>
            <w:tcW w:w="212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pacing w:line="560" w:lineRule="exact"/>
              <w:jc w:val="left"/>
              <w:rPr>
                <w:rFonts w:hint="eastAsia" w:ascii="方正仿宋_GBK" w:hAnsi="方正仿宋_GBK" w:eastAsia="方正仿宋_GBK" w:cs="方正仿宋_GBK"/>
                <w:sz w:val="24"/>
                <w:highlight w:val="none"/>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napToGrid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autoSpaceDE/>
              <w:autoSpaceDN/>
              <w:bidi w:val="0"/>
              <w:snapToGrid w:val="0"/>
              <w:spacing w:line="56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说明：同一关联关系类型有多个主体的，应分行填写。</w:t>
            </w:r>
          </w:p>
        </w:tc>
      </w:tr>
    </w:tbl>
    <w:p>
      <w:pPr>
        <w:pageBreakBefore w:val="0"/>
        <w:kinsoku/>
        <w:wordWrap/>
        <w:overflowPunct/>
        <w:autoSpaceDE/>
        <w:autoSpaceDN/>
        <w:bidi w:val="0"/>
        <w:spacing w:line="560" w:lineRule="exact"/>
        <w:rPr>
          <w:rFonts w:hint="eastAsia"/>
          <w:highlight w:val="none"/>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0" w:usb3="00000000" w:csb0="00000093"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0D3CC"/>
    <w:multiLevelType w:val="singleLevel"/>
    <w:tmpl w:val="DA10D3CC"/>
    <w:lvl w:ilvl="0" w:tentative="0">
      <w:start w:val="3"/>
      <w:numFmt w:val="chineseCounting"/>
      <w:suff w:val="nothing"/>
      <w:lvlText w:val="%1、"/>
      <w:lvlJc w:val="left"/>
      <w:rPr>
        <w:rFonts w:hint="eastAsia"/>
      </w:rPr>
    </w:lvl>
  </w:abstractNum>
  <w:abstractNum w:abstractNumId="1">
    <w:nsid w:val="74B50053"/>
    <w:multiLevelType w:val="singleLevel"/>
    <w:tmpl w:val="74B5005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ZDNkOTlhMWVlMWM1MjVjMGViYWE2MjU4ZGRhMDIifQ=="/>
  </w:docVars>
  <w:rsids>
    <w:rsidRoot w:val="72E329E7"/>
    <w:rsid w:val="0009434C"/>
    <w:rsid w:val="00192913"/>
    <w:rsid w:val="00753B17"/>
    <w:rsid w:val="007C28CF"/>
    <w:rsid w:val="03125B78"/>
    <w:rsid w:val="03C74BB5"/>
    <w:rsid w:val="04BF8AC8"/>
    <w:rsid w:val="050C42D8"/>
    <w:rsid w:val="05635B72"/>
    <w:rsid w:val="06284AC3"/>
    <w:rsid w:val="06D72E3B"/>
    <w:rsid w:val="070103DE"/>
    <w:rsid w:val="0842480A"/>
    <w:rsid w:val="0A132451"/>
    <w:rsid w:val="0A581CA5"/>
    <w:rsid w:val="0B64084A"/>
    <w:rsid w:val="10090E27"/>
    <w:rsid w:val="123A47A4"/>
    <w:rsid w:val="12ED6C7F"/>
    <w:rsid w:val="16176ECF"/>
    <w:rsid w:val="17CE33CF"/>
    <w:rsid w:val="17F311F4"/>
    <w:rsid w:val="1C8B4F42"/>
    <w:rsid w:val="1CA40BB1"/>
    <w:rsid w:val="1CEB326A"/>
    <w:rsid w:val="1D221DDF"/>
    <w:rsid w:val="1E0D75FF"/>
    <w:rsid w:val="1EF92460"/>
    <w:rsid w:val="1EFCBAED"/>
    <w:rsid w:val="24BB06FE"/>
    <w:rsid w:val="252C0D2E"/>
    <w:rsid w:val="25C80924"/>
    <w:rsid w:val="2620570B"/>
    <w:rsid w:val="26E970D8"/>
    <w:rsid w:val="272B4557"/>
    <w:rsid w:val="284827A1"/>
    <w:rsid w:val="29190D55"/>
    <w:rsid w:val="296714B4"/>
    <w:rsid w:val="2A477CE9"/>
    <w:rsid w:val="2CFF5402"/>
    <w:rsid w:val="2E47662A"/>
    <w:rsid w:val="2ECE62B9"/>
    <w:rsid w:val="2FBB0718"/>
    <w:rsid w:val="30BB0333"/>
    <w:rsid w:val="32775A76"/>
    <w:rsid w:val="32DE4CC5"/>
    <w:rsid w:val="32EF1D6A"/>
    <w:rsid w:val="335139A7"/>
    <w:rsid w:val="33531A54"/>
    <w:rsid w:val="36DF0F62"/>
    <w:rsid w:val="36E1700A"/>
    <w:rsid w:val="37763248"/>
    <w:rsid w:val="37DF7247"/>
    <w:rsid w:val="398E2E32"/>
    <w:rsid w:val="3A7C00E9"/>
    <w:rsid w:val="3FC06CA7"/>
    <w:rsid w:val="3FDD3D43"/>
    <w:rsid w:val="41DA5CAF"/>
    <w:rsid w:val="43B9147D"/>
    <w:rsid w:val="45B554DB"/>
    <w:rsid w:val="462E1A69"/>
    <w:rsid w:val="464E3C7E"/>
    <w:rsid w:val="48F776C7"/>
    <w:rsid w:val="498C0215"/>
    <w:rsid w:val="4AE823B7"/>
    <w:rsid w:val="4AEC7965"/>
    <w:rsid w:val="4C3A2C5E"/>
    <w:rsid w:val="4CE76399"/>
    <w:rsid w:val="4D0F580B"/>
    <w:rsid w:val="4D8C33DF"/>
    <w:rsid w:val="4D9C03E1"/>
    <w:rsid w:val="4E1D7019"/>
    <w:rsid w:val="4E7C59FA"/>
    <w:rsid w:val="4F7A7972"/>
    <w:rsid w:val="504D6C6A"/>
    <w:rsid w:val="50D420C4"/>
    <w:rsid w:val="514705FA"/>
    <w:rsid w:val="52584EFE"/>
    <w:rsid w:val="53D60AE0"/>
    <w:rsid w:val="53DF24DA"/>
    <w:rsid w:val="54A84FF3"/>
    <w:rsid w:val="54E52425"/>
    <w:rsid w:val="56014A1A"/>
    <w:rsid w:val="56BF62D6"/>
    <w:rsid w:val="56FDFE95"/>
    <w:rsid w:val="58240990"/>
    <w:rsid w:val="586BE4D2"/>
    <w:rsid w:val="587A37B8"/>
    <w:rsid w:val="59EC7D9C"/>
    <w:rsid w:val="5A080AE6"/>
    <w:rsid w:val="5A311026"/>
    <w:rsid w:val="5AF11DCF"/>
    <w:rsid w:val="5D84530F"/>
    <w:rsid w:val="5DF73382"/>
    <w:rsid w:val="5FF6B361"/>
    <w:rsid w:val="5FFA0712"/>
    <w:rsid w:val="5FFB4EE2"/>
    <w:rsid w:val="6071302D"/>
    <w:rsid w:val="612037B1"/>
    <w:rsid w:val="618013E6"/>
    <w:rsid w:val="61B20494"/>
    <w:rsid w:val="63FEA845"/>
    <w:rsid w:val="64E07879"/>
    <w:rsid w:val="65ED0CC5"/>
    <w:rsid w:val="664D3C1B"/>
    <w:rsid w:val="6B064398"/>
    <w:rsid w:val="6B595F0E"/>
    <w:rsid w:val="6BD510F7"/>
    <w:rsid w:val="6BD7F44B"/>
    <w:rsid w:val="6BF90F7A"/>
    <w:rsid w:val="6D176D30"/>
    <w:rsid w:val="6D570F8D"/>
    <w:rsid w:val="6D842EDF"/>
    <w:rsid w:val="6EC27EB2"/>
    <w:rsid w:val="6F3C15DE"/>
    <w:rsid w:val="6FAB6B5D"/>
    <w:rsid w:val="6FBC4CD2"/>
    <w:rsid w:val="6FCDDAF1"/>
    <w:rsid w:val="6FCF691F"/>
    <w:rsid w:val="6FFC33A2"/>
    <w:rsid w:val="70787078"/>
    <w:rsid w:val="727F0453"/>
    <w:rsid w:val="72E329E7"/>
    <w:rsid w:val="735E6DE6"/>
    <w:rsid w:val="737F78D3"/>
    <w:rsid w:val="73F67ACD"/>
    <w:rsid w:val="74936C9D"/>
    <w:rsid w:val="77DDB456"/>
    <w:rsid w:val="783064E0"/>
    <w:rsid w:val="783D2938"/>
    <w:rsid w:val="788A03B6"/>
    <w:rsid w:val="78975968"/>
    <w:rsid w:val="793F69E3"/>
    <w:rsid w:val="7A817161"/>
    <w:rsid w:val="7B850944"/>
    <w:rsid w:val="7BBE145C"/>
    <w:rsid w:val="7BD57407"/>
    <w:rsid w:val="7BEF5D70"/>
    <w:rsid w:val="7CFC4BAB"/>
    <w:rsid w:val="7E122210"/>
    <w:rsid w:val="7E4C09C1"/>
    <w:rsid w:val="7F4D16AD"/>
    <w:rsid w:val="7FBF2F12"/>
    <w:rsid w:val="7FBF56BF"/>
    <w:rsid w:val="7FFEE11B"/>
    <w:rsid w:val="BEE75047"/>
    <w:rsid w:val="BFBE4FEA"/>
    <w:rsid w:val="C59318D2"/>
    <w:rsid w:val="CEDFBE20"/>
    <w:rsid w:val="CEFF736A"/>
    <w:rsid w:val="CFD7B607"/>
    <w:rsid w:val="D6BF7979"/>
    <w:rsid w:val="D6FFADDB"/>
    <w:rsid w:val="D7BEB3E5"/>
    <w:rsid w:val="D9BD798A"/>
    <w:rsid w:val="DDBF1B1A"/>
    <w:rsid w:val="DF9713D3"/>
    <w:rsid w:val="DFBE179D"/>
    <w:rsid w:val="DFDAFDEB"/>
    <w:rsid w:val="E7FFAB29"/>
    <w:rsid w:val="EFE765A7"/>
    <w:rsid w:val="EFEC2384"/>
    <w:rsid w:val="F4EB4F66"/>
    <w:rsid w:val="F6DBFA6F"/>
    <w:rsid w:val="F70F0DC3"/>
    <w:rsid w:val="F7330AB6"/>
    <w:rsid w:val="F76773FC"/>
    <w:rsid w:val="F777B5E9"/>
    <w:rsid w:val="F7BA50E6"/>
    <w:rsid w:val="F7BF807C"/>
    <w:rsid w:val="F7FBAA1C"/>
    <w:rsid w:val="F9DB3ACB"/>
    <w:rsid w:val="FA6EF69E"/>
    <w:rsid w:val="FDB6B3C1"/>
    <w:rsid w:val="FDCF5925"/>
    <w:rsid w:val="FDFF0605"/>
    <w:rsid w:val="FEFBDF5C"/>
    <w:rsid w:val="FF7F4158"/>
    <w:rsid w:val="FFAE9DD0"/>
    <w:rsid w:val="FFB8A373"/>
    <w:rsid w:val="FFF1EED5"/>
    <w:rsid w:val="FFFD181B"/>
    <w:rsid w:val="FFFF0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360" w:lineRule="auto"/>
    </w:pPr>
    <w:rPr>
      <w:sz w:val="24"/>
    </w:r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lock Text"/>
    <w:basedOn w:val="1"/>
    <w:qFormat/>
    <w:uiPriority w:val="0"/>
    <w:pPr>
      <w:tabs>
        <w:tab w:val="left" w:pos="426"/>
      </w:tabs>
      <w:spacing w:after="120"/>
      <w:ind w:left="1440" w:leftChars="700" w:right="1440" w:rightChars="7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toc 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
    <w:name w:val="Normal (Web)"/>
    <w:basedOn w:val="1"/>
    <w:qFormat/>
    <w:uiPriority w:val="0"/>
    <w:pPr>
      <w:spacing w:beforeAutospacing="1" w:afterAutospacing="1"/>
      <w:jc w:val="left"/>
    </w:pPr>
    <w:rPr>
      <w:kern w:val="0"/>
      <w:sz w:val="24"/>
    </w:rPr>
  </w:style>
  <w:style w:type="paragraph" w:styleId="12">
    <w:name w:val="Title"/>
    <w:basedOn w:val="1"/>
    <w:next w:val="1"/>
    <w:qFormat/>
    <w:uiPriority w:val="10"/>
    <w:pPr>
      <w:spacing w:before="240" w:after="60"/>
      <w:jc w:val="center"/>
      <w:outlineLvl w:val="0"/>
    </w:pPr>
    <w:rPr>
      <w:rFonts w:ascii="等线 Light" w:hAnsi="等线 Light" w:eastAsia="宋体"/>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customStyle="1" w:styleId="17">
    <w:name w:val="文本块1"/>
    <w:qFormat/>
    <w:uiPriority w:val="0"/>
    <w:pPr>
      <w:widowControl w:val="0"/>
      <w:tabs>
        <w:tab w:val="left" w:pos="426"/>
      </w:tabs>
      <w:spacing w:after="120"/>
      <w:ind w:left="1440" w:right="1440"/>
      <w:jc w:val="both"/>
    </w:pPr>
    <w:rPr>
      <w:rFonts w:ascii="等线" w:hAnsi="等线" w:eastAsia="等线" w:cs="等线"/>
      <w:color w:val="000000"/>
      <w:kern w:val="2"/>
      <w:sz w:val="21"/>
      <w:szCs w:val="21"/>
      <w:u w:color="000000"/>
      <w:lang w:val="en-US" w:eastAsia="zh-CN" w:bidi="ar-SA"/>
    </w:rPr>
  </w:style>
  <w:style w:type="paragraph" w:customStyle="1" w:styleId="18">
    <w:name w:val="正文 A"/>
    <w:next w:val="17"/>
    <w:qFormat/>
    <w:uiPriority w:val="0"/>
    <w:pPr>
      <w:widowControl w:val="0"/>
      <w:jc w:val="both"/>
    </w:pPr>
    <w:rPr>
      <w:rFonts w:ascii="等线" w:hAnsi="等线" w:eastAsia="等线" w:cs="等线"/>
      <w:color w:val="000000"/>
      <w:kern w:val="2"/>
      <w:sz w:val="21"/>
      <w:szCs w:val="21"/>
      <w:u w:color="000000"/>
      <w:lang w:val="en-US" w:eastAsia="zh-CN" w:bidi="ar-SA"/>
    </w:rPr>
  </w:style>
  <w:style w:type="paragraph" w:customStyle="1" w:styleId="19">
    <w:name w:val="USE 1"/>
    <w:qFormat/>
    <w:uiPriority w:val="0"/>
    <w:pPr>
      <w:widowControl w:val="0"/>
      <w:spacing w:line="200" w:lineRule="atLeast"/>
    </w:pPr>
    <w:rPr>
      <w:rFonts w:ascii="宋体" w:hAnsi="宋体" w:eastAsia="宋体" w:cs="宋体"/>
      <w:b/>
      <w:bCs/>
      <w:color w:val="000000"/>
      <w:kern w:val="2"/>
      <w:sz w:val="24"/>
      <w:szCs w:val="24"/>
      <w:u w:color="000000"/>
      <w:lang w:val="en-US" w:eastAsia="zh-CN" w:bidi="ar-SA"/>
    </w:rPr>
  </w:style>
  <w:style w:type="paragraph" w:customStyle="1" w:styleId="20">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1">
    <w:name w:val="Revision"/>
    <w:hidden/>
    <w:unhideWhenUsed/>
    <w:qFormat/>
    <w:uiPriority w:val="99"/>
    <w:rPr>
      <w:rFonts w:ascii="等线" w:hAnsi="等线" w:eastAsia="等线" w:cs="Times New Roman"/>
      <w:kern w:val="2"/>
      <w:sz w:val="21"/>
      <w:szCs w:val="22"/>
      <w:lang w:val="en-US" w:eastAsia="zh-CN" w:bidi="ar-SA"/>
    </w:rPr>
  </w:style>
  <w:style w:type="paragraph" w:customStyle="1" w:styleId="2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3">
    <w:name w:val="表格文字"/>
    <w:basedOn w:val="1"/>
    <w:next w:val="2"/>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4279</Words>
  <Characters>4513</Characters>
  <Lines>27</Lines>
  <Paragraphs>7</Paragraphs>
  <TotalTime>969</TotalTime>
  <ScaleCrop>false</ScaleCrop>
  <LinksUpToDate>false</LinksUpToDate>
  <CharactersWithSpaces>4533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2026-01-22T10:48:00Z</dcterms:created>
  <dc:creator>L.</dc:creator>
  <cp:lastModifiedBy>lxy</cp:lastModifiedBy>
  <cp:lastPrinted>2025-10-11T01:35:00Z</cp:lastPrinted>
  <dcterms:modified xsi:type="dcterms:W3CDTF">2026-02-27T15:24:40Z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BE84215857C641EE90EE8F9D8DD04F18</vt:lpwstr>
  </property>
  <property fmtid="{D5CDD505-2E9C-101B-9397-08002B2CF9AE}" pid="4" name="KSOTemplateDocerSaveRecord">
    <vt:lpwstr>eyJoZGlkIjoiNDg3NmQxZTU5OTdkMmJjZGY1OTY3YjZhZjYyMTNlZGEiLCJ1c2VySWQiOiIzNDM3Nzk5MTQifQ==</vt:lpwstr>
  </property>
</Properties>
</file>