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spacing w:before="0" w:after="0" w:line="560" w:lineRule="exact"/>
        <w:ind w:left="0" w:leftChars="0" w:firstLine="4"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第二十二届文博会龙华区主会场设计搭建</w:t>
      </w:r>
    </w:p>
    <w:p>
      <w:pPr>
        <w:pStyle w:val="9"/>
        <w:spacing w:line="560" w:lineRule="exact"/>
        <w:jc w:val="center"/>
        <w:rPr>
          <w:rFonts w:ascii="方正小标宋简体" w:hAnsi="方正小标宋简体" w:eastAsia="方正小标宋简体" w:cs="方正小标宋简体"/>
          <w:spacing w:val="17"/>
          <w:sz w:val="44"/>
          <w:szCs w:val="44"/>
          <w:highlight w:val="none"/>
        </w:rPr>
      </w:pPr>
      <w:r>
        <w:rPr>
          <w:rFonts w:hint="eastAsia" w:ascii="方正小标宋简体" w:hAnsi="方正小标宋简体" w:eastAsia="方正小标宋简体" w:cs="方正小标宋简体"/>
          <w:b w:val="0"/>
          <w:bCs w:val="0"/>
          <w:sz w:val="44"/>
          <w:szCs w:val="44"/>
          <w:lang w:val="en-US" w:eastAsia="zh-CN"/>
        </w:rPr>
        <w:t>服务项目</w:t>
      </w:r>
      <w:r>
        <w:rPr>
          <w:rFonts w:hint="eastAsia" w:ascii="方正小标宋简体" w:hAnsi="方正小标宋简体" w:eastAsia="方正小标宋简体" w:cs="方正小标宋简体"/>
          <w:b w:val="0"/>
          <w:bCs w:val="0"/>
          <w:sz w:val="44"/>
          <w:szCs w:val="44"/>
        </w:rPr>
        <w:t>需求书</w:t>
      </w:r>
    </w:p>
    <w:p>
      <w:pPr>
        <w:tabs>
          <w:tab w:val="left" w:pos="1820"/>
        </w:tabs>
        <w:snapToGrid w:val="0"/>
        <w:spacing w:line="560" w:lineRule="exact"/>
        <w:ind w:firstLine="640" w:firstLineChars="200"/>
        <w:jc w:val="left"/>
        <w:rPr>
          <w:rFonts w:hint="eastAsia" w:ascii="黑体" w:hAnsi="黑体" w:eastAsia="黑体" w:cs="黑体"/>
          <w:bCs/>
          <w:sz w:val="32"/>
          <w:szCs w:val="32"/>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中国（深圳）国际文化产业博览交易会（简称“</w:t>
      </w:r>
      <w:r>
        <w:rPr>
          <w:rFonts w:hint="eastAsia" w:ascii="仿宋_GB2312" w:hAnsi="仿宋" w:eastAsia="仿宋_GB2312" w:cs="仿宋"/>
          <w:bCs/>
          <w:kern w:val="2"/>
          <w:sz w:val="32"/>
          <w:szCs w:val="32"/>
          <w:highlight w:val="none"/>
          <w:lang w:val="en-US" w:eastAsia="zh-CN" w:bidi="ar-SA"/>
        </w:rPr>
        <w:fldChar w:fldCharType="begin"/>
      </w:r>
      <w:r>
        <w:rPr>
          <w:rFonts w:hint="eastAsia" w:ascii="仿宋_GB2312" w:hAnsi="仿宋" w:eastAsia="仿宋_GB2312" w:cs="仿宋"/>
          <w:bCs/>
          <w:kern w:val="2"/>
          <w:sz w:val="32"/>
          <w:szCs w:val="32"/>
          <w:highlight w:val="none"/>
          <w:lang w:val="en-US" w:eastAsia="zh-CN" w:bidi="ar-SA"/>
        </w:rPr>
        <w:instrText xml:space="preserve"> HYPERLINK "https://baike.baidu.com/item/%E6%96%87%E5%8D%9A%E4%BC%9A/3138718" \t "https://baike.baidu.com/item/%E4%B8%AD%E5%9B%BD%EF%BC%88%E6%B7%B1%E5%9C%B3%EF%BC%89%E5%9B%BD%E9%99%85%E6%96%87%E5%8C%96%E4%BA%A7%E4%B8%9A%E5%8D%9A%E8%A7%88%E4%BA%A4%E6%98%93%E4%BC%9A/_blank" </w:instrText>
      </w:r>
      <w:r>
        <w:rPr>
          <w:rFonts w:hint="eastAsia" w:ascii="仿宋_GB2312" w:hAnsi="仿宋" w:eastAsia="仿宋_GB2312" w:cs="仿宋"/>
          <w:bCs/>
          <w:kern w:val="2"/>
          <w:sz w:val="32"/>
          <w:szCs w:val="32"/>
          <w:highlight w:val="none"/>
          <w:lang w:val="en-US" w:eastAsia="zh-CN" w:bidi="ar-SA"/>
        </w:rPr>
        <w:fldChar w:fldCharType="separate"/>
      </w:r>
      <w:r>
        <w:rPr>
          <w:rFonts w:hint="eastAsia" w:ascii="仿宋_GB2312" w:hAnsi="仿宋" w:eastAsia="仿宋_GB2312" w:cs="仿宋"/>
          <w:bCs/>
          <w:kern w:val="2"/>
          <w:sz w:val="32"/>
          <w:szCs w:val="32"/>
          <w:highlight w:val="none"/>
          <w:lang w:val="en-US" w:eastAsia="zh-CN" w:bidi="ar-SA"/>
        </w:rPr>
        <w:t>文博会</w:t>
      </w:r>
      <w:r>
        <w:rPr>
          <w:rFonts w:hint="eastAsia" w:ascii="仿宋_GB2312" w:hAnsi="仿宋" w:eastAsia="仿宋_GB2312" w:cs="仿宋"/>
          <w:bCs/>
          <w:kern w:val="2"/>
          <w:sz w:val="32"/>
          <w:szCs w:val="32"/>
          <w:highlight w:val="none"/>
          <w:lang w:val="en-US" w:eastAsia="zh-CN" w:bidi="ar-SA"/>
        </w:rPr>
        <w:fldChar w:fldCharType="end"/>
      </w:r>
      <w:r>
        <w:rPr>
          <w:rFonts w:hint="eastAsia" w:ascii="仿宋_GB2312" w:hAnsi="仿宋" w:eastAsia="仿宋_GB2312" w:cs="仿宋"/>
          <w:bCs/>
          <w:kern w:val="2"/>
          <w:sz w:val="32"/>
          <w:szCs w:val="32"/>
          <w:highlight w:val="none"/>
          <w:lang w:val="en-US" w:eastAsia="zh-CN" w:bidi="ar-SA"/>
        </w:rPr>
        <w:t>”），由中共中央宣传部、中华人民共和国文化和旅游部、中华人民共和国商务部、国家广播电视总局、中国国际贸易促进委员会、广东省人民政府和深圳市人民政府联合主办的唯一国家级文化产业博览交易盛会，是我区文化企业的重要国际性展示平台。</w:t>
      </w:r>
    </w:p>
    <w:p>
      <w:pPr>
        <w:pStyle w:val="15"/>
        <w:spacing w:line="560" w:lineRule="exact"/>
        <w:ind w:firstLine="640"/>
        <w:jc w:val="both"/>
      </w:pPr>
      <w:r>
        <w:rPr>
          <w:rFonts w:hint="eastAsia" w:ascii="仿宋_GB2312" w:hAnsi="仿宋" w:eastAsia="仿宋_GB2312" w:cs="仿宋"/>
          <w:bCs/>
          <w:kern w:val="2"/>
          <w:sz w:val="32"/>
          <w:szCs w:val="32"/>
          <w:highlight w:val="none"/>
          <w:lang w:val="en-US" w:eastAsia="zh-CN" w:bidi="ar-SA"/>
        </w:rPr>
        <w:t>第二十二届文博会将于2026年5月21-25日举行，龙华区将在宝安深圳国际会展中心设立主会场，展示龙华区文化创意产业的实力、特色和风采。为达到较好的展示效果，现拟邀请专业服务商完成龙华区主会场设计搭建工作。</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2026年5</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1.设计展位特装图</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按照以下原则设计出有特色、有创意的展位设计图。</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（1）展位外观设计要有创意，能抓人眼球，吸引市民进入展位；</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（2）展位布局清晰合理，要充分展示我区文旅产业实力，给予企业更多的展示机会，让更多优质的文创产品亮相，重点展示数字文化产业、文旅资源。</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3）设计风格以大气、简洁、时尚、新颖为主，可多利用虚拟展示、光电效果等数字化手段，从传统品牌、时尚文化、数字文化、旅游产业等多方面呈现我区文体旅产业风采，以高质量的展示内容吸引市民关注。</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（4）展位要便于参观人群的集聚和分散，充分考虑参观人流走向，设置合理、可行的参观动线。</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（5）可设置简易表演舞台区，搭配高清LED屏幕，用于推介我区产业实力以及辖区文旅企业宣传。</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（6）展位面积、位置详见附件</w:t>
      </w:r>
      <w:r>
        <w:rPr>
          <w:rFonts w:hint="eastAsia" w:ascii="仿宋_GB2312" w:hAnsi="仿宋" w:cs="仿宋"/>
          <w:bCs/>
          <w:kern w:val="2"/>
          <w:sz w:val="32"/>
          <w:szCs w:val="32"/>
          <w:highlight w:val="none"/>
          <w:lang w:val="en-US" w:eastAsia="zh-CN" w:bidi="ar-SA"/>
        </w:rPr>
        <w:t>3</w:t>
      </w:r>
      <w:r>
        <w:rPr>
          <w:rFonts w:hint="eastAsia" w:ascii="仿宋_GB2312" w:hAnsi="仿宋" w:eastAsia="仿宋_GB2312" w:cs="仿宋"/>
          <w:bCs/>
          <w:kern w:val="2"/>
          <w:sz w:val="32"/>
          <w:szCs w:val="32"/>
          <w:highlight w:val="none"/>
          <w:lang w:val="en-US" w:eastAsia="zh-CN" w:bidi="ar-SA"/>
        </w:rPr>
        <w:t>。</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2.做好展品收集对接</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服务商需在文博会开展前深入挖掘可展示内容，安排专人做好产品对接工作，尽可能展示更多种类的优质文创产品。</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3.做好展位搭建、布展</w:t>
      </w:r>
    </w:p>
    <w:p>
      <w:pPr>
        <w:pStyle w:val="15"/>
        <w:spacing w:line="560" w:lineRule="exact"/>
        <w:ind w:firstLine="640"/>
        <w:jc w:val="both"/>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服务商需在文博会开展前将展位设计图</w:t>
      </w:r>
      <w:r>
        <w:rPr>
          <w:rFonts w:hint="eastAsia" w:ascii="仿宋_GB2312" w:hAnsi="仿宋" w:eastAsia="仿宋_GB2312" w:cs="仿宋"/>
          <w:bCs/>
          <w:kern w:val="2"/>
          <w:sz w:val="32"/>
          <w:szCs w:val="32"/>
          <w:highlight w:val="none"/>
          <w:lang w:val="en-US" w:eastAsia="zh-Hans" w:bidi="ar-SA"/>
        </w:rPr>
        <w:t>交付</w:t>
      </w:r>
      <w:r>
        <w:rPr>
          <w:rFonts w:hint="eastAsia" w:ascii="仿宋_GB2312" w:hAnsi="仿宋" w:eastAsia="仿宋_GB2312" w:cs="仿宋"/>
          <w:bCs/>
          <w:kern w:val="2"/>
          <w:sz w:val="32"/>
          <w:szCs w:val="32"/>
          <w:highlight w:val="none"/>
          <w:lang w:val="en-US" w:eastAsia="zh-CN" w:bidi="ar-SA"/>
        </w:rPr>
        <w:t>区文化广电旅游体育局进行确认，并严格按照经区文化广电旅游体育局确认的设计图进行搭建，确保完成后的效果与设计图一致，安全有保障。布展前，要充分了解参展企业的桌椅、用电等需求，确保展示效果良好；布展期间，要与企业做好对接，帮助参展企业运输展品。</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4.策划现场表演，维护秩序</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展会期间，需策划1场开幕式以及8场形式丰富、内容精彩的表演活动，开幕式活动需邀请1名专业主持人并编排专业艺术表演，所有活动内容需提前报区文化广电旅游体育局确认，吸引更多市民步入龙华区展位。派5名工作人员（礼仪、电工等）常驻我区展位，负责维护展位现场秩序，协助参展企业解决需求</w:t>
      </w:r>
      <w:r>
        <w:rPr>
          <w:rFonts w:hint="eastAsia" w:ascii="仿宋_GB2312" w:hAnsi="仿宋" w:cs="仿宋"/>
          <w:bCs/>
          <w:kern w:val="2"/>
          <w:sz w:val="32"/>
          <w:szCs w:val="32"/>
          <w:highlight w:val="none"/>
          <w:lang w:val="en-US" w:eastAsia="zh-CN" w:bidi="ar-SA"/>
        </w:rPr>
        <w:t>。</w:t>
      </w:r>
      <w:r>
        <w:rPr>
          <w:rFonts w:hint="eastAsia" w:ascii="仿宋_GB2312" w:hAnsi="仿宋" w:eastAsia="仿宋_GB2312" w:cs="仿宋"/>
          <w:bCs/>
          <w:kern w:val="2"/>
          <w:sz w:val="32"/>
          <w:szCs w:val="32"/>
          <w:highlight w:val="none"/>
          <w:lang w:val="en-US" w:eastAsia="zh-CN" w:bidi="ar-SA"/>
        </w:rPr>
        <w:t>排查安全隐患，确保展会圆满完成。</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5.做好后续服务</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做好后续撤展工作，确保企业展品安全撤离。</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pStyle w:val="15"/>
        <w:spacing w:line="560" w:lineRule="exact"/>
        <w:ind w:firstLine="640"/>
        <w:jc w:val="left"/>
        <w:rPr>
          <w:rFonts w:hint="eastAsia" w:ascii="仿宋_GB2312" w:hAnsi="仿宋" w:cs="仿宋"/>
          <w:bCs/>
          <w:kern w:val="2"/>
          <w:sz w:val="32"/>
          <w:szCs w:val="32"/>
          <w:highlight w:val="none"/>
          <w:lang w:val="en-US" w:eastAsia="zh-CN" w:bidi="ar-SA"/>
        </w:rPr>
      </w:pPr>
      <w:r>
        <w:rPr>
          <w:rFonts w:hint="eastAsia" w:ascii="仿宋_GB2312" w:hAnsi="仿宋" w:cs="仿宋"/>
          <w:bCs/>
          <w:kern w:val="2"/>
          <w:sz w:val="32"/>
          <w:szCs w:val="32"/>
          <w:highlight w:val="none"/>
          <w:lang w:val="en-US" w:eastAsia="zh-CN" w:bidi="ar-SA"/>
        </w:rPr>
        <w:t>1.需按照我局相关要求，对设计展位特装图进行修改，确保安全规范，符合相关单位要求。</w:t>
      </w:r>
    </w:p>
    <w:p>
      <w:pPr>
        <w:pStyle w:val="15"/>
        <w:spacing w:line="560" w:lineRule="exact"/>
        <w:ind w:firstLine="640"/>
        <w:jc w:val="left"/>
        <w:rPr>
          <w:rFonts w:hint="eastAsia" w:ascii="仿宋_GB2312" w:hAnsi="仿宋" w:cs="仿宋"/>
          <w:bCs/>
          <w:kern w:val="2"/>
          <w:sz w:val="32"/>
          <w:szCs w:val="32"/>
          <w:highlight w:val="none"/>
          <w:lang w:val="en-US" w:eastAsia="zh-CN" w:bidi="ar-SA"/>
        </w:rPr>
      </w:pPr>
      <w:r>
        <w:rPr>
          <w:rFonts w:hint="eastAsia" w:ascii="仿宋_GB2312" w:hAnsi="仿宋" w:cs="仿宋"/>
          <w:bCs/>
          <w:kern w:val="2"/>
          <w:sz w:val="32"/>
          <w:szCs w:val="32"/>
          <w:highlight w:val="none"/>
          <w:lang w:val="en-US" w:eastAsia="zh-CN" w:bidi="ar-SA"/>
        </w:rPr>
        <w:t>2.展位搭建、布展需与会展中心进行具体项目对接，确保安全有序开展。</w:t>
      </w:r>
    </w:p>
    <w:p>
      <w:pPr>
        <w:pStyle w:val="15"/>
        <w:spacing w:line="560" w:lineRule="exact"/>
        <w:ind w:firstLine="640"/>
        <w:jc w:val="left"/>
        <w:rPr>
          <w:rFonts w:hint="default" w:ascii="仿宋_GB2312" w:hAnsi="仿宋" w:cs="仿宋"/>
          <w:bCs/>
          <w:kern w:val="2"/>
          <w:sz w:val="32"/>
          <w:szCs w:val="32"/>
          <w:highlight w:val="none"/>
          <w:lang w:val="en-US" w:eastAsia="zh-CN" w:bidi="ar-SA"/>
        </w:rPr>
      </w:pPr>
      <w:r>
        <w:rPr>
          <w:rFonts w:hint="eastAsia" w:ascii="仿宋_GB2312" w:hAnsi="仿宋" w:cs="仿宋"/>
          <w:bCs/>
          <w:kern w:val="2"/>
          <w:sz w:val="32"/>
          <w:szCs w:val="32"/>
          <w:highlight w:val="none"/>
          <w:lang w:val="en-US" w:eastAsia="zh-CN" w:bidi="ar-SA"/>
        </w:rPr>
        <w:t>3.展会期间，派驻人员需提前到位，</w:t>
      </w:r>
      <w:r>
        <w:rPr>
          <w:rFonts w:hint="eastAsia" w:ascii="仿宋_GB2312" w:hAnsi="仿宋" w:eastAsia="仿宋_GB2312" w:cs="仿宋"/>
          <w:bCs/>
          <w:kern w:val="2"/>
          <w:sz w:val="32"/>
          <w:szCs w:val="32"/>
          <w:highlight w:val="none"/>
          <w:lang w:val="en-US" w:eastAsia="zh-CN" w:bidi="ar-SA"/>
        </w:rPr>
        <w:t>排查安全隐患，确保展会圆满完成。</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6"/>
          <w:lang w:val="en-US" w:eastAsia="zh-CN"/>
        </w:rPr>
        <w:t>53.7</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482"/>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3"/>
            <w:noWrap w:val="0"/>
            <w:vAlign w:val="top"/>
          </w:tcPr>
          <w:p>
            <w:pPr>
              <w:pStyle w:val="8"/>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第二十二届文博会龙华区主会场设计搭建服务项目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top"/>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482" w:type="dxa"/>
            <w:noWrap w:val="0"/>
            <w:vAlign w:val="top"/>
          </w:tcPr>
          <w:p>
            <w:pPr>
              <w:pStyle w:val="8"/>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5112" w:type="dxa"/>
            <w:noWrap w:val="0"/>
            <w:vAlign w:val="top"/>
          </w:tcPr>
          <w:p>
            <w:pPr>
              <w:pStyle w:val="8"/>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Theme="minorEastAsia" w:hAnsiTheme="minorEastAsia" w:cstheme="minorEastAsia"/>
                <w:b w:val="0"/>
                <w:bCs w:val="0"/>
                <w:sz w:val="28"/>
                <w:szCs w:val="28"/>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展位设计</w:t>
            </w:r>
          </w:p>
        </w:tc>
        <w:tc>
          <w:tcPr>
            <w:tcW w:w="51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出具主会场设计图，面积约360㎡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展位搭建</w:t>
            </w:r>
          </w:p>
        </w:tc>
        <w:tc>
          <w:tcPr>
            <w:tcW w:w="51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按照设计图做好展位搭建工作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展位布展</w:t>
            </w:r>
          </w:p>
        </w:tc>
        <w:tc>
          <w:tcPr>
            <w:tcW w:w="51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1.对接企业展品，做好展品运输工作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2.做好展会撤展工作参展企业约为40家。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eastAsia="仿宋_GB2312"/>
                <w:color w:val="auto"/>
                <w:sz w:val="32"/>
                <w:szCs w:val="32"/>
              </w:rPr>
              <w:t>活动策划</w:t>
            </w:r>
          </w:p>
        </w:tc>
        <w:tc>
          <w:tcPr>
            <w:tcW w:w="51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eastAsia="仿宋_GB2312"/>
                <w:color w:val="auto"/>
                <w:sz w:val="28"/>
                <w:szCs w:val="28"/>
                <w:lang w:val="en-US" w:eastAsia="zh-CN"/>
              </w:rPr>
              <w:t>策划、执行开幕式活动以及8场现场表演活动（具有龙华特色活动），做好</w:t>
            </w:r>
            <w:r>
              <w:rPr>
                <w:rFonts w:hint="eastAsia" w:ascii="仿宋_GB2312" w:eastAsia="仿宋_GB2312"/>
                <w:color w:val="auto"/>
                <w:sz w:val="28"/>
                <w:szCs w:val="28"/>
              </w:rPr>
              <w:t>活动统筹协调</w:t>
            </w:r>
            <w:r>
              <w:rPr>
                <w:rFonts w:hint="eastAsia" w:ascii="仿宋_GB2312" w:eastAsia="仿宋_GB2312"/>
                <w:color w:val="auto"/>
                <w:sz w:val="28"/>
                <w:szCs w:val="28"/>
                <w:lang w:eastAsia="zh-CN"/>
              </w:rPr>
              <w:t>，并邀请</w:t>
            </w:r>
            <w:r>
              <w:rPr>
                <w:rFonts w:hint="eastAsia" w:ascii="仿宋_GB2312" w:eastAsia="仿宋_GB2312"/>
                <w:color w:val="auto"/>
                <w:sz w:val="28"/>
                <w:szCs w:val="28"/>
                <w:lang w:val="en-US" w:eastAsia="zh-CN"/>
              </w:rPr>
              <w:t>1名专业主持人编排专业艺术表演。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eastAsia="仿宋_GB2312"/>
                <w:sz w:val="32"/>
                <w:szCs w:val="32"/>
                <w:lang w:val="en-US" w:eastAsia="zh-CN"/>
              </w:rPr>
              <w:t>现场服务</w:t>
            </w:r>
          </w:p>
        </w:tc>
        <w:tc>
          <w:tcPr>
            <w:tcW w:w="51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展会期间，</w:t>
            </w:r>
            <w:r>
              <w:rPr>
                <w:rFonts w:hint="eastAsia" w:ascii="仿宋_GB2312" w:hAnsi="仿宋_GB2312" w:eastAsia="仿宋_GB2312" w:cs="仿宋_GB2312"/>
                <w:color w:val="auto"/>
                <w:sz w:val="28"/>
                <w:szCs w:val="28"/>
                <w:u w:val="none"/>
                <w:lang w:val="en-US" w:eastAsia="zh-CN"/>
              </w:rPr>
              <w:t>派5名工作人员（礼仪、电工等）常驻我区展位</w:t>
            </w:r>
            <w:r>
              <w:rPr>
                <w:rFonts w:hint="eastAsia" w:ascii="仿宋_GB2312" w:eastAsia="仿宋_GB2312"/>
                <w:sz w:val="28"/>
                <w:szCs w:val="28"/>
                <w:lang w:eastAsia="zh-CN"/>
              </w:rPr>
              <w:t>，共</w:t>
            </w:r>
            <w:r>
              <w:rPr>
                <w:rFonts w:hint="eastAsia" w:ascii="仿宋_GB2312" w:eastAsia="仿宋_GB2312"/>
                <w:sz w:val="28"/>
                <w:szCs w:val="28"/>
                <w:lang w:val="en-US" w:eastAsia="zh-CN"/>
              </w:rPr>
              <w:t>5天，</w:t>
            </w:r>
            <w:r>
              <w:rPr>
                <w:rFonts w:hint="eastAsia" w:ascii="仿宋_GB2312" w:eastAsia="仿宋_GB2312"/>
                <w:sz w:val="28"/>
                <w:szCs w:val="28"/>
                <w:lang w:eastAsia="zh-CN"/>
              </w:rPr>
              <w:t>做好</w:t>
            </w:r>
            <w:r>
              <w:rPr>
                <w:rFonts w:hint="eastAsia" w:ascii="仿宋_GB2312" w:eastAsia="仿宋_GB2312"/>
                <w:sz w:val="28"/>
                <w:szCs w:val="28"/>
              </w:rPr>
              <w:t>秩序管理</w:t>
            </w:r>
            <w:r>
              <w:rPr>
                <w:rFonts w:hint="eastAsia" w:ascii="仿宋_GB2312"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sz w:val="28"/>
                <w:szCs w:val="28"/>
              </w:rPr>
            </w:pPr>
            <w:r>
              <w:rPr>
                <w:rFonts w:hint="eastAsia" w:ascii="仿宋_GB2312" w:hAnsi="仿宋_GB2312" w:eastAsia="仿宋_GB2312" w:cs="仿宋_GB2312"/>
                <w:sz w:val="32"/>
                <w:szCs w:val="32"/>
                <w:vertAlign w:val="baseline"/>
                <w:lang w:eastAsia="zh-CN"/>
              </w:rPr>
              <w:t>投标价格（万元）：</w:t>
            </w:r>
            <w:r>
              <w:rPr>
                <w:rFonts w:hint="eastAsia" w:ascii="仿宋_GB2312" w:hAnsi="仿宋_GB2312" w:eastAsia="仿宋_GB2312" w:cs="仿宋_GB2312"/>
                <w:sz w:val="32"/>
                <w:szCs w:val="32"/>
                <w:vertAlign w:val="baseline"/>
                <w:lang w:val="en-US" w:eastAsia="zh-CN"/>
              </w:rPr>
              <w:t>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default" w:ascii="仿宋_GB2312" w:hAnsi="仿宋" w:eastAsia="仿宋_GB2312" w:cs="仿宋"/>
          <w:bCs/>
          <w:kern w:val="2"/>
          <w:sz w:val="32"/>
          <w:szCs w:val="32"/>
          <w:highlight w:val="none"/>
          <w:lang w:val="en-US" w:eastAsia="zh-CN" w:bidi="ar-SA"/>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pStyle w:val="15"/>
        <w:spacing w:line="560" w:lineRule="exact"/>
        <w:ind w:firstLine="640"/>
        <w:jc w:val="left"/>
        <w:rPr>
          <w:rFonts w:hint="eastAsia" w:ascii="仿宋_GB2312" w:hAnsi="仿宋" w:eastAsia="仿宋_GB2312" w:cs="仿宋"/>
          <w:bCs/>
          <w:kern w:val="2"/>
          <w:sz w:val="32"/>
          <w:szCs w:val="32"/>
          <w:highlight w:val="none"/>
          <w:lang w:val="en-US" w:eastAsia="zh-CN" w:bidi="ar-SA"/>
        </w:rPr>
      </w:pPr>
      <w:r>
        <w:rPr>
          <w:rFonts w:hint="eastAsia" w:ascii="仿宋_GB2312" w:hAnsi="仿宋" w:eastAsia="仿宋_GB2312" w:cs="仿宋"/>
          <w:bCs/>
          <w:kern w:val="2"/>
          <w:sz w:val="32"/>
          <w:szCs w:val="32"/>
          <w:highlight w:val="none"/>
          <w:lang w:val="en-US" w:eastAsia="zh-CN" w:bidi="ar-SA"/>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40分</w:t>
            </w:r>
            <w:r>
              <w:rPr>
                <w:rFonts w:hint="eastAsia" w:ascii="仿宋_GB2312" w:hAnsi="仿宋_GB2312" w:eastAsia="仿宋_GB2312" w:cs="仿宋_GB2312"/>
                <w:sz w:val="24"/>
                <w:szCs w:val="24"/>
                <w:vertAlign w:val="baseline"/>
                <w:lang w:eastAsia="zh-CN"/>
              </w:rPr>
              <w:t>）</w:t>
            </w:r>
          </w:p>
        </w:tc>
        <w:tc>
          <w:tcPr>
            <w:tcW w:w="1170" w:type="dxa"/>
            <w:noWrap w:val="0"/>
            <w:vAlign w:val="center"/>
          </w:tcPr>
          <w:p>
            <w:pPr>
              <w:topLinePunct/>
              <w:snapToGrid w:val="0"/>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以本次报价或投标人所报的有效报价中的最低价作为基准报价。投标人报价得分=（基准价/投标人报价）*40分。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（一）评审内容：</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投标人自2023年1月1日至本项目投标截止日（以合同签订日期为准），每提供一项展会搭建同类业绩得5分，最高得10分。</w:t>
            </w:r>
          </w:p>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（二）评审依据：</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1.每项业绩按以下要求提供完整准确的证明文件，一个合同计算一个业绩，一年一签的续签合同只计算一个业绩：</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合同关键页（关键信息包括但不仅限于合同的项目名称、服务内容、合同服务的起止时间、合同双方的盖章、签订日期等）；</w:t>
            </w:r>
          </w:p>
          <w:p>
            <w:pPr>
              <w:numPr>
                <w:ilvl w:val="0"/>
                <w:numId w:val="0"/>
              </w:numPr>
              <w:spacing w:after="0"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2.未提供证明材料或者提供的证明材料不符合要求或提供的证明材料不清晰导致采购小组无法辨认的，不得分。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拟安排项目负责人情况</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（一）评审内容</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拟安排的项目负责人情况：</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1.具有工程设计专业本科（或以上）学历，得2分；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2.具有工程设计中级及以上职称，得2分；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3.具有工程设计有关工作经验，高得1分；</w:t>
            </w:r>
          </w:p>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（二）评审依据：</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1.提供学位或学历证书或学信网查询记录，原件备查。</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2.提供相关证书证明材料。</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3.工作经验需提供合同关键页或其他可以证明的材料，合同关键（关键信息包括但不仅限于合同的项目名称、项目负责人成员名字、服务内容、合同双方盖章页），以及满足评分要求的服务内容。</w:t>
            </w:r>
          </w:p>
          <w:p>
            <w:pPr>
              <w:numPr>
                <w:ilvl w:val="0"/>
                <w:numId w:val="0"/>
              </w:numPr>
              <w:spacing w:after="0"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4.该负责人近三月社保缴纳记录。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numPr>
                <w:ilvl w:val="0"/>
                <w:numId w:val="0"/>
              </w:numPr>
              <w:spacing w:after="0" w:line="400" w:lineRule="exact"/>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color w:val="auto"/>
                <w:kern w:val="2"/>
                <w:sz w:val="24"/>
                <w:szCs w:val="24"/>
                <w:highlight w:val="none"/>
                <w:lang w:val="en-US" w:eastAsia="zh-CN" w:bidi="ar-SA"/>
              </w:rPr>
              <w:t>一）评审内容：</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根据针对本项目做出的服务承诺，考察包括但不限于以下内容：</w:t>
            </w:r>
            <w:r>
              <w:rPr>
                <w:rFonts w:hint="eastAsia" w:ascii="仿宋_GB2312" w:hAnsi="仿宋_GB2312" w:eastAsia="仿宋_GB2312" w:cs="仿宋_GB2312"/>
                <w:b w:val="0"/>
                <w:bCs/>
                <w:color w:val="auto"/>
                <w:kern w:val="2"/>
                <w:sz w:val="24"/>
                <w:szCs w:val="24"/>
                <w:highlight w:val="none"/>
                <w:lang w:val="en-US" w:eastAsia="zh-CN" w:bidi="ar-SA"/>
              </w:rPr>
              <w:br w:type="textWrapping"/>
            </w:r>
            <w:r>
              <w:rPr>
                <w:rFonts w:hint="eastAsia" w:ascii="仿宋_GB2312" w:hAnsi="仿宋_GB2312" w:eastAsia="仿宋_GB2312" w:cs="仿宋_GB2312"/>
                <w:b w:val="0"/>
                <w:bCs/>
                <w:color w:val="auto"/>
                <w:kern w:val="2"/>
                <w:sz w:val="24"/>
                <w:szCs w:val="24"/>
                <w:highlight w:val="none"/>
                <w:lang w:val="en-US" w:eastAsia="zh-CN" w:bidi="ar-SA"/>
              </w:rPr>
              <w:t>1.在服务期满后主动交接项目相关资料；</w:t>
            </w:r>
          </w:p>
          <w:p>
            <w:pPr>
              <w:numPr>
                <w:ilvl w:val="0"/>
                <w:numId w:val="0"/>
              </w:numPr>
              <w:spacing w:after="0" w:line="400" w:lineRule="exact"/>
              <w:jc w:val="left"/>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2.配合项目检查审计等事项。</w:t>
            </w:r>
          </w:p>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（二）评审依据：</w:t>
            </w:r>
          </w:p>
          <w:p>
            <w:pPr>
              <w:numPr>
                <w:ilvl w:val="0"/>
                <w:numId w:val="0"/>
              </w:numPr>
              <w:spacing w:after="0"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color w:val="auto"/>
                <w:kern w:val="2"/>
                <w:sz w:val="24"/>
                <w:szCs w:val="24"/>
                <w:highlight w:val="none"/>
                <w:lang w:val="en-US" w:eastAsia="zh-CN" w:bidi="ar-SA"/>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color w:val="auto"/>
                <w:kern w:val="2"/>
                <w:sz w:val="24"/>
                <w:szCs w:val="24"/>
                <w:highlight w:val="none"/>
                <w:lang w:val="en-US" w:eastAsia="zh-CN" w:bidi="ar-SA"/>
              </w:rPr>
              <w:t>展位设计</w:t>
            </w:r>
            <w:r>
              <w:rPr>
                <w:rFonts w:hint="eastAsia" w:ascii="仿宋_GB2312" w:hAnsi="仿宋_GB2312" w:eastAsia="仿宋_GB2312" w:cs="仿宋_GB2312"/>
                <w:b w:val="0"/>
                <w:bCs/>
                <w:color w:val="auto"/>
                <w:sz w:val="24"/>
                <w:szCs w:val="24"/>
                <w:highlight w:val="none"/>
                <w:lang w:val="en-US" w:eastAsia="zh-CN"/>
              </w:rPr>
              <w:t>方案；</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kern w:val="2"/>
                <w:sz w:val="24"/>
                <w:szCs w:val="24"/>
                <w:highlight w:val="none"/>
                <w:lang w:val="en-US" w:eastAsia="zh-CN" w:bidi="ar-SA"/>
              </w:rPr>
              <w:t>活动策划方案</w:t>
            </w:r>
            <w:r>
              <w:rPr>
                <w:rFonts w:hint="eastAsia" w:ascii="仿宋_GB2312" w:hAnsi="仿宋_GB2312" w:eastAsia="仿宋_GB2312" w:cs="仿宋_GB2312"/>
                <w:b w:val="0"/>
                <w:bCs/>
                <w:color w:val="auto"/>
                <w:sz w:val="24"/>
                <w:szCs w:val="24"/>
                <w:highlight w:val="none"/>
                <w:lang w:val="en-US" w:eastAsia="zh-CN"/>
              </w:rPr>
              <w:t>；</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kern w:val="2"/>
                <w:sz w:val="24"/>
                <w:szCs w:val="24"/>
                <w:highlight w:val="none"/>
                <w:lang w:val="en-US" w:eastAsia="zh-CN" w:bidi="ar-SA"/>
              </w:rPr>
              <w:t>展位搭建计划方案</w:t>
            </w:r>
            <w:r>
              <w:rPr>
                <w:rFonts w:hint="eastAsia" w:ascii="仿宋_GB2312" w:hAnsi="仿宋_GB2312" w:eastAsia="仿宋_GB2312" w:cs="仿宋_GB2312"/>
                <w:b w:val="0"/>
                <w:bCs/>
                <w:color w:val="auto"/>
                <w:sz w:val="24"/>
                <w:szCs w:val="24"/>
                <w:highlight w:val="none"/>
                <w:lang w:val="en-US" w:eastAsia="zh-CN"/>
              </w:rPr>
              <w:t>；</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w:t>
            </w:r>
            <w:r>
              <w:rPr>
                <w:rFonts w:hint="eastAsia" w:ascii="仿宋_GB2312" w:hAnsi="仿宋_GB2312" w:eastAsia="仿宋_GB2312" w:cs="仿宋_GB2312"/>
                <w:b w:val="0"/>
                <w:bCs/>
                <w:color w:val="auto"/>
                <w:kern w:val="2"/>
                <w:sz w:val="24"/>
                <w:szCs w:val="24"/>
                <w:highlight w:val="none"/>
                <w:lang w:val="en-US" w:eastAsia="zh-CN" w:bidi="ar-SA"/>
              </w:rPr>
              <w:t>突发事项应急预案</w:t>
            </w:r>
            <w:r>
              <w:rPr>
                <w:rFonts w:hint="eastAsia" w:ascii="仿宋_GB2312" w:hAnsi="仿宋_GB2312" w:eastAsia="仿宋_GB2312" w:cs="仿宋_GB2312"/>
                <w:b w:val="0"/>
                <w:bCs/>
                <w:color w:val="auto"/>
                <w:sz w:val="24"/>
                <w:szCs w:val="24"/>
                <w:highlight w:val="none"/>
                <w:lang w:val="en-US" w:eastAsia="zh-CN"/>
              </w:rPr>
              <w:t>；</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bCs w:val="0"/>
                <w:color w:val="auto"/>
                <w:sz w:val="24"/>
                <w:szCs w:val="24"/>
                <w:highlight w:val="none"/>
                <w:lang w:val="en-US" w:eastAsia="zh-CN"/>
              </w:rPr>
              <w:t>（二）评审依据：</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w:t>
            </w:r>
            <w:r>
              <w:rPr>
                <w:rFonts w:hint="eastAsia" w:ascii="仿宋_GB2312" w:hAnsi="仿宋_GB2312" w:eastAsia="仿宋_GB2312" w:cs="仿宋_GB2312"/>
                <w:b w:val="0"/>
                <w:bCs/>
                <w:color w:val="auto"/>
                <w:kern w:val="2"/>
                <w:sz w:val="24"/>
                <w:szCs w:val="24"/>
                <w:highlight w:val="none"/>
                <w:lang w:val="en-US" w:eastAsia="zh-CN" w:bidi="ar-SA"/>
              </w:rPr>
              <w:t>上任意一项要求得3分，最高得12分，在此基础上，根据供应商的具体响应内容按照量化的评审因素指标进一步评审，设定优、良、中、差四个评分标准：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1.优：项目实施方案内容全面、具体、针对性强、科学合理、可操作性强得8分；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2.良：项目实施方案内容较丰富、较具体、针对性较强、较科学合理、可操作性较强得5分；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3.中：项目实施方案内容、针对性、可操作性一般得2分；</w:t>
            </w:r>
          </w:p>
          <w:p>
            <w:pPr>
              <w:numPr>
                <w:ilvl w:val="0"/>
                <w:numId w:val="0"/>
              </w:numPr>
              <w:spacing w:after="0" w:line="40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color w:val="auto"/>
                <w:kern w:val="2"/>
                <w:sz w:val="24"/>
                <w:szCs w:val="24"/>
                <w:highlight w:val="none"/>
                <w:lang w:val="en-US" w:eastAsia="zh-CN" w:bidi="ar-SA"/>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143" w:type="dxa"/>
            <w:noWrap w:val="0"/>
            <w:vAlign w:val="top"/>
          </w:tcPr>
          <w:p>
            <w:pPr>
              <w:numPr>
                <w:ilvl w:val="0"/>
                <w:numId w:val="0"/>
              </w:numPr>
              <w:spacing w:after="0" w:line="400" w:lineRule="exact"/>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color w:val="auto"/>
                <w:kern w:val="2"/>
                <w:sz w:val="24"/>
                <w:szCs w:val="24"/>
                <w:highlight w:val="none"/>
                <w:lang w:val="en-US" w:eastAsia="zh-CN" w:bidi="ar-SA"/>
              </w:rPr>
              <w:t>一）评审内容：</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考察对项目工作量、可完成度等重点难点问题的识别和分析能力，并就识别出的重点难点提出可行的应对措施及合理化建议。</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包括但不限于以下内容：</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1.详细阐述本项目存在的重难点问题；</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2.根据项目重难点，详细阐述对应的应对措施；</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3.向招标方提出项目实施具体建议。</w:t>
            </w:r>
          </w:p>
          <w:p>
            <w:pPr>
              <w:numPr>
                <w:ilvl w:val="0"/>
                <w:numId w:val="0"/>
              </w:numPr>
              <w:spacing w:after="0" w:line="400" w:lineRule="exact"/>
              <w:jc w:val="left"/>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bCs w:val="0"/>
                <w:color w:val="auto"/>
                <w:kern w:val="2"/>
                <w:sz w:val="24"/>
                <w:szCs w:val="24"/>
                <w:highlight w:val="none"/>
                <w:lang w:val="en-US" w:eastAsia="zh-CN" w:bidi="ar-SA"/>
              </w:rPr>
              <w:t>（二）评审依据：</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满足以上任意一项要求得4分，最高得12分，在此基础上，根据供应商的具体响应内容按照量化的评审因素指标进一步评审，设定优、良、中、差四个评分标准：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1.优：以上项目重点难点分析、应对措施及相关的合理化建议的三点内容全面具体、针对性强、可操作性强，加8分；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2.良：以上项目重点难点分析、应对措施及相关的合理化建议的三点内容较丰富、针对性较强、可操作性较强，加5分；</w:t>
            </w:r>
          </w:p>
          <w:p>
            <w:pPr>
              <w:numPr>
                <w:ilvl w:val="0"/>
                <w:numId w:val="0"/>
              </w:numPr>
              <w:spacing w:after="0" w:line="40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3.中：以上项目重点难点分析、应对措施及相关的合理化建议的三点内容完整性、针对性、可操作性均一般，加2分；</w:t>
            </w:r>
          </w:p>
          <w:p>
            <w:pPr>
              <w:numPr>
                <w:ilvl w:val="0"/>
                <w:numId w:val="0"/>
              </w:numPr>
              <w:spacing w:after="0" w:line="4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bidi="ar-SA"/>
              </w:rPr>
              <w:t>4.差：其它情况不得分。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FF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8"/>
        <w:spacing w:after="0" w:line="560" w:lineRule="exact"/>
        <w:ind w:left="0" w:leftChars="0" w:right="0" w:rightChars="0" w:firstLine="640"/>
        <w:jc w:val="left"/>
        <w:rPr>
          <w:rFonts w:hint="eastAsia" w:ascii="仿宋_GB2312" w:hAnsi="仿宋" w:eastAsia="仿宋_GB2312" w:cs="Times New Roman"/>
          <w:sz w:val="32"/>
          <w:highlight w:val="none"/>
          <w:lang w:eastAsia="zh-CN"/>
        </w:rPr>
      </w:pPr>
    </w:p>
    <w:p>
      <w:pPr>
        <w:pStyle w:val="8"/>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rPr>
        <w:t>第二十二届文博会主会场设计搭建服务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bookmarkStart w:id="2" w:name="_GoBack"/>
      <w:bookmarkEnd w:id="2"/>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pStyle w:val="2"/>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pStyle w:val="18"/>
        <w:spacing w:line="240" w:lineRule="auto"/>
        <w:ind w:firstLine="0" w:firstLineChars="0"/>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drawing>
          <wp:inline distT="0" distB="0" distL="114300" distR="114300">
            <wp:extent cx="5267325" cy="7392670"/>
            <wp:effectExtent l="0" t="0" r="9525" b="17780"/>
            <wp:docPr id="1" name="图片 1" descr="附件6 展馆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6 展馆平面图"/>
                    <pic:cNvPicPr>
                      <a:picLocks noChangeAspect="1"/>
                    </pic:cNvPicPr>
                  </pic:nvPicPr>
                  <pic:blipFill>
                    <a:blip r:embed="rId4"/>
                    <a:stretch>
                      <a:fillRect/>
                    </a:stretch>
                  </pic:blipFill>
                  <pic:spPr>
                    <a:xfrm>
                      <a:off x="0" y="0"/>
                      <a:ext cx="5267325" cy="7392670"/>
                    </a:xfrm>
                    <a:prstGeom prst="rect">
                      <a:avLst/>
                    </a:prstGeom>
                  </pic:spPr>
                </pic:pic>
              </a:graphicData>
            </a:graphic>
          </wp:inline>
        </w:drawing>
      </w:r>
    </w:p>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3257"/>
    <w:multiLevelType w:val="singleLevel"/>
    <w:tmpl w:val="FFFF32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3D5FDCFC"/>
    <w:rsid w:val="3FFFF7AD"/>
    <w:rsid w:val="4F0960C1"/>
    <w:rsid w:val="5F2BE56A"/>
    <w:rsid w:val="6CFFD566"/>
    <w:rsid w:val="6F8F4902"/>
    <w:rsid w:val="6FC72380"/>
    <w:rsid w:val="73FB884D"/>
    <w:rsid w:val="7BAD8352"/>
    <w:rsid w:val="7BF7E217"/>
    <w:rsid w:val="7D9F3A20"/>
    <w:rsid w:val="7DD39989"/>
    <w:rsid w:val="7E9F479A"/>
    <w:rsid w:val="7FFCE63A"/>
    <w:rsid w:val="974FDA3C"/>
    <w:rsid w:val="9EFFBBA7"/>
    <w:rsid w:val="9FF753B3"/>
    <w:rsid w:val="BBFF548B"/>
    <w:rsid w:val="CEAEA899"/>
    <w:rsid w:val="DEB7FE68"/>
    <w:rsid w:val="DEFFDD73"/>
    <w:rsid w:val="DFF66AB2"/>
    <w:rsid w:val="DFFF69F1"/>
    <w:rsid w:val="E376E1AF"/>
    <w:rsid w:val="E77E6E49"/>
    <w:rsid w:val="E786A363"/>
    <w:rsid w:val="EFF64497"/>
    <w:rsid w:val="FD6F9EA1"/>
    <w:rsid w:val="FDFEA168"/>
    <w:rsid w:val="FDFFDEC4"/>
    <w:rsid w:val="FF7FF471"/>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2025-04-20T17:16:00Z</dcterms:created>
  <dc:creator>yang</dc:creator>
  <cp:lastModifiedBy>lxy</cp:lastModifiedBy>
  <dcterms:modified xsi:type="dcterms:W3CDTF">2026-03-11T16:43:31Z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319AB8C2602384BE4ED5B0690CB670CD</vt:lpwstr>
  </property>
</Properties>
</file>