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5"/>
        <w:tblpPr w:leftFromText="180" w:rightFromText="180" w:vertAnchor="page" w:horzAnchor="page" w:tblpX="1574" w:tblpY="3193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服务方案与规模明细表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1.报价总价（元）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2.服务规模计划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）计划组织总期数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）每期标准活动天数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）每期承诺最大服务人数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  <w:t>）合计最大服务总人数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3.计算：报价人均成本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元/人</w:t>
            </w:r>
          </w:p>
        </w:tc>
      </w:tr>
    </w:tbl>
    <w:p>
      <w:pPr>
        <w:pStyle w:val="3"/>
        <w:jc w:val="both"/>
      </w:pPr>
      <w:bookmarkStart w:id="0" w:name="_GoBack"/>
      <w:bookmarkEnd w:id="0"/>
    </w:p>
    <w:p/>
    <w:p>
      <w:pPr>
        <w:pStyle w:val="2"/>
      </w:pPr>
    </w:p>
    <w:p>
      <w:pPr>
        <w:pStyle w:val="3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E4FD6DF"/>
    <w:rsid w:val="4A1947CF"/>
    <w:rsid w:val="77FFC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abcd201</cp:lastModifiedBy>
  <dcterms:modified xsi:type="dcterms:W3CDTF">2026-02-26T16:07:48Z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6DC56A6EF2B2771CB5ED9F69E611F204</vt:lpwstr>
  </property>
</Properties>
</file>