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820"/>
        </w:tabs>
        <w:kinsoku/>
        <w:wordWrap/>
        <w:overflowPunct/>
        <w:topLinePunct w:val="0"/>
        <w:autoSpaceDE/>
        <w:autoSpaceDN/>
        <w:bidi w:val="0"/>
        <w:snapToGrid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采购9台自助图书机2026年物流</w:t>
      </w:r>
    </w:p>
    <w:p>
      <w:pPr>
        <w:keepNext w:val="0"/>
        <w:keepLines w:val="0"/>
        <w:pageBreakBefore w:val="0"/>
        <w:tabs>
          <w:tab w:val="left" w:pos="1820"/>
        </w:tabs>
        <w:kinsoku/>
        <w:wordWrap/>
        <w:overflowPunct/>
        <w:topLinePunct w:val="0"/>
        <w:autoSpaceDE/>
        <w:autoSpaceDN/>
        <w:bidi w:val="0"/>
        <w:snapToGrid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运营服务需求书</w:t>
      </w:r>
    </w:p>
    <w:p>
      <w:pPr>
        <w:pStyle w:val="10"/>
      </w:pP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项目目标</w:t>
      </w:r>
    </w:p>
    <w:p>
      <w:pPr>
        <w:pStyle w:val="10"/>
        <w:keepNext w:val="0"/>
        <w:keepLines w:val="0"/>
        <w:pageBreakBefore w:val="0"/>
        <w:kinsoku/>
        <w:wordWrap/>
        <w:overflowPunct/>
        <w:topLinePunct w:val="0"/>
        <w:autoSpaceDE/>
        <w:autoSpaceDN/>
        <w:bidi w:val="0"/>
        <w:spacing w:beforeAutospacing="0" w:afterAutospacing="0" w:line="560" w:lineRule="exact"/>
        <w:ind w:left="0" w:leftChars="0" w:right="0" w:rightChars="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街区自助图书机是深圳市建设“图书馆之城（2006-2010）五年规划”重点建设项目，是我市公共文化服务体系的重要组成部分。《深圳市“图书馆之城”建设规划（2021—2025）》提出，应切实加强基础设施建设，完成城市街区自助图书机优化更新。</w:t>
      </w:r>
    </w:p>
    <w:p>
      <w:pPr>
        <w:pStyle w:val="10"/>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为保障我区自行采购的9台自助图书机物流运营顺利开展，确保设备正常服务，拟采购该9台自助图书机2026年物流运营服务。</w:t>
      </w: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服务时间</w:t>
      </w:r>
    </w:p>
    <w:p>
      <w:pPr>
        <w:pStyle w:val="10"/>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ascii="黑体" w:hAnsi="黑体" w:eastAsia="黑体" w:cs="黑体"/>
          <w:bCs/>
          <w:sz w:val="32"/>
          <w:szCs w:val="32"/>
        </w:rPr>
      </w:pPr>
      <w:r>
        <w:rPr>
          <w:rFonts w:hint="eastAsia" w:ascii="仿宋_GB2312" w:hAnsi="仿宋" w:eastAsia="仿宋_GB2312" w:cs="仿宋"/>
          <w:sz w:val="32"/>
          <w:szCs w:val="32"/>
          <w:lang w:val="en-US" w:eastAsia="zh-CN"/>
        </w:rPr>
        <w:t>2026年4月26日至2027年4月25日</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highlight w:val="none"/>
        </w:rPr>
        <w:t>具体以合同约定为准</w:t>
      </w:r>
      <w:r>
        <w:rPr>
          <w:rFonts w:hint="eastAsia" w:ascii="仿宋_GB2312" w:hAnsi="仿宋" w:eastAsia="仿宋_GB2312" w:cs="仿宋"/>
          <w:sz w:val="32"/>
          <w:szCs w:val="32"/>
          <w:lang w:eastAsia="zh-CN"/>
        </w:rPr>
        <w:t>）</w:t>
      </w: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项目内容及要求</w:t>
      </w:r>
    </w:p>
    <w:p>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项目内容</w:t>
      </w:r>
    </w:p>
    <w:p>
      <w:pPr>
        <w:pStyle w:val="10"/>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ascii="仿宋_GB2312" w:hAnsi="Times New Roman" w:eastAsia="仿宋_GB2312"/>
          <w:sz w:val="32"/>
          <w:szCs w:val="32"/>
        </w:rPr>
      </w:pPr>
      <w:r>
        <w:rPr>
          <w:rFonts w:hint="eastAsia" w:ascii="仿宋_GB2312" w:hAnsi="Times New Roman" w:eastAsia="仿宋_GB2312"/>
          <w:sz w:val="32"/>
          <w:szCs w:val="32"/>
        </w:rPr>
        <w:t>经核准，</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台</w:t>
      </w:r>
      <w:r>
        <w:rPr>
          <w:rFonts w:hint="eastAsia" w:ascii="仿宋_GB2312" w:hAnsi="仿宋" w:eastAsia="仿宋_GB2312" w:cs="仿宋"/>
          <w:sz w:val="32"/>
          <w:szCs w:val="32"/>
        </w:rPr>
        <w:t>自助图书机</w:t>
      </w:r>
      <w:r>
        <w:rPr>
          <w:rFonts w:hint="eastAsia" w:ascii="仿宋_GB2312" w:hAnsi="Times New Roman" w:eastAsia="仿宋_GB2312"/>
          <w:sz w:val="32"/>
          <w:szCs w:val="32"/>
          <w:lang w:val="en-US" w:eastAsia="zh-CN"/>
        </w:rPr>
        <w:t>位置</w:t>
      </w:r>
      <w:r>
        <w:rPr>
          <w:rFonts w:hint="eastAsia" w:ascii="仿宋_GB2312" w:hAnsi="Times New Roman" w:eastAsia="仿宋_GB2312"/>
          <w:sz w:val="32"/>
          <w:szCs w:val="32"/>
        </w:rPr>
        <w:t>如下：</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3"/>
        <w:gridCol w:w="1563"/>
        <w:gridCol w:w="1564"/>
        <w:gridCol w:w="3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服务点名称</w:t>
            </w:r>
          </w:p>
        </w:tc>
        <w:tc>
          <w:tcPr>
            <w:tcW w:w="9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所属街道</w:t>
            </w:r>
          </w:p>
        </w:tc>
        <w:tc>
          <w:tcPr>
            <w:tcW w:w="224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服务机位置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多彩科创园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多彩科创园C栋一楼架空层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简上体育综合体</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民治街道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简上体育综合体侧门外围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丰盛懿园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龙华区福水路3号丰盛懿园G座门口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樟坑径社区党群服务中心</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樟坑径社区党群服务中心前门停车场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捷顺科技</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捷顺科技中心A栋一楼架空层货梯旁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大浪行政中心</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大浪街道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浪街道布龙路钓鱼台工业区21号A栋一楼便民服务中心旁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壹成中心七区</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壹成中心七区门口左侧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景龙街心儿童公园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景龙街心儿童公园阅读吧门口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汇海广场B座</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汇海广场B座一楼大厅</w:t>
            </w:r>
          </w:p>
        </w:tc>
      </w:tr>
    </w:tbl>
    <w:p>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具体要求</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中标</w:t>
      </w:r>
      <w:r>
        <w:rPr>
          <w:rFonts w:hint="eastAsia" w:ascii="仿宋_GB2312" w:hAnsi="仿宋" w:eastAsia="仿宋_GB2312" w:cs="仿宋"/>
          <w:sz w:val="32"/>
          <w:szCs w:val="32"/>
        </w:rPr>
        <w:t>负责按照</w:t>
      </w:r>
      <w:r>
        <w:rPr>
          <w:rFonts w:hint="eastAsia" w:ascii="仿宋_GB2312" w:hAnsi="仿宋" w:eastAsia="仿宋_GB2312" w:cs="仿宋"/>
          <w:sz w:val="32"/>
          <w:szCs w:val="32"/>
          <w:lang w:val="en-US" w:eastAsia="zh-CN"/>
        </w:rPr>
        <w:t>招标方</w:t>
      </w:r>
      <w:r>
        <w:rPr>
          <w:rFonts w:hint="eastAsia" w:ascii="仿宋_GB2312" w:hAnsi="仿宋" w:eastAsia="仿宋_GB2312" w:cs="仿宋"/>
          <w:sz w:val="32"/>
          <w:szCs w:val="32"/>
        </w:rPr>
        <w:t>的原则和要求，对自助图书馆的流通图书、读者证、读者缴纳现金、打印纸耗材等提供物流管理服务；</w:t>
      </w:r>
      <w:r>
        <w:rPr>
          <w:rFonts w:hint="eastAsia" w:ascii="仿宋_GB2312" w:hAnsi="仿宋_GB2312" w:eastAsia="仿宋_GB2312" w:cs="仿宋_GB2312"/>
          <w:b w:val="0"/>
          <w:bCs w:val="0"/>
          <w:color w:val="auto"/>
          <w:sz w:val="32"/>
          <w:szCs w:val="32"/>
          <w:lang w:val="en-US" w:eastAsia="zh-CN"/>
        </w:rPr>
        <w:t>建立7*24小时客服反馈渠道，处理读者投诉及咨询；对自助机业务数据统计、分析；运营策略制定及调整；</w:t>
      </w:r>
      <w:r>
        <w:rPr>
          <w:rFonts w:hint="eastAsia" w:ascii="仿宋_GB2312" w:hAnsi="仿宋" w:eastAsia="仿宋_GB2312" w:cs="仿宋"/>
          <w:sz w:val="32"/>
          <w:szCs w:val="32"/>
        </w:rPr>
        <w:t>对自助图书馆服务机现场的运营和服务情况进行现场核查管理；为自助图书馆服务机运行提供图书配送、读者证配送、打印纸装配、还回图书收取及分拣、读者缴纳现金的管理及结算和其他自助图书馆日常业务支持。负责远望谷品牌XC-BM607型号自助机的设备硬件故障维修、保养，应用软件、系统软件等的故障排除、升级更新、优化改善。</w:t>
      </w:r>
    </w:p>
    <w:p>
      <w:pPr>
        <w:keepNext w:val="0"/>
        <w:keepLines w:val="0"/>
        <w:pageBreakBefore w:val="0"/>
        <w:numPr>
          <w:ilvl w:val="0"/>
          <w:numId w:val="1"/>
        </w:numPr>
        <w:tabs>
          <w:tab w:val="left" w:pos="1820"/>
        </w:tabs>
        <w:kinsoku/>
        <w:wordWrap/>
        <w:overflowPunct/>
        <w:topLinePunct w:val="0"/>
        <w:autoSpaceDE/>
        <w:autoSpaceDN/>
        <w:bidi w:val="0"/>
        <w:adjustRightInd w:val="0"/>
        <w:snapToGrid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26.98</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2102"/>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6" w:type="dxa"/>
            <w:gridSpan w:val="3"/>
            <w:vAlign w:val="center"/>
          </w:tcPr>
          <w:p>
            <w:pPr>
              <w:pStyle w:val="6"/>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b w:val="0"/>
                <w:bCs w:val="0"/>
                <w:kern w:val="2"/>
                <w:sz w:val="32"/>
                <w:szCs w:val="32"/>
                <w:lang w:val="en-US" w:eastAsia="zh-CN" w:bidi="ar-SA"/>
              </w:rPr>
              <w:t>9台自助图书机2026年物流运营服务项目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568" w:type="dxa"/>
            <w:vAlign w:val="center"/>
          </w:tcPr>
          <w:p>
            <w:pPr>
              <w:pStyle w:val="6"/>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w:t>
            </w:r>
          </w:p>
        </w:tc>
        <w:tc>
          <w:tcPr>
            <w:tcW w:w="2102" w:type="dxa"/>
            <w:vAlign w:val="center"/>
          </w:tcPr>
          <w:p>
            <w:pPr>
              <w:pStyle w:val="6"/>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数量（台）</w:t>
            </w:r>
          </w:p>
        </w:tc>
        <w:tc>
          <w:tcPr>
            <w:tcW w:w="2846" w:type="dxa"/>
            <w:vAlign w:val="center"/>
          </w:tcPr>
          <w:p>
            <w:pPr>
              <w:pStyle w:val="6"/>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时长（月）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8" w:type="dxa"/>
            <w:vAlign w:val="center"/>
          </w:tcPr>
          <w:p>
            <w:pPr>
              <w:pStyle w:val="6"/>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物流运营费用</w:t>
            </w:r>
          </w:p>
        </w:tc>
        <w:tc>
          <w:tcPr>
            <w:tcW w:w="2102" w:type="dxa"/>
            <w:vAlign w:val="center"/>
          </w:tcPr>
          <w:p>
            <w:pPr>
              <w:pStyle w:val="6"/>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w:t>
            </w:r>
          </w:p>
        </w:tc>
        <w:tc>
          <w:tcPr>
            <w:tcW w:w="2846" w:type="dxa"/>
            <w:vAlign w:val="center"/>
          </w:tcPr>
          <w:p>
            <w:pPr>
              <w:pStyle w:val="6"/>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vAlign w:val="center"/>
          </w:tcPr>
          <w:p>
            <w:pPr>
              <w:pStyle w:val="6"/>
              <w:jc w:val="left"/>
              <w:rPr>
                <w:rFonts w:hint="eastAsia" w:ascii="楷体_GB2312" w:hAnsi="楷体_GB2312" w:eastAsia="楷体_GB2312" w:cs="楷体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投标价格（</w:t>
            </w:r>
            <w:r>
              <w:rPr>
                <w:rFonts w:hint="eastAsia" w:ascii="仿宋_GB2312" w:hAnsi="仿宋_GB2312" w:eastAsia="仿宋_GB2312" w:cs="仿宋_GB2312"/>
                <w:b w:val="0"/>
                <w:bCs w:val="0"/>
                <w:sz w:val="32"/>
                <w:szCs w:val="32"/>
                <w:vertAlign w:val="baseline"/>
                <w:lang w:val="en-US" w:eastAsia="zh-CN"/>
              </w:rPr>
              <w:t>万</w:t>
            </w:r>
            <w:r>
              <w:rPr>
                <w:rFonts w:hint="eastAsia" w:ascii="仿宋_GB2312" w:hAnsi="仿宋_GB2312" w:eastAsia="仿宋_GB2312" w:cs="仿宋_GB2312"/>
                <w:b w:val="0"/>
                <w:bCs w:val="0"/>
                <w:sz w:val="32"/>
                <w:szCs w:val="32"/>
                <w:vertAlign w:val="baseline"/>
                <w:lang w:eastAsia="zh-CN"/>
              </w:rPr>
              <w:t>元）：</w:t>
            </w:r>
            <w:r>
              <w:rPr>
                <w:rFonts w:hint="eastAsia" w:ascii="仿宋_GB2312" w:hAnsi="仿宋_GB2312" w:eastAsia="仿宋_GB2312" w:cs="仿宋_GB2312"/>
                <w:b w:val="0"/>
                <w:bCs w:val="0"/>
                <w:sz w:val="32"/>
                <w:szCs w:val="32"/>
                <w:vertAlign w:val="baseline"/>
                <w:lang w:val="en-US" w:eastAsia="zh-CN"/>
              </w:rPr>
              <w:t>_____（以万元为单位，最多保留两位小数</w:t>
            </w:r>
            <w:r>
              <w:rPr>
                <w:rFonts w:hint="eastAsia" w:ascii="仿宋_GB2312" w:hAnsi="仿宋_GB2312" w:eastAsia="仿宋_GB2312" w:cs="仿宋_GB2312"/>
                <w:sz w:val="32"/>
                <w:szCs w:val="32"/>
                <w:vertAlign w:val="baseline"/>
                <w:lang w:val="en-US" w:eastAsia="zh-CN"/>
              </w:rPr>
              <w:t>）</w:t>
            </w:r>
          </w:p>
        </w:tc>
      </w:tr>
    </w:tbl>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35"/>
        <w:spacing w:line="560" w:lineRule="exact"/>
        <w:ind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rPr>
        <w:t>（一）在中国境内注册的独立法人或其他组</w:t>
      </w:r>
      <w:r>
        <w:rPr>
          <w:rFonts w:hint="eastAsia" w:ascii="仿宋_GB2312" w:hAnsi="仿宋" w:eastAsia="仿宋_GB2312" w:cs="仿宋"/>
          <w:sz w:val="32"/>
          <w:szCs w:val="32"/>
          <w:highlight w:val="none"/>
        </w:rPr>
        <w:t>织（提供营业执照、事业法人证书、社会团体法人登记证书等扫描件）</w:t>
      </w:r>
      <w:r>
        <w:rPr>
          <w:rFonts w:hint="eastAsia" w:ascii="仿宋_GB2312" w:hAnsi="仿宋" w:cs="仿宋"/>
          <w:sz w:val="32"/>
          <w:szCs w:val="32"/>
          <w:highlight w:val="none"/>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highlight w:val="none"/>
          <w:lang w:eastAsia="zh-CN"/>
        </w:rPr>
        <w:t>；</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pageBreakBefore w:val="0"/>
        <w:kinsoku/>
        <w:wordWrap/>
        <w:overflowPunct/>
        <w:autoSpaceDE/>
        <w:autoSpaceDN/>
        <w:bidi w:val="0"/>
        <w:spacing w:line="560" w:lineRule="exact"/>
        <w:ind w:firstLine="640" w:firstLineChars="200"/>
        <w:rPr>
          <w:rFonts w:hint="eastAsia"/>
          <w:highlight w:val="none"/>
        </w:rPr>
      </w:pPr>
      <w:r>
        <w:rPr>
          <w:rFonts w:hint="eastAsia" w:ascii="仿宋_GB2312" w:hAnsi="仿宋_GB2312" w:eastAsia="仿宋_GB2312" w:cs="仿宋_GB2312"/>
          <w:sz w:val="32"/>
          <w:szCs w:val="32"/>
          <w:highlight w:val="none"/>
        </w:rPr>
        <w:t>综合评分法</w:t>
      </w:r>
    </w:p>
    <w:p>
      <w:pPr>
        <w:keepNext w:val="0"/>
        <w:keepLines w:val="0"/>
        <w:pageBreakBefore w:val="0"/>
        <w:numPr>
          <w:ilvl w:val="0"/>
          <w:numId w:val="2"/>
        </w:numPr>
        <w:kinsoku/>
        <w:wordWrap/>
        <w:overflowPunct/>
        <w:topLinePunct w:val="0"/>
        <w:autoSpaceDE/>
        <w:autoSpaceDN/>
        <w:bidi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评分要求</w:t>
      </w:r>
      <w:r>
        <w:rPr>
          <w:rFonts w:hint="eastAsia" w:ascii="黑体" w:hAnsi="黑体" w:eastAsia="黑体" w:cs="黑体"/>
          <w:sz w:val="32"/>
          <w:szCs w:val="32"/>
          <w:lang w:eastAsia="zh-CN"/>
        </w:rPr>
        <w:t>（</w:t>
      </w:r>
      <w:r>
        <w:rPr>
          <w:rFonts w:hint="eastAsia" w:ascii="黑体" w:hAnsi="黑体" w:eastAsia="黑体" w:cs="黑体"/>
          <w:sz w:val="32"/>
          <w:szCs w:val="32"/>
          <w:highlight w:val="none"/>
          <w:lang w:eastAsia="zh-CN"/>
        </w:rPr>
        <w:t>采取综合评分法适用</w:t>
      </w:r>
      <w:r>
        <w:rPr>
          <w:rFonts w:hint="eastAsia" w:ascii="黑体" w:hAnsi="黑体" w:eastAsia="黑体" w:cs="黑体"/>
          <w:sz w:val="32"/>
          <w:szCs w:val="32"/>
          <w:lang w:eastAsia="zh-CN"/>
        </w:rPr>
        <w:t>）</w:t>
      </w:r>
    </w:p>
    <w:p>
      <w:pPr>
        <w:pStyle w:val="27"/>
        <w:keepNext w:val="0"/>
        <w:keepLines w:val="0"/>
        <w:pageBreakBefore w:val="0"/>
        <w:kinsoku/>
        <w:wordWrap/>
        <w:overflowPunct/>
        <w:topLinePunct w:val="0"/>
        <w:autoSpaceDE/>
        <w:autoSpaceDN/>
        <w:bidi w:val="0"/>
        <w:spacing w:beforeAutospacing="0" w:afterAutospacing="0"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黑体" w:hAnsi="黑体" w:eastAsia="黑体" w:cs="仿宋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7"/>
        <w:keepNext w:val="0"/>
        <w:keepLines w:val="0"/>
        <w:pageBreakBefore w:val="0"/>
        <w:kinsoku/>
        <w:wordWrap/>
        <w:overflowPunct/>
        <w:topLinePunct w:val="0"/>
        <w:autoSpaceDE/>
        <w:autoSpaceDN/>
        <w:bidi w:val="0"/>
        <w:spacing w:beforeAutospacing="0" w:afterAutospacing="0"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308"/>
        <w:gridCol w:w="206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1355"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c>
          <w:tcPr>
            <w:tcW w:w="1209"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val="en-US" w:eastAsia="zh-CN"/>
              </w:rPr>
              <w:t>部分</w:t>
            </w:r>
          </w:p>
        </w:tc>
        <w:tc>
          <w:tcPr>
            <w:tcW w:w="1240"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1355"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1209"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25</w:t>
            </w:r>
            <w:r>
              <w:rPr>
                <w:rFonts w:hint="eastAsia" w:ascii="仿宋_GB2312" w:hAnsi="仿宋_GB2312" w:eastAsia="仿宋_GB2312" w:cs="仿宋_GB2312"/>
                <w:b w:val="0"/>
                <w:bCs/>
                <w:szCs w:val="24"/>
                <w:highlight w:val="none"/>
              </w:rPr>
              <w:t>分</w:t>
            </w:r>
          </w:p>
        </w:tc>
        <w:tc>
          <w:tcPr>
            <w:tcW w:w="1240" w:type="pct"/>
          </w:tcPr>
          <w:p>
            <w:pPr>
              <w:pStyle w:val="27"/>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45</w:t>
            </w:r>
            <w:r>
              <w:rPr>
                <w:rFonts w:hint="eastAsia" w:ascii="仿宋_GB2312" w:hAnsi="仿宋_GB2312" w:eastAsia="仿宋_GB2312" w:cs="仿宋_GB2312"/>
                <w:b w:val="0"/>
                <w:bCs/>
                <w:szCs w:val="24"/>
                <w:highlight w:val="none"/>
              </w:rPr>
              <w:t>分</w:t>
            </w:r>
          </w:p>
        </w:tc>
      </w:tr>
    </w:tbl>
    <w:p>
      <w:pPr>
        <w:pStyle w:val="27"/>
        <w:keepNext w:val="0"/>
        <w:keepLines w:val="0"/>
        <w:pageBreakBefore w:val="0"/>
        <w:kinsoku/>
        <w:wordWrap/>
        <w:overflowPunct/>
        <w:topLinePunct w:val="0"/>
        <w:autoSpaceDE/>
        <w:autoSpaceDN/>
        <w:bidi w:val="0"/>
        <w:spacing w:beforeAutospacing="0" w:afterAutospacing="0" w:line="560" w:lineRule="exact"/>
        <w:ind w:firstLine="640" w:firstLineChars="200"/>
      </w:pPr>
      <w:r>
        <w:rPr>
          <w:rFonts w:hint="eastAsia" w:ascii="楷体" w:hAnsi="楷体" w:eastAsia="楷体" w:cs="楷体"/>
          <w:b w:val="0"/>
          <w:bCs/>
          <w:sz w:val="32"/>
          <w:szCs w:val="32"/>
        </w:rPr>
        <w:t>（三）评分标准</w:t>
      </w:r>
    </w:p>
    <w:tbl>
      <w:tblPr>
        <w:tblStyle w:val="17"/>
        <w:tblW w:w="844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15"/>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137"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w:t>
            </w:r>
          </w:p>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0分）</w:t>
            </w:r>
          </w:p>
        </w:tc>
        <w:tc>
          <w:tcPr>
            <w:tcW w:w="1215"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评分因素</w:t>
            </w:r>
          </w:p>
        </w:tc>
        <w:tc>
          <w:tcPr>
            <w:tcW w:w="6090"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w:t>
            </w:r>
          </w:p>
        </w:tc>
        <w:tc>
          <w:tcPr>
            <w:tcW w:w="6090" w:type="dxa"/>
            <w:vAlign w:val="center"/>
          </w:tcPr>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以本次报价或投标人所报的有效报价中的最低价作为基准报价。投标人报价得分=（基准价/投标人报价）*</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2" w:type="dxa"/>
            <w:gridSpan w:val="3"/>
          </w:tcPr>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37"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w:t>
            </w:r>
          </w:p>
          <w:p>
            <w:pPr>
              <w:pStyle w:val="6"/>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部分</w:t>
            </w:r>
          </w:p>
          <w:p>
            <w:pPr>
              <w:pStyle w:val="6"/>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25</w:t>
            </w:r>
            <w:r>
              <w:rPr>
                <w:rFonts w:hint="eastAsia" w:ascii="仿宋_GB2312" w:hAnsi="仿宋_GB2312" w:eastAsia="仿宋_GB2312" w:cs="仿宋_GB2312"/>
                <w:b w:val="0"/>
                <w:bCs w:val="0"/>
                <w:sz w:val="24"/>
                <w:szCs w:val="24"/>
                <w:highlight w:val="none"/>
              </w:rPr>
              <w:t>分）</w:t>
            </w:r>
          </w:p>
        </w:tc>
        <w:tc>
          <w:tcPr>
            <w:tcW w:w="1215"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评分因素</w:t>
            </w:r>
          </w:p>
        </w:tc>
        <w:tc>
          <w:tcPr>
            <w:tcW w:w="6090"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同类项目经验（</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6090" w:type="dxa"/>
          </w:tcPr>
          <w:p>
            <w:pPr>
              <w:pageBreakBefore w:val="0"/>
              <w:numPr>
                <w:ilvl w:val="0"/>
                <w:numId w:val="3"/>
              </w:numPr>
              <w:kinsoku/>
              <w:wordWrap/>
              <w:overflowPunct/>
              <w:autoSpaceDE/>
              <w:autoSpaceDN/>
              <w:bidi w:val="0"/>
              <w:spacing w:line="56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w:t>
            </w:r>
            <w:r>
              <w:rPr>
                <w:rFonts w:hint="eastAsia" w:ascii="仿宋_GB2312" w:hAnsi="仿宋_GB2312" w:eastAsia="仿宋_GB2312" w:cs="仿宋_GB2312"/>
                <w:b/>
                <w:bCs/>
                <w:color w:val="auto"/>
                <w:sz w:val="24"/>
                <w:szCs w:val="24"/>
                <w:highlight w:val="none"/>
                <w:lang w:val="en-US" w:eastAsia="zh-CN"/>
              </w:rPr>
              <w:t>审</w:t>
            </w:r>
            <w:r>
              <w:rPr>
                <w:rFonts w:hint="eastAsia" w:ascii="仿宋_GB2312" w:hAnsi="仿宋_GB2312" w:eastAsia="仿宋_GB2312" w:cs="仿宋_GB2312"/>
                <w:b/>
                <w:bCs/>
                <w:color w:val="auto"/>
                <w:sz w:val="24"/>
                <w:szCs w:val="24"/>
                <w:highlight w:val="none"/>
              </w:rPr>
              <w:t>内容：</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年1月1日至本项目投标截止之日（以合同签订时间为准），投标人每提供1个同类业绩（</w:t>
            </w:r>
            <w:r>
              <w:rPr>
                <w:rFonts w:hint="eastAsia" w:ascii="仿宋_GB2312" w:hAnsi="仿宋_GB2312" w:eastAsia="仿宋_GB2312" w:cs="仿宋_GB2312"/>
                <w:sz w:val="24"/>
                <w:szCs w:val="24"/>
                <w:lang w:val="en-US" w:eastAsia="zh-CN"/>
              </w:rPr>
              <w:t>物流配送服务项目或信息化设备相关运营维保服务项目</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分，原件备查。</w:t>
            </w:r>
          </w:p>
          <w:p>
            <w:pPr>
              <w:pageBreakBefore w:val="0"/>
              <w:numPr>
                <w:ilvl w:val="0"/>
                <w:numId w:val="3"/>
              </w:numPr>
              <w:kinsoku/>
              <w:wordWrap/>
              <w:overflowPunct/>
              <w:autoSpaceDE/>
              <w:autoSpaceDN/>
              <w:bidi w:val="0"/>
              <w:spacing w:line="560" w:lineRule="exact"/>
              <w:ind w:left="0" w:leftChars="0" w:firstLine="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w:t>
            </w:r>
            <w:r>
              <w:rPr>
                <w:rFonts w:hint="eastAsia" w:ascii="仿宋_GB2312" w:hAnsi="仿宋_GB2312" w:eastAsia="仿宋_GB2312" w:cs="仿宋_GB2312"/>
                <w:b/>
                <w:bCs/>
                <w:color w:val="auto"/>
                <w:sz w:val="24"/>
                <w:szCs w:val="24"/>
                <w:highlight w:val="none"/>
                <w:lang w:val="en-US" w:eastAsia="zh-CN"/>
              </w:rPr>
              <w:t>审</w:t>
            </w:r>
            <w:r>
              <w:rPr>
                <w:rFonts w:hint="eastAsia" w:ascii="仿宋_GB2312" w:hAnsi="仿宋_GB2312" w:eastAsia="仿宋_GB2312" w:cs="仿宋_GB2312"/>
                <w:b/>
                <w:bCs/>
                <w:color w:val="auto"/>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驻点服务</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6090" w:type="dxa"/>
            <w:vAlign w:val="center"/>
          </w:tcPr>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投标人承诺提供≥1名专职驻点服务人员得5分；</w:t>
            </w:r>
          </w:p>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评分标准：</w:t>
            </w:r>
          </w:p>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提供《承诺函》并盖公章，格式自拟。不提供不得分。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spacing w:line="560" w:lineRule="exact"/>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类似业绩履约评价（5分）</w:t>
            </w:r>
          </w:p>
        </w:tc>
        <w:tc>
          <w:tcPr>
            <w:tcW w:w="6090" w:type="dxa"/>
            <w:vAlign w:val="top"/>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一</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评分内容：</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eastAsia="zh-CN"/>
              </w:rPr>
              <w:t>年1月1日至本项目投标截止之日（</w:t>
            </w:r>
            <w:r>
              <w:rPr>
                <w:rFonts w:hint="eastAsia" w:ascii="仿宋_GB2312" w:hAnsi="仿宋_GB2312" w:eastAsia="仿宋_GB2312" w:cs="仿宋_GB2312"/>
                <w:sz w:val="24"/>
                <w:szCs w:val="24"/>
                <w:lang w:val="en-US" w:eastAsia="zh-CN"/>
              </w:rPr>
              <w:t>时间</w:t>
            </w:r>
            <w:r>
              <w:rPr>
                <w:rFonts w:hint="eastAsia" w:ascii="仿宋_GB2312" w:hAnsi="仿宋_GB2312" w:eastAsia="仿宋_GB2312" w:cs="仿宋_GB2312"/>
                <w:sz w:val="24"/>
                <w:szCs w:val="24"/>
                <w:lang w:eastAsia="zh-CN"/>
              </w:rPr>
              <w:t>以</w:t>
            </w:r>
            <w:r>
              <w:rPr>
                <w:rFonts w:hint="eastAsia" w:ascii="仿宋_GB2312" w:hAnsi="仿宋_GB2312" w:eastAsia="仿宋_GB2312" w:cs="仿宋_GB2312"/>
                <w:sz w:val="24"/>
                <w:szCs w:val="24"/>
                <w:lang w:val="en-US" w:eastAsia="zh-CN"/>
              </w:rPr>
              <w:t>履约评价</w:t>
            </w:r>
            <w:r>
              <w:rPr>
                <w:rFonts w:hint="eastAsia" w:ascii="仿宋_GB2312" w:hAnsi="仿宋_GB2312" w:eastAsia="仿宋_GB2312" w:cs="仿宋_GB2312"/>
                <w:sz w:val="24"/>
                <w:szCs w:val="24"/>
                <w:lang w:eastAsia="zh-CN"/>
              </w:rPr>
              <w:t>时间为准），投标人提供</w:t>
            </w:r>
            <w:r>
              <w:rPr>
                <w:rFonts w:hint="eastAsia" w:ascii="仿宋_GB2312" w:hAnsi="仿宋_GB2312" w:eastAsia="仿宋_GB2312" w:cs="仿宋_GB2312"/>
                <w:sz w:val="24"/>
                <w:szCs w:val="24"/>
                <w:lang w:val="en-US" w:eastAsia="zh-CN"/>
              </w:rPr>
              <w:t>物流配送服务项目或信息化设备相关运营维保服务项目履约评价为优秀的</w:t>
            </w:r>
            <w:r>
              <w:rPr>
                <w:rFonts w:hint="eastAsia" w:ascii="仿宋_GB2312" w:hAnsi="仿宋_GB2312" w:eastAsia="仿宋_GB2312" w:cs="仿宋_GB2312"/>
                <w:sz w:val="24"/>
                <w:szCs w:val="24"/>
                <w:lang w:eastAsia="zh-CN"/>
              </w:rPr>
              <w:t>，每提供一项得2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w:t>
            </w:r>
            <w:r>
              <w:rPr>
                <w:rFonts w:hint="eastAsia" w:ascii="仿宋_GB2312" w:hAnsi="仿宋_GB2312" w:eastAsia="仿宋_GB2312" w:cs="仿宋_GB2312"/>
                <w:sz w:val="24"/>
                <w:szCs w:val="24"/>
                <w:lang w:val="en-US" w:eastAsia="zh-CN"/>
              </w:rPr>
              <w:t>中标通知书或</w:t>
            </w:r>
            <w:r>
              <w:rPr>
                <w:rFonts w:hint="eastAsia" w:ascii="仿宋_GB2312" w:hAnsi="仿宋_GB2312" w:eastAsia="仿宋_GB2312" w:cs="仿宋_GB2312"/>
                <w:sz w:val="24"/>
                <w:szCs w:val="24"/>
              </w:rPr>
              <w:t>合同关键页(需体现甲乙双方名称、服务内容和盖章页等关键内容)扫描件</w:t>
            </w:r>
            <w:r>
              <w:rPr>
                <w:rFonts w:hint="eastAsia" w:ascii="仿宋_GB2312" w:hAnsi="仿宋_GB2312" w:eastAsia="仿宋_GB2312" w:cs="仿宋_GB2312"/>
                <w:sz w:val="24"/>
                <w:szCs w:val="24"/>
                <w:lang w:val="en-US" w:eastAsia="zh-CN"/>
              </w:rPr>
              <w:t>以及甲方出具盖章（单位公章）的履约评价文件、以及能清晰看到履约评价的时间；以上证明材料原件备查，</w:t>
            </w:r>
            <w:r>
              <w:rPr>
                <w:rFonts w:hint="eastAsia" w:ascii="仿宋_GB2312" w:hAnsi="仿宋_GB2312" w:eastAsia="仿宋_GB2312" w:cs="仿宋_GB2312"/>
                <w:sz w:val="24"/>
                <w:szCs w:val="24"/>
              </w:rPr>
              <w:t>未提供或未按要求提供或提供的不清晰导致</w:t>
            </w:r>
            <w:r>
              <w:rPr>
                <w:rFonts w:hint="eastAsia" w:ascii="仿宋_GB2312" w:hAnsi="仿宋_GB2312" w:eastAsia="仿宋_GB2312" w:cs="仿宋_GB2312"/>
                <w:sz w:val="24"/>
                <w:szCs w:val="24"/>
                <w:lang w:val="en-US" w:eastAsia="zh-CN"/>
              </w:rPr>
              <w:t>评委</w:t>
            </w:r>
            <w:r>
              <w:rPr>
                <w:rFonts w:hint="eastAsia" w:ascii="仿宋_GB2312" w:hAnsi="仿宋_GB2312" w:eastAsia="仿宋_GB2312" w:cs="仿宋_GB2312"/>
                <w:sz w:val="24"/>
                <w:szCs w:val="24"/>
              </w:rPr>
              <w:t>无法判断的，不得分。</w:t>
            </w:r>
          </w:p>
          <w:p>
            <w:pPr>
              <w:spacing w:line="5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项目完成（服务期满）后的服务承诺（</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6090"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根据针对本项目做出的服务承诺，考察包括但不限于以下内容：</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1.在服务期满后主动交接项目相关资料；</w:t>
            </w:r>
          </w:p>
          <w:p>
            <w:pPr>
              <w:pageBreakBefore w:val="0"/>
              <w:numPr>
                <w:ilvl w:val="0"/>
                <w:numId w:val="0"/>
              </w:numPr>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配合甲方推进项目建设，协助提供相关材料，直至项目结项为止。</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（二）评审依据：</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技术部分（</w:t>
            </w: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sz w:val="24"/>
                <w:szCs w:val="24"/>
                <w:highlight w:val="none"/>
              </w:rPr>
              <w:t>分）</w:t>
            </w:r>
          </w:p>
        </w:tc>
        <w:tc>
          <w:tcPr>
            <w:tcW w:w="1215"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实施方案</w:t>
            </w:r>
          </w:p>
          <w:p>
            <w:pPr>
              <w:pStyle w:val="6"/>
              <w:pageBreakBefore w:val="0"/>
              <w:kinsoku/>
              <w:wordWrap/>
              <w:overflowPunct/>
              <w:autoSpaceDE/>
              <w:autoSpaceDN/>
              <w:bidi w:val="0"/>
              <w:spacing w:line="5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25</w:t>
            </w:r>
            <w:r>
              <w:rPr>
                <w:rFonts w:hint="eastAsia" w:ascii="仿宋_GB2312" w:hAnsi="仿宋_GB2312" w:eastAsia="仿宋_GB2312" w:cs="仿宋_GB2312"/>
                <w:b w:val="0"/>
                <w:bCs w:val="0"/>
                <w:sz w:val="24"/>
                <w:szCs w:val="24"/>
                <w:highlight w:val="none"/>
              </w:rPr>
              <w:t>分）</w:t>
            </w:r>
          </w:p>
        </w:tc>
        <w:tc>
          <w:tcPr>
            <w:tcW w:w="6090"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根据投标人提供的实施方案，考察包括但不限于：</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color w:val="auto"/>
                <w:kern w:val="0"/>
                <w:sz w:val="24"/>
                <w:szCs w:val="24"/>
                <w:highlight w:val="none"/>
                <w:lang w:bidi="ar"/>
              </w:rPr>
              <w:t>物流配送及分拣转运规划</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color w:val="auto"/>
                <w:kern w:val="0"/>
                <w:sz w:val="24"/>
                <w:szCs w:val="24"/>
                <w:highlight w:val="none"/>
                <w:lang w:bidi="ar"/>
              </w:rPr>
              <w:t>项目维护服务规划</w:t>
            </w:r>
            <w:r>
              <w:rPr>
                <w:rFonts w:hint="eastAsia" w:ascii="仿宋_GB2312" w:hAnsi="仿宋_GB2312" w:eastAsia="仿宋_GB2312" w:cs="仿宋_GB2312"/>
                <w:color w:val="auto"/>
                <w:kern w:val="0"/>
                <w:sz w:val="24"/>
                <w:szCs w:val="24"/>
                <w:highlight w:val="none"/>
                <w:lang w:eastAsia="zh-CN" w:bidi="ar"/>
              </w:rPr>
              <w:t>；</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color w:val="auto"/>
                <w:kern w:val="0"/>
                <w:sz w:val="24"/>
                <w:szCs w:val="24"/>
                <w:highlight w:val="none"/>
                <w:lang w:bidi="ar"/>
              </w:rPr>
              <w:t>工作人员管理及操作规范</w:t>
            </w:r>
            <w:r>
              <w:rPr>
                <w:rFonts w:hint="eastAsia" w:ascii="仿宋_GB2312" w:hAnsi="仿宋_GB2312" w:eastAsia="仿宋_GB2312" w:cs="仿宋_GB2312"/>
                <w:color w:val="auto"/>
                <w:kern w:val="0"/>
                <w:sz w:val="24"/>
                <w:szCs w:val="24"/>
                <w:highlight w:val="none"/>
                <w:lang w:eastAsia="zh-CN" w:bidi="ar"/>
              </w:rPr>
              <w:t>；</w:t>
            </w:r>
          </w:p>
          <w:p>
            <w:pPr>
              <w:pageBreakBefore w:val="0"/>
              <w:kinsoku/>
              <w:wordWrap/>
              <w:overflowPunct/>
              <w:autoSpaceDE/>
              <w:autoSpaceDN/>
              <w:bidi w:val="0"/>
              <w:spacing w:line="560" w:lineRule="exact"/>
              <w:jc w:val="lef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color w:val="auto"/>
                <w:kern w:val="0"/>
                <w:sz w:val="24"/>
                <w:szCs w:val="24"/>
                <w:highlight w:val="none"/>
                <w:lang w:bidi="ar"/>
              </w:rPr>
              <w:t>图书安全保障方案</w:t>
            </w:r>
            <w:r>
              <w:rPr>
                <w:rFonts w:hint="eastAsia" w:ascii="仿宋_GB2312" w:hAnsi="仿宋_GB2312" w:eastAsia="仿宋_GB2312" w:cs="仿宋_GB2312"/>
                <w:color w:val="auto"/>
                <w:kern w:val="0"/>
                <w:sz w:val="24"/>
                <w:szCs w:val="24"/>
                <w:highlight w:val="none"/>
                <w:lang w:eastAsia="zh-CN" w:bidi="ar"/>
              </w:rPr>
              <w:t>；</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突发事件应急处理措施</w:t>
            </w:r>
            <w:r>
              <w:rPr>
                <w:rFonts w:hint="eastAsia" w:ascii="仿宋_GB2312" w:hAnsi="仿宋_GB2312" w:eastAsia="仿宋_GB2312" w:cs="仿宋_GB2312"/>
                <w:sz w:val="24"/>
                <w:szCs w:val="24"/>
                <w:highlight w:val="none"/>
                <w:lang w:eastAsia="zh-CN"/>
              </w:rPr>
              <w:t>。</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highlight w:val="none"/>
              </w:rPr>
              <w:t>（二）评审依据：</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满足以上任意一项要求得3分，最高得15分，在此基础上，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215" w:type="dxa"/>
            <w:vAlign w:val="center"/>
          </w:tcPr>
          <w:p>
            <w:pPr>
              <w:spacing w:line="560" w:lineRule="exact"/>
              <w:jc w:val="left"/>
              <w:rPr>
                <w:rFonts w:hint="eastAsia" w:ascii="仿宋_GB2312" w:hAnsi="仿宋_GB2312" w:eastAsia="仿宋_GB2312" w:cs="仿宋_GB2312"/>
                <w:highlight w:val="none"/>
              </w:rPr>
            </w:pPr>
            <w:r>
              <w:rPr>
                <w:rFonts w:hint="eastAsia" w:ascii="仿宋_GB2312" w:hAnsi="仿宋_GB2312" w:eastAsia="仿宋_GB2312" w:cs="仿宋_GB2312"/>
                <w:sz w:val="24"/>
                <w:szCs w:val="24"/>
                <w:vertAlign w:val="baseline"/>
                <w:lang w:val="en-US" w:eastAsia="zh-CN"/>
              </w:rPr>
              <w:t>项目重点难点分析、应对措施及相关的合理化建议</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20</w:t>
            </w:r>
            <w:r>
              <w:rPr>
                <w:rFonts w:hint="eastAsia" w:ascii="仿宋_GB2312" w:hAnsi="仿宋_GB2312" w:eastAsia="仿宋_GB2312" w:cs="仿宋_GB2312"/>
                <w:b w:val="0"/>
                <w:bCs w:val="0"/>
                <w:sz w:val="24"/>
                <w:szCs w:val="24"/>
                <w:highlight w:val="none"/>
              </w:rPr>
              <w:t>分）</w:t>
            </w:r>
          </w:p>
        </w:tc>
        <w:tc>
          <w:tcPr>
            <w:tcW w:w="6090"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针对项目特点，提出</w:t>
            </w:r>
            <w:r>
              <w:rPr>
                <w:rFonts w:hint="eastAsia" w:ascii="仿宋_GB2312" w:hAnsi="仿宋_GB2312" w:eastAsia="仿宋_GB2312" w:cs="仿宋_GB2312"/>
                <w:sz w:val="24"/>
                <w:szCs w:val="24"/>
                <w:highlight w:val="none"/>
              </w:rPr>
              <w:t>对物流配送及分拣转运、项目维护服务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项目重点难点问题的识别情况及拟采用的解决方案</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1.重难点分析内容；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highlight w:val="none"/>
              </w:rPr>
            </w:pPr>
            <w:r>
              <w:rPr>
                <w:rFonts w:hint="eastAsia" w:ascii="仿宋_GB2312" w:hAnsi="仿宋_GB2312" w:eastAsia="仿宋_GB2312" w:cs="仿宋_GB2312"/>
                <w:color w:val="auto"/>
                <w:sz w:val="24"/>
                <w:szCs w:val="24"/>
                <w:highlight w:val="none"/>
                <w:lang w:val="en-US" w:eastAsia="zh-CN"/>
              </w:rPr>
              <w:t>3.合理化建议。</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27"/>
        <w:pageBreakBefore w:val="0"/>
        <w:kinsoku/>
        <w:wordWrap/>
        <w:overflowPunct/>
        <w:autoSpaceDE/>
        <w:autoSpaceDN/>
        <w:bidi w:val="0"/>
        <w:spacing w:line="560" w:lineRule="exact"/>
        <w:ind w:firstLine="642" w:firstLineChars="200"/>
        <w:rPr>
          <w:rFonts w:hint="eastAsia" w:ascii="楷体_GB2312" w:hAnsi="楷体_GB2312" w:eastAsia="楷体_GB2312" w:cs="楷体_GB2312"/>
          <w:b w:val="0"/>
          <w:color w:val="auto"/>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color w:val="auto"/>
          <w:sz w:val="32"/>
          <w:szCs w:val="32"/>
          <w:highlight w:val="none"/>
          <w:lang w:eastAsia="zh-CN"/>
        </w:rPr>
        <w:t>供应商提供资料清单</w:t>
      </w:r>
      <w:r>
        <w:rPr>
          <w:rFonts w:hint="eastAsia" w:ascii="楷体_GB2312" w:hAnsi="楷体_GB2312" w:eastAsia="楷体_GB2312" w:cs="楷体_GB2312"/>
          <w:bCs w:val="0"/>
          <w:color w:val="auto"/>
          <w:sz w:val="32"/>
          <w:szCs w:val="32"/>
          <w:highlight w:val="none"/>
        </w:rPr>
        <w:t>（每页均需加盖公章）</w:t>
      </w:r>
    </w:p>
    <w:p>
      <w:pPr>
        <w:pageBreakBefore w:val="0"/>
        <w:kinsoku/>
        <w:wordWrap/>
        <w:overflowPunct/>
        <w:autoSpaceDE/>
        <w:autoSpaceDN/>
        <w:bidi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1.营业执照、事业法人证书、社会团体法人登记证书；</w:t>
      </w:r>
    </w:p>
    <w:p>
      <w:pPr>
        <w:pageBreakBefore w:val="0"/>
        <w:kinsoku/>
        <w:wordWrap/>
        <w:overflowPunct/>
        <w:autoSpaceDE/>
        <w:autoSpaceDN/>
        <w:bidi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highlight w:val="none"/>
        </w:rPr>
        <w:t>法定代表人身份证复印件；（非法定代表人投标的，需提供授权委托书及代理人身份证复印件）</w:t>
      </w:r>
    </w:p>
    <w:p>
      <w:pPr>
        <w:pStyle w:val="10"/>
        <w:pageBreakBefore w:val="0"/>
        <w:kinsoku/>
        <w:wordWrap/>
        <w:overflowPunct/>
        <w:autoSpaceDE/>
        <w:autoSpaceDN/>
        <w:bidi w:val="0"/>
        <w:spacing w:after="0" w:line="560" w:lineRule="exact"/>
        <w:ind w:left="0" w:leftChars="0" w:right="0" w:rightChars="0" w:firstLine="640"/>
        <w:rPr>
          <w:rFonts w:hint="eastAsia" w:ascii="仿宋_GB2312" w:hAnsi="仿宋" w:eastAsia="仿宋_GB2312"/>
          <w:sz w:val="32"/>
          <w:highlight w:val="none"/>
        </w:rPr>
      </w:pPr>
      <w:r>
        <w:rPr>
          <w:rFonts w:hint="eastAsia" w:ascii="仿宋_GB2312" w:hAnsi="仿宋" w:eastAsia="仿宋_GB2312"/>
          <w:sz w:val="32"/>
          <w:highlight w:val="none"/>
        </w:rPr>
        <w:t>3.项目报价表</w:t>
      </w:r>
      <w:r>
        <w:rPr>
          <w:rFonts w:hint="eastAsia" w:ascii="仿宋_GB2312" w:hAnsi="仿宋" w:eastAsia="仿宋_GB2312"/>
          <w:b/>
          <w:bCs/>
          <w:sz w:val="32"/>
          <w:highlight w:val="none"/>
        </w:rPr>
        <w:t>（需按格式提供）</w:t>
      </w:r>
      <w:r>
        <w:rPr>
          <w:rFonts w:hint="eastAsia" w:ascii="仿宋_GB2312" w:hAnsi="仿宋" w:eastAsia="仿宋_GB2312"/>
          <w:sz w:val="32"/>
          <w:highlight w:val="none"/>
        </w:rPr>
        <w:t>；</w:t>
      </w:r>
    </w:p>
    <w:p>
      <w:pPr>
        <w:pStyle w:val="10"/>
        <w:pageBreakBefore w:val="0"/>
        <w:kinsoku/>
        <w:wordWrap/>
        <w:overflowPunct/>
        <w:autoSpaceDE/>
        <w:autoSpaceDN/>
        <w:bidi w:val="0"/>
        <w:spacing w:after="0" w:line="560" w:lineRule="exact"/>
        <w:ind w:left="0" w:leftChars="0" w:right="0" w:rightChars="0" w:firstLine="640"/>
        <w:jc w:val="left"/>
        <w:rPr>
          <w:rFonts w:hint="eastAsia" w:ascii="仿宋_GB2312" w:hAnsi="仿宋" w:eastAsia="仿宋_GB2312"/>
          <w:sz w:val="32"/>
          <w:highlight w:val="none"/>
        </w:rPr>
      </w:pPr>
      <w:r>
        <w:rPr>
          <w:rFonts w:hint="eastAsia" w:ascii="仿宋_GB2312" w:hAnsi="仿宋" w:eastAsia="仿宋_GB2312"/>
          <w:sz w:val="32"/>
          <w:highlight w:val="none"/>
        </w:rPr>
        <w:t>4.评分规则所需资料（同类业绩证明、方案等）；</w:t>
      </w:r>
    </w:p>
    <w:p>
      <w:pPr>
        <w:pStyle w:val="10"/>
        <w:pageBreakBefore w:val="0"/>
        <w:kinsoku/>
        <w:wordWrap/>
        <w:overflowPunct/>
        <w:autoSpaceDE/>
        <w:autoSpaceDN/>
        <w:bidi w:val="0"/>
        <w:spacing w:after="0" w:line="560" w:lineRule="exact"/>
        <w:ind w:left="0" w:leftChars="0" w:right="0" w:rightChars="0" w:firstLine="640"/>
        <w:jc w:val="left"/>
        <w:rPr>
          <w:rFonts w:hint="eastAsia" w:ascii="仿宋_GB2312" w:hAnsi="仿宋" w:eastAsia="仿宋_GB2312"/>
          <w:sz w:val="32"/>
          <w:highlight w:val="none"/>
        </w:rPr>
      </w:pPr>
      <w:r>
        <w:rPr>
          <w:rFonts w:hint="eastAsia" w:ascii="仿宋_GB2312" w:hAnsi="仿宋" w:eastAsia="仿宋_GB2312"/>
          <w:sz w:val="32"/>
          <w:highlight w:val="none"/>
        </w:rPr>
        <w:t>5.诚信承诺书（详见附件1）；</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left"/>
        <w:textAlignment w:val="auto"/>
        <w:rPr>
          <w:rFonts w:hint="eastAsia" w:ascii="仿宋_GB2312" w:hAnsi="仿宋" w:eastAsia="仿宋_GB2312"/>
          <w:sz w:val="32"/>
          <w:highlight w:val="none"/>
        </w:rPr>
      </w:pPr>
      <w:r>
        <w:rPr>
          <w:rFonts w:hint="eastAsia" w:ascii="仿宋_GB2312" w:hAnsi="仿宋" w:eastAsia="仿宋_GB2312"/>
          <w:sz w:val="32"/>
          <w:highlight w:val="none"/>
        </w:rPr>
        <w:t>6.填写《供应商基本情况表》（加盖公章，详见附件2）并提供表中投标（响应）供应商相关人员的近三个月社保缴纳情况，若本月社保未能提供，则提供前三个月的社保情况，如供应商为新成立企业且成立时间不足3个月的，可提供加盖公章的情况说明或其他相关证明材料。</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left"/>
        <w:textAlignment w:val="auto"/>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九、其他注意事项</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w:t>
      </w:r>
      <w:r>
        <w:rPr>
          <w:rFonts w:hint="eastAsia" w:ascii="仿宋_GB2312" w:hAnsi="仿宋" w:eastAsia="仿宋_GB2312"/>
          <w:sz w:val="32"/>
          <w:highlight w:val="none"/>
        </w:rPr>
        <w:t>供应商需以邮寄方式提供</w:t>
      </w:r>
      <w:r>
        <w:rPr>
          <w:rFonts w:hint="eastAsia" w:ascii="仿宋_GB2312" w:hAnsi="仿宋" w:eastAsia="仿宋_GB2312"/>
          <w:sz w:val="32"/>
          <w:highlight w:val="none"/>
          <w:lang w:val="en-US" w:eastAsia="zh-CN"/>
        </w:rPr>
        <w:t>7</w:t>
      </w:r>
      <w:r>
        <w:rPr>
          <w:rFonts w:hint="eastAsia" w:ascii="仿宋_GB2312" w:hAnsi="仿宋" w:eastAsia="仿宋_GB2312"/>
          <w:sz w:val="32"/>
          <w:highlight w:val="none"/>
        </w:rPr>
        <w:t>份密封纸质版投标资料至本单位，并在封面备注</w:t>
      </w:r>
      <w:r>
        <w:rPr>
          <w:rFonts w:hint="eastAsia" w:ascii="仿宋_GB2312" w:hAnsi="仿宋_GB2312" w:eastAsia="仿宋_GB2312" w:cs="仿宋_GB2312"/>
          <w:color w:val="000000"/>
          <w:kern w:val="0"/>
          <w:sz w:val="32"/>
          <w:szCs w:val="32"/>
          <w:highlight w:val="none"/>
        </w:rPr>
        <w:t>“</w:t>
      </w:r>
      <w:r>
        <w:rPr>
          <w:rFonts w:hint="eastAsia" w:ascii="仿宋_GB2312" w:hAnsi="仿宋" w:eastAsia="仿宋_GB2312" w:cs="Times New Roman"/>
          <w:sz w:val="32"/>
          <w:highlight w:val="none"/>
          <w:lang w:val="en-US" w:eastAsia="zh-CN"/>
        </w:rPr>
        <w:t>9台自助图书机2026年物流运营服务</w:t>
      </w:r>
      <w:r>
        <w:rPr>
          <w:rFonts w:hint="eastAsia" w:ascii="仿宋_GB2312" w:hAnsi="仿宋_GB2312" w:eastAsia="仿宋_GB2312" w:cs="仿宋_GB2312"/>
          <w:color w:val="000000"/>
          <w:kern w:val="0"/>
          <w:sz w:val="32"/>
          <w:szCs w:val="32"/>
          <w:highlight w:val="none"/>
        </w:rPr>
        <w:t>项目+公司全称+日期+联系人+联系方式”。</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highlight w:val="none"/>
        </w:rPr>
        <w:t>地址：</w:t>
      </w:r>
      <w:bookmarkStart w:id="0" w:name="OLE_LINK5"/>
      <w:r>
        <w:rPr>
          <w:rFonts w:hint="eastAsia" w:ascii="仿宋_GB2312" w:hAnsi="仿宋" w:eastAsia="仿宋_GB2312"/>
          <w:sz w:val="32"/>
          <w:highlight w:val="none"/>
        </w:rPr>
        <w:t>深圳市龙华区龙华街道富康行政服务办公区</w:t>
      </w:r>
      <w:bookmarkEnd w:id="0"/>
    </w:p>
    <w:p>
      <w:pPr>
        <w:pStyle w:val="4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收件人：吴先生</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1470" w:firstLine="640"/>
        <w:textAlignment w:val="auto"/>
        <w:rPr>
          <w:rFonts w:hint="eastAsia" w:ascii="仿宋_GB2312" w:hAnsi="仿宋" w:eastAsia="仿宋_GB2312"/>
          <w:sz w:val="32"/>
          <w:highlight w:val="none"/>
        </w:rPr>
      </w:pPr>
      <w:r>
        <w:rPr>
          <w:rFonts w:hint="eastAsia" w:ascii="仿宋_GB2312" w:hAnsi="仿宋" w:eastAsia="仿宋_GB2312"/>
          <w:sz w:val="32"/>
          <w:highlight w:val="none"/>
        </w:rPr>
        <w:t>联系方式</w:t>
      </w:r>
      <w:r>
        <w:rPr>
          <w:rFonts w:hint="eastAsia" w:ascii="仿宋_GB2312" w:hAnsi="仿宋" w:eastAsia="仿宋_GB2312"/>
          <w:sz w:val="32"/>
          <w:highlight w:val="none"/>
          <w:lang w:eastAsia="zh-CN"/>
        </w:rPr>
        <w:t>：</w:t>
      </w:r>
      <w:bookmarkStart w:id="1" w:name="_GoBack"/>
      <w:bookmarkEnd w:id="1"/>
      <w:r>
        <w:rPr>
          <w:rFonts w:hint="eastAsia" w:ascii="仿宋_GB2312" w:hAnsi="仿宋" w:eastAsia="仿宋_GB2312"/>
          <w:sz w:val="32"/>
          <w:highlight w:val="none"/>
        </w:rPr>
        <w:t>0755-23338140</w:t>
      </w: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仿宋" w:eastAsia="仿宋_GB2312"/>
          <w:sz w:val="32"/>
          <w:highlight w:val="none"/>
        </w:rPr>
      </w:pPr>
    </w:p>
    <w:p>
      <w:pPr>
        <w:pStyle w:val="41"/>
        <w:pageBreakBefore w:val="0"/>
        <w:kinsoku/>
        <w:wordWrap/>
        <w:overflowPunct/>
        <w:autoSpaceDE/>
        <w:autoSpaceDN/>
        <w:bidi w:val="0"/>
        <w:spacing w:line="560" w:lineRule="exact"/>
        <w:ind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4.我单位未被列入失信被执行人、</w:t>
      </w:r>
      <w:r>
        <w:rPr>
          <w:rFonts w:hint="eastAsia" w:ascii="宋体" w:hAnsi="宋体" w:eastAsia="宋体" w:cs="宋体"/>
          <w:color w:val="auto"/>
          <w:sz w:val="21"/>
          <w:szCs w:val="21"/>
          <w:highlight w:val="none"/>
          <w:lang w:eastAsia="zh-CN"/>
        </w:rPr>
        <w:t>重大税收违法案件当事人名单</w:t>
      </w:r>
      <w:r>
        <w:rPr>
          <w:rFonts w:hint="eastAsia" w:ascii="宋体" w:hAnsi="宋体" w:eastAsia="宋体" w:cs="宋体"/>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6090" w:firstLineChars="29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ageBreakBefore w:val="0"/>
        <w:kinsoku/>
        <w:wordWrap/>
        <w:overflowPunct/>
        <w:autoSpaceDE/>
        <w:autoSpaceDN/>
        <w:bidi w:val="0"/>
        <w:spacing w:line="560" w:lineRule="exact"/>
        <w:jc w:val="both"/>
        <w:rPr>
          <w:rFonts w:hint="eastAsia" w:ascii="宋体" w:hAnsi="宋体" w:eastAsia="宋体" w:cs="宋体"/>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41"/>
        <w:pageBreakBefore w:val="0"/>
        <w:kinsoku/>
        <w:wordWrap/>
        <w:overflowPunct/>
        <w:autoSpaceDE/>
        <w:autoSpaceDN/>
        <w:bidi w:val="0"/>
        <w:spacing w:line="560" w:lineRule="exact"/>
        <w:ind w:firstLine="0" w:firstLineChars="0"/>
        <w:rPr>
          <w:rFonts w:hint="eastAsia" w:ascii="宋体" w:hAnsi="宋体" w:eastAsia="宋体" w:cs="宋体"/>
          <w:color w:val="000000"/>
          <w:sz w:val="32"/>
          <w:szCs w:val="32"/>
          <w:highlight w:val="none"/>
        </w:rPr>
        <w:sectPr>
          <w:pgSz w:w="11906" w:h="16838"/>
          <w:pgMar w:top="1440" w:right="1803" w:bottom="1440" w:left="1803" w:header="851" w:footer="992" w:gutter="0"/>
          <w:cols w:space="720" w:num="1"/>
          <w:docGrid w:type="lines" w:linePitch="312" w:charSpace="0"/>
        </w:sectPr>
      </w:pPr>
    </w:p>
    <w:p>
      <w:pPr>
        <w:pStyle w:val="41"/>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4"/>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7"/>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10"/>
        <w:keepNext w:val="0"/>
        <w:keepLines w:val="0"/>
        <w:pageBreakBefore w:val="0"/>
        <w:kinsoku/>
        <w:wordWrap/>
        <w:overflowPunct/>
        <w:topLinePunct w:val="0"/>
        <w:autoSpaceDE/>
        <w:autoSpaceDN/>
        <w:bidi w:val="0"/>
        <w:spacing w:beforeAutospacing="0" w:afterAutospacing="0" w:line="560" w:lineRule="exact"/>
        <w:ind w:left="0" w:leftChars="0" w:right="1470" w:firstLine="0" w:firstLineChars="0"/>
        <w:rPr>
          <w:rFonts w:hint="eastAsia" w:ascii="仿宋_GB2312" w:hAnsi="等线" w:eastAsia="仿宋_GB2312" w:cs="Times New Roman"/>
          <w:color w:val="000000"/>
          <w:kern w:val="2"/>
          <w:sz w:val="32"/>
          <w:szCs w:val="32"/>
          <w:lang w:val="en-US" w:eastAsia="zh-CN" w:bidi="ar-SA"/>
        </w:rPr>
      </w:pPr>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0" w:usb3="00000000" w:csb0="00000093"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7"/>
      <w:numFmt w:val="chineseCounting"/>
      <w:suff w:val="nothing"/>
      <w:lvlText w:val="%1、"/>
      <w:lvlJc w:val="left"/>
      <w:rPr>
        <w:rFonts w:hint="eastAsia"/>
      </w:rPr>
    </w:lvl>
  </w:abstractNum>
  <w:abstractNum w:abstractNumId="2">
    <w:nsid w:val="74B50053"/>
    <w:multiLevelType w:val="singleLevel"/>
    <w:tmpl w:val="74B5005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WRlY2FhNGM3YjNjYWVjZDY1ODAyNGZiMmZiZjkifQ=="/>
  </w:docVars>
  <w:rsids>
    <w:rsidRoot w:val="00000000"/>
    <w:rsid w:val="002D7DB6"/>
    <w:rsid w:val="04D17976"/>
    <w:rsid w:val="05525230"/>
    <w:rsid w:val="060D6647"/>
    <w:rsid w:val="07913171"/>
    <w:rsid w:val="08422274"/>
    <w:rsid w:val="09991E4D"/>
    <w:rsid w:val="0CE03B39"/>
    <w:rsid w:val="0EE42745"/>
    <w:rsid w:val="10207071"/>
    <w:rsid w:val="11896E64"/>
    <w:rsid w:val="13367A4C"/>
    <w:rsid w:val="14DE2731"/>
    <w:rsid w:val="152D13F6"/>
    <w:rsid w:val="15932C7E"/>
    <w:rsid w:val="15CA6DCF"/>
    <w:rsid w:val="17392A2A"/>
    <w:rsid w:val="17914CA3"/>
    <w:rsid w:val="1AB537FC"/>
    <w:rsid w:val="1B1D7921"/>
    <w:rsid w:val="1CCB5767"/>
    <w:rsid w:val="1D146D68"/>
    <w:rsid w:val="1F65476C"/>
    <w:rsid w:val="213436E0"/>
    <w:rsid w:val="217E3A3C"/>
    <w:rsid w:val="239A5A3A"/>
    <w:rsid w:val="253379E5"/>
    <w:rsid w:val="26AD7FB0"/>
    <w:rsid w:val="29772D9A"/>
    <w:rsid w:val="29B807FD"/>
    <w:rsid w:val="2CB745EA"/>
    <w:rsid w:val="2CE16E3C"/>
    <w:rsid w:val="2D1619EC"/>
    <w:rsid w:val="2D8D4E1A"/>
    <w:rsid w:val="2EF607B9"/>
    <w:rsid w:val="309B0DDC"/>
    <w:rsid w:val="327F1479"/>
    <w:rsid w:val="328208EE"/>
    <w:rsid w:val="343C159A"/>
    <w:rsid w:val="34581C1E"/>
    <w:rsid w:val="35F47413"/>
    <w:rsid w:val="36CF11A0"/>
    <w:rsid w:val="374D2B76"/>
    <w:rsid w:val="375F5FB8"/>
    <w:rsid w:val="38A72875"/>
    <w:rsid w:val="39146928"/>
    <w:rsid w:val="3A1E5ACC"/>
    <w:rsid w:val="3AA543D1"/>
    <w:rsid w:val="3B2B1369"/>
    <w:rsid w:val="3BD95228"/>
    <w:rsid w:val="3F5443AF"/>
    <w:rsid w:val="40792F66"/>
    <w:rsid w:val="40996C84"/>
    <w:rsid w:val="41353D13"/>
    <w:rsid w:val="41507E5F"/>
    <w:rsid w:val="418662D0"/>
    <w:rsid w:val="435F75ED"/>
    <w:rsid w:val="441B2C49"/>
    <w:rsid w:val="443E4EC7"/>
    <w:rsid w:val="46BF55FB"/>
    <w:rsid w:val="46D54246"/>
    <w:rsid w:val="475865BF"/>
    <w:rsid w:val="48203F7D"/>
    <w:rsid w:val="483F24B0"/>
    <w:rsid w:val="49912361"/>
    <w:rsid w:val="4A537A00"/>
    <w:rsid w:val="4B3B0EA1"/>
    <w:rsid w:val="4C485C20"/>
    <w:rsid w:val="4C981D79"/>
    <w:rsid w:val="4F5B2940"/>
    <w:rsid w:val="535B7BE1"/>
    <w:rsid w:val="55A7268E"/>
    <w:rsid w:val="56195F11"/>
    <w:rsid w:val="57B70482"/>
    <w:rsid w:val="595200D7"/>
    <w:rsid w:val="5A9D3D1C"/>
    <w:rsid w:val="5AEA41BA"/>
    <w:rsid w:val="5BCF2736"/>
    <w:rsid w:val="5C1F1F8D"/>
    <w:rsid w:val="5DB9334F"/>
    <w:rsid w:val="5F214BCD"/>
    <w:rsid w:val="5FE714A3"/>
    <w:rsid w:val="62242F99"/>
    <w:rsid w:val="62A35132"/>
    <w:rsid w:val="632458F7"/>
    <w:rsid w:val="6476300E"/>
    <w:rsid w:val="65A428CA"/>
    <w:rsid w:val="66B86D54"/>
    <w:rsid w:val="696379FC"/>
    <w:rsid w:val="6ADC196F"/>
    <w:rsid w:val="6C185B13"/>
    <w:rsid w:val="6CB40765"/>
    <w:rsid w:val="6D0A477B"/>
    <w:rsid w:val="6D783D26"/>
    <w:rsid w:val="6DAF71E3"/>
    <w:rsid w:val="6EF47C3E"/>
    <w:rsid w:val="6F016E31"/>
    <w:rsid w:val="6FAA15CA"/>
    <w:rsid w:val="71AA6048"/>
    <w:rsid w:val="73AD1C57"/>
    <w:rsid w:val="74955F9E"/>
    <w:rsid w:val="75870FA8"/>
    <w:rsid w:val="767A1838"/>
    <w:rsid w:val="7A1E0725"/>
    <w:rsid w:val="7B5B0B5A"/>
    <w:rsid w:val="7C4F7C82"/>
    <w:rsid w:val="7C521476"/>
    <w:rsid w:val="7E26624C"/>
    <w:rsid w:val="7E8338F0"/>
    <w:rsid w:val="ED7FF838"/>
    <w:rsid w:val="F7F7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7"/>
    <w:qFormat/>
    <w:uiPriority w:val="0"/>
    <w:pPr>
      <w:spacing w:line="360" w:lineRule="auto"/>
    </w:pPr>
    <w:rPr>
      <w:b/>
      <w:bCs/>
      <w:sz w:val="24"/>
    </w:rPr>
  </w:style>
  <w:style w:type="paragraph" w:styleId="7">
    <w:name w:val="Body Text 2"/>
    <w:basedOn w:val="1"/>
    <w:qFormat/>
    <w:uiPriority w:val="0"/>
    <w:pPr>
      <w:spacing w:line="360" w:lineRule="auto"/>
    </w:pPr>
    <w:rPr>
      <w:sz w:val="24"/>
    </w:rPr>
  </w:style>
  <w:style w:type="paragraph" w:styleId="8">
    <w:name w:val="Body Text Indent"/>
    <w:basedOn w:val="1"/>
    <w:next w:val="9"/>
    <w:qFormat/>
    <w:uiPriority w:val="99"/>
    <w:pPr>
      <w:spacing w:line="360" w:lineRule="auto"/>
      <w:ind w:firstLine="420" w:firstLineChars="200"/>
    </w:pPr>
    <w:rPr>
      <w:rFonts w:ascii="Calibri" w:hAnsi="Calibri"/>
    </w:rPr>
  </w:style>
  <w:style w:type="paragraph" w:styleId="9">
    <w:name w:val="envelope return"/>
    <w:basedOn w:val="1"/>
    <w:qFormat/>
    <w:uiPriority w:val="99"/>
    <w:rPr>
      <w:rFonts w:ascii="Arial" w:hAnsi="Arial"/>
    </w:rPr>
  </w:style>
  <w:style w:type="paragraph" w:styleId="10">
    <w:name w:val="Block Text"/>
    <w:basedOn w:val="1"/>
    <w:qFormat/>
    <w:uiPriority w:val="0"/>
    <w:pPr>
      <w:tabs>
        <w:tab w:val="left" w:pos="426"/>
      </w:tabs>
      <w:spacing w:after="120"/>
      <w:ind w:left="1440" w:leftChars="700" w:right="1440" w:rightChars="7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10"/>
    <w:pPr>
      <w:spacing w:before="240" w:after="60"/>
      <w:jc w:val="center"/>
      <w:outlineLvl w:val="0"/>
    </w:pPr>
    <w:rPr>
      <w:rFonts w:ascii="等线 Light" w:hAnsi="等线 Light" w:eastAsia="宋体"/>
      <w:b/>
      <w:bCs/>
      <w:sz w:val="32"/>
      <w:szCs w:val="32"/>
    </w:rPr>
  </w:style>
  <w:style w:type="paragraph" w:styleId="15">
    <w:name w:val="Body Text First Indent 2"/>
    <w:basedOn w:val="8"/>
    <w:next w:val="1"/>
    <w:qFormat/>
    <w:uiPriority w:val="99"/>
    <w:pPr>
      <w:spacing w:after="120" w:line="240" w:lineRule="auto"/>
      <w:ind w:left="420" w:left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0000"/>
      <w:u w:val="none"/>
    </w:rPr>
  </w:style>
  <w:style w:type="character" w:styleId="20">
    <w:name w:val="Emphasis"/>
    <w:basedOn w:val="18"/>
    <w:qFormat/>
    <w:uiPriority w:val="0"/>
    <w:rPr>
      <w:sz w:val="22"/>
      <w:szCs w:val="22"/>
    </w:rPr>
  </w:style>
  <w:style w:type="character" w:styleId="21">
    <w:name w:val="Hyperlink"/>
    <w:basedOn w:val="18"/>
    <w:qFormat/>
    <w:uiPriority w:val="0"/>
    <w:rPr>
      <w:color w:val="000000"/>
      <w:u w:val="none"/>
    </w:rPr>
  </w:style>
  <w:style w:type="character" w:styleId="22">
    <w:name w:val="annotation reference"/>
    <w:basedOn w:val="18"/>
    <w:qFormat/>
    <w:uiPriority w:val="0"/>
    <w:rPr>
      <w:sz w:val="21"/>
      <w:szCs w:val="21"/>
    </w:rPr>
  </w:style>
  <w:style w:type="character" w:customStyle="1" w:styleId="23">
    <w:name w:val="treeicon"/>
    <w:basedOn w:val="18"/>
    <w:qFormat/>
    <w:uiPriority w:val="0"/>
  </w:style>
  <w:style w:type="character" w:customStyle="1" w:styleId="24">
    <w:name w:val="hover48"/>
    <w:basedOn w:val="18"/>
    <w:qFormat/>
    <w:uiPriority w:val="0"/>
    <w:rPr>
      <w:color w:val="FFFFFF"/>
      <w:shd w:val="clear" w:color="auto" w:fill="1091DB"/>
    </w:rPr>
  </w:style>
  <w:style w:type="character" w:customStyle="1" w:styleId="25">
    <w:name w:val="hover49"/>
    <w:basedOn w:val="18"/>
    <w:qFormat/>
    <w:uiPriority w:val="0"/>
    <w:rPr>
      <w:color w:val="FFFFFF"/>
      <w:shd w:val="clear" w:color="auto" w:fill="1091DB"/>
    </w:rPr>
  </w:style>
  <w:style w:type="character" w:customStyle="1" w:styleId="26">
    <w:name w:val="hover50"/>
    <w:basedOn w:val="18"/>
    <w:qFormat/>
    <w:uiPriority w:val="0"/>
    <w:rPr>
      <w:sz w:val="21"/>
      <w:szCs w:val="21"/>
    </w:rPr>
  </w:style>
  <w:style w:type="paragraph" w:customStyle="1" w:styleId="27">
    <w:name w:val="USE 1"/>
    <w:basedOn w:val="1"/>
    <w:qFormat/>
    <w:uiPriority w:val="0"/>
    <w:pPr>
      <w:spacing w:line="200" w:lineRule="atLeast"/>
      <w:jc w:val="left"/>
    </w:pPr>
    <w:rPr>
      <w:rFonts w:ascii="宋体" w:hAnsi="宋体"/>
      <w:b/>
      <w:sz w:val="24"/>
      <w:szCs w:val="28"/>
    </w:rPr>
  </w:style>
  <w:style w:type="character" w:customStyle="1" w:styleId="28">
    <w:name w:val="font21"/>
    <w:basedOn w:val="18"/>
    <w:qFormat/>
    <w:uiPriority w:val="0"/>
    <w:rPr>
      <w:rFonts w:hint="eastAsia" w:ascii="宋体" w:hAnsi="宋体" w:eastAsia="宋体" w:cs="宋体"/>
      <w:color w:val="000000"/>
      <w:sz w:val="20"/>
      <w:szCs w:val="20"/>
      <w:u w:val="none"/>
    </w:rPr>
  </w:style>
  <w:style w:type="paragraph" w:customStyle="1" w:styleId="29">
    <w:name w:val="List Paragraph*"/>
    <w:basedOn w:val="1"/>
    <w:qFormat/>
    <w:uiPriority w:val="0"/>
    <w:pPr>
      <w:ind w:firstLine="420"/>
    </w:pPr>
    <w:rPr>
      <w:color w:val="000000"/>
      <w:kern w:val="1"/>
      <w:szCs w:val="24"/>
    </w:rPr>
  </w:style>
  <w:style w:type="table" w:customStyle="1" w:styleId="30">
    <w:name w:val="Table Normal"/>
    <w:qFormat/>
    <w:uiPriority w:val="0"/>
    <w:tblPr>
      <w:tblCellMar>
        <w:top w:w="0" w:type="dxa"/>
        <w:left w:w="0" w:type="dxa"/>
        <w:bottom w:w="0" w:type="dxa"/>
        <w:right w:w="0" w:type="dxa"/>
      </w:tblCellMar>
    </w:tblPr>
  </w:style>
  <w:style w:type="character" w:customStyle="1" w:styleId="31">
    <w:name w:val="font71"/>
    <w:basedOn w:val="18"/>
    <w:qFormat/>
    <w:uiPriority w:val="0"/>
    <w:rPr>
      <w:rFonts w:hint="eastAsia" w:ascii="宋体" w:hAnsi="宋体" w:eastAsia="宋体" w:cs="宋体"/>
      <w:b/>
      <w:bCs/>
      <w:color w:val="00FF00"/>
      <w:sz w:val="20"/>
      <w:szCs w:val="20"/>
      <w:u w:val="none"/>
    </w:rPr>
  </w:style>
  <w:style w:type="character" w:customStyle="1" w:styleId="32">
    <w:name w:val="页眉 Char"/>
    <w:basedOn w:val="18"/>
    <w:link w:val="12"/>
    <w:qFormat/>
    <w:uiPriority w:val="0"/>
    <w:rPr>
      <w:rFonts w:ascii="等线" w:hAnsi="等线" w:eastAsia="等线"/>
      <w:kern w:val="2"/>
      <w:sz w:val="18"/>
      <w:szCs w:val="18"/>
    </w:rPr>
  </w:style>
  <w:style w:type="paragraph" w:customStyle="1" w:styleId="33">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cf01"/>
    <w:basedOn w:val="18"/>
    <w:qFormat/>
    <w:uiPriority w:val="0"/>
    <w:rPr>
      <w:rFonts w:hint="eastAsia" w:ascii="Microsoft YaHei UI" w:hAnsi="Microsoft YaHei UI" w:eastAsia="Microsoft YaHei UI"/>
      <w:sz w:val="18"/>
      <w:szCs w:val="18"/>
    </w:rPr>
  </w:style>
  <w:style w:type="paragraph" w:styleId="35">
    <w:name w:val="List Paragraph"/>
    <w:basedOn w:val="36"/>
    <w:qFormat/>
    <w:uiPriority w:val="34"/>
    <w:pPr>
      <w:ind w:firstLine="420" w:firstLineChars="200"/>
    </w:pPr>
    <w:rPr>
      <w:rFonts w:ascii="Calibri" w:hAnsi="Calibri" w:eastAsia="宋体" w:cs="宋体"/>
    </w:rPr>
  </w:style>
  <w:style w:type="paragraph" w:customStyle="1" w:styleId="36">
    <w:name w:val="星耀正文"/>
    <w:basedOn w:val="1"/>
    <w:qFormat/>
    <w:uiPriority w:val="3"/>
    <w:pPr>
      <w:ind w:firstLine="422" w:firstLineChars="200"/>
    </w:pPr>
    <w:rPr>
      <w:rFonts w:ascii="宋体" w:hAnsi="宋体" w:eastAsia="仿宋_GB2312"/>
      <w:bCs/>
    </w:rPr>
  </w:style>
  <w:style w:type="character" w:customStyle="1" w:styleId="37">
    <w:name w:val="font01"/>
    <w:basedOn w:val="18"/>
    <w:qFormat/>
    <w:uiPriority w:val="0"/>
    <w:rPr>
      <w:rFonts w:ascii="Arial" w:hAnsi="Arial" w:cs="Arial"/>
      <w:color w:val="000000"/>
      <w:sz w:val="24"/>
      <w:szCs w:val="24"/>
      <w:u w:val="none"/>
    </w:rPr>
  </w:style>
  <w:style w:type="character" w:customStyle="1" w:styleId="38">
    <w:name w:val="font31"/>
    <w:basedOn w:val="18"/>
    <w:qFormat/>
    <w:uiPriority w:val="0"/>
    <w:rPr>
      <w:rFonts w:hint="eastAsia" w:ascii="宋体" w:hAnsi="宋体" w:eastAsia="宋体" w:cs="宋体"/>
      <w:color w:val="000000"/>
      <w:sz w:val="24"/>
      <w:szCs w:val="24"/>
      <w:u w:val="none"/>
    </w:rPr>
  </w:style>
  <w:style w:type="character" w:customStyle="1" w:styleId="39">
    <w:name w:val="font51"/>
    <w:basedOn w:val="18"/>
    <w:qFormat/>
    <w:uiPriority w:val="0"/>
    <w:rPr>
      <w:rFonts w:ascii="Arial" w:hAnsi="Arial" w:cs="Arial"/>
      <w:color w:val="000000"/>
      <w:sz w:val="24"/>
      <w:szCs w:val="24"/>
      <w:u w:val="none"/>
    </w:rPr>
  </w:style>
  <w:style w:type="character" w:customStyle="1" w:styleId="40">
    <w:name w:val="font11"/>
    <w:basedOn w:val="18"/>
    <w:qFormat/>
    <w:uiPriority w:val="0"/>
    <w:rPr>
      <w:rFonts w:hint="eastAsia" w:ascii="宋体" w:hAnsi="宋体" w:eastAsia="宋体" w:cs="宋体"/>
      <w:color w:val="000000"/>
      <w:sz w:val="24"/>
      <w:szCs w:val="24"/>
      <w:u w:val="none"/>
    </w:r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4130</Words>
  <Characters>4428</Characters>
  <Paragraphs>211</Paragraphs>
  <TotalTime>3</TotalTime>
  <ScaleCrop>false</ScaleCrop>
  <LinksUpToDate>false</LinksUpToDate>
  <CharactersWithSpaces>4445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2022-11-04T05:49:00Z</dcterms:created>
  <dc:creator>006</dc:creator>
  <cp:lastModifiedBy>lxy</cp:lastModifiedBy>
  <cp:lastPrinted>2022-02-24T12:17:00Z</cp:lastPrinted>
  <dcterms:modified xsi:type="dcterms:W3CDTF">2026-04-02T16:48:59Z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48CACC0836A8C88C2158B56776AC4438</vt:lpwstr>
  </property>
</Properties>
</file>