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1CF3" w14:textId="77777777" w:rsidR="009D5DEA" w:rsidRDefault="00000000">
      <w:pPr>
        <w:spacing w:line="560" w:lineRule="exact"/>
        <w:rPr>
          <w:rFonts w:ascii="黑体" w:eastAsia="黑体" w:hAnsi="黑体" w:cs="黑体" w:hint="eastAsia"/>
          <w:bCs/>
        </w:rPr>
      </w:pPr>
      <w:r>
        <w:rPr>
          <w:rFonts w:ascii="黑体" w:eastAsia="黑体" w:hAnsi="黑体" w:cs="黑体" w:hint="eastAsia"/>
          <w:bCs/>
        </w:rPr>
        <w:t>附件1</w:t>
      </w:r>
    </w:p>
    <w:p w14:paraId="2FA8512C" w14:textId="77777777" w:rsidR="009D5DEA" w:rsidRDefault="009D5DEA">
      <w:pPr>
        <w:spacing w:line="560" w:lineRule="exact"/>
        <w:rPr>
          <w:rFonts w:ascii="宋体" w:eastAsia="宋体" w:hAnsi="宋体" w:hint="eastAsia"/>
          <w:bCs/>
          <w:sz w:val="44"/>
          <w:szCs w:val="44"/>
        </w:rPr>
      </w:pPr>
    </w:p>
    <w:p w14:paraId="673ED5FB" w14:textId="77777777" w:rsidR="009D5DEA" w:rsidRDefault="00000000">
      <w:pPr>
        <w:spacing w:after="0"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深圳市</w:t>
      </w:r>
      <w:proofErr w:type="gramStart"/>
      <w:r>
        <w:rPr>
          <w:rFonts w:ascii="方正小标宋简体" w:eastAsia="方正小标宋简体" w:hAnsi="方正小标宋简体" w:cs="方正小标宋简体" w:hint="eastAsia"/>
          <w:bCs/>
          <w:sz w:val="44"/>
          <w:szCs w:val="44"/>
        </w:rPr>
        <w:t>龙华区数字</w:t>
      </w:r>
      <w:proofErr w:type="gramEnd"/>
      <w:r>
        <w:rPr>
          <w:rFonts w:ascii="方正小标宋简体" w:eastAsia="方正小标宋简体" w:hAnsi="方正小标宋简体" w:cs="方正小标宋简体" w:hint="eastAsia"/>
          <w:bCs/>
          <w:sz w:val="44"/>
          <w:szCs w:val="44"/>
        </w:rPr>
        <w:t>政府建设</w:t>
      </w:r>
    </w:p>
    <w:p w14:paraId="70A3E595" w14:textId="77777777" w:rsidR="009D5DEA" w:rsidRDefault="00000000">
      <w:pPr>
        <w:spacing w:after="0"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第十五个五年规划</w:t>
      </w:r>
    </w:p>
    <w:p w14:paraId="5AAB7871" w14:textId="77777777" w:rsidR="009D5DEA" w:rsidRDefault="00000000">
      <w:pPr>
        <w:spacing w:after="0"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（征求意见稿）</w:t>
      </w:r>
    </w:p>
    <w:p w14:paraId="7F3875DE" w14:textId="77777777" w:rsidR="009D5DEA" w:rsidRDefault="009D5DEA">
      <w:pPr>
        <w:spacing w:line="579" w:lineRule="exact"/>
        <w:jc w:val="center"/>
        <w:rPr>
          <w:rFonts w:ascii="方正小标宋_GBK" w:eastAsia="方正小标宋_GBK" w:hAnsi="宋体" w:hint="eastAsia"/>
          <w:sz w:val="44"/>
          <w:szCs w:val="44"/>
        </w:rPr>
      </w:pPr>
    </w:p>
    <w:p w14:paraId="340EB84A" w14:textId="77777777" w:rsidR="009D5DEA" w:rsidRDefault="009D5DEA">
      <w:pPr>
        <w:spacing w:line="579" w:lineRule="exact"/>
        <w:jc w:val="center"/>
        <w:rPr>
          <w:rFonts w:ascii="方正小标宋_GBK" w:eastAsia="方正小标宋_GBK" w:hAnsi="宋体" w:hint="eastAsia"/>
          <w:sz w:val="44"/>
          <w:szCs w:val="44"/>
        </w:rPr>
      </w:pPr>
    </w:p>
    <w:p w14:paraId="33C0C56D" w14:textId="77777777" w:rsidR="009D5DEA" w:rsidRDefault="009D5DEA">
      <w:pPr>
        <w:spacing w:line="579" w:lineRule="exact"/>
        <w:jc w:val="center"/>
        <w:rPr>
          <w:rFonts w:ascii="方正小标宋_GBK" w:eastAsia="方正小标宋_GBK" w:hAnsi="宋体" w:hint="eastAsia"/>
          <w:sz w:val="44"/>
          <w:szCs w:val="44"/>
        </w:rPr>
      </w:pPr>
    </w:p>
    <w:p w14:paraId="0562B893" w14:textId="77777777" w:rsidR="009D5DEA" w:rsidRDefault="009D5DEA">
      <w:pPr>
        <w:spacing w:line="579" w:lineRule="exact"/>
        <w:jc w:val="center"/>
        <w:rPr>
          <w:rFonts w:ascii="方正小标宋_GBK" w:eastAsia="方正小标宋_GBK" w:hAnsi="宋体" w:hint="eastAsia"/>
          <w:sz w:val="44"/>
          <w:szCs w:val="44"/>
        </w:rPr>
      </w:pPr>
    </w:p>
    <w:p w14:paraId="374F87F0" w14:textId="77777777" w:rsidR="009D5DEA" w:rsidRDefault="009D5DEA">
      <w:pPr>
        <w:spacing w:line="579" w:lineRule="exact"/>
        <w:jc w:val="center"/>
        <w:rPr>
          <w:rFonts w:ascii="方正小标宋_GBK" w:eastAsia="方正小标宋_GBK" w:hAnsi="宋体" w:hint="eastAsia"/>
          <w:sz w:val="44"/>
          <w:szCs w:val="44"/>
        </w:rPr>
      </w:pPr>
    </w:p>
    <w:p w14:paraId="011EE64C" w14:textId="77777777" w:rsidR="009D5DEA" w:rsidRDefault="009D5DEA">
      <w:pPr>
        <w:spacing w:line="579" w:lineRule="exact"/>
        <w:jc w:val="center"/>
        <w:rPr>
          <w:rFonts w:ascii="方正小标宋_GBK" w:eastAsia="方正小标宋_GBK" w:hAnsi="宋体" w:hint="eastAsia"/>
          <w:sz w:val="44"/>
          <w:szCs w:val="44"/>
        </w:rPr>
      </w:pPr>
    </w:p>
    <w:p w14:paraId="19759880" w14:textId="77777777" w:rsidR="009D5DEA" w:rsidRDefault="009D5DEA">
      <w:pPr>
        <w:spacing w:line="579" w:lineRule="exact"/>
        <w:jc w:val="center"/>
        <w:rPr>
          <w:rFonts w:ascii="方正小标宋_GBK" w:eastAsia="方正小标宋_GBK" w:hAnsi="宋体" w:hint="eastAsia"/>
          <w:sz w:val="44"/>
          <w:szCs w:val="44"/>
        </w:rPr>
      </w:pPr>
    </w:p>
    <w:p w14:paraId="4F682464" w14:textId="77777777" w:rsidR="009D5DEA" w:rsidRDefault="009D5DEA">
      <w:pPr>
        <w:spacing w:line="579" w:lineRule="exact"/>
        <w:jc w:val="center"/>
        <w:rPr>
          <w:rFonts w:ascii="方正小标宋_GBK" w:eastAsia="方正小标宋_GBK" w:hAnsi="宋体" w:hint="eastAsia"/>
          <w:sz w:val="44"/>
          <w:szCs w:val="44"/>
        </w:rPr>
      </w:pPr>
    </w:p>
    <w:p w14:paraId="6948F704" w14:textId="77777777" w:rsidR="009D5DEA" w:rsidRDefault="009D5DEA">
      <w:pPr>
        <w:spacing w:line="579" w:lineRule="exact"/>
        <w:jc w:val="center"/>
        <w:rPr>
          <w:rFonts w:ascii="方正小标宋_GBK" w:eastAsia="方正小标宋_GBK" w:hAnsi="宋体" w:hint="eastAsia"/>
          <w:sz w:val="44"/>
          <w:szCs w:val="44"/>
        </w:rPr>
      </w:pPr>
    </w:p>
    <w:p w14:paraId="2F393F27" w14:textId="77777777" w:rsidR="009D5DEA" w:rsidRDefault="009D5DEA">
      <w:pPr>
        <w:spacing w:line="579" w:lineRule="exact"/>
        <w:rPr>
          <w:rFonts w:ascii="方正小标宋_GBK" w:eastAsia="方正小标宋_GBK" w:hAnsi="宋体" w:hint="eastAsia"/>
          <w:sz w:val="44"/>
          <w:szCs w:val="44"/>
        </w:rPr>
      </w:pPr>
    </w:p>
    <w:p w14:paraId="423887D2" w14:textId="77777777" w:rsidR="009D5DEA" w:rsidRDefault="009D5DEA">
      <w:pPr>
        <w:spacing w:line="579" w:lineRule="exact"/>
        <w:jc w:val="center"/>
        <w:rPr>
          <w:rFonts w:ascii="方正小标宋_GBK" w:eastAsia="方正小标宋_GBK" w:hAnsi="宋体" w:hint="eastAsia"/>
          <w:sz w:val="44"/>
          <w:szCs w:val="44"/>
        </w:rPr>
      </w:pPr>
    </w:p>
    <w:p w14:paraId="0DBF562A" w14:textId="77777777" w:rsidR="009D5DEA" w:rsidRDefault="009D5DEA">
      <w:pPr>
        <w:spacing w:line="579" w:lineRule="exact"/>
        <w:jc w:val="center"/>
        <w:rPr>
          <w:rFonts w:ascii="方正小标宋_GBK" w:eastAsia="方正小标宋_GBK" w:hAnsi="宋体" w:hint="eastAsia"/>
          <w:sz w:val="44"/>
          <w:szCs w:val="44"/>
        </w:rPr>
      </w:pPr>
    </w:p>
    <w:p w14:paraId="005938B1" w14:textId="77777777" w:rsidR="009D5DEA" w:rsidRDefault="00000000">
      <w:pPr>
        <w:widowControl/>
        <w:spacing w:after="0" w:line="560" w:lineRule="exact"/>
        <w:jc w:val="center"/>
        <w:rPr>
          <w:rFonts w:ascii="楷体_GB2312" w:eastAsia="楷体_GB2312" w:hAnsi="楷体_GB2312" w:cs="楷体_GB2312" w:hint="eastAsia"/>
        </w:rPr>
      </w:pPr>
      <w:r>
        <w:rPr>
          <w:rFonts w:ascii="楷体_GB2312" w:eastAsia="楷体_GB2312" w:hAnsi="楷体_GB2312" w:cs="楷体_GB2312" w:hint="eastAsia"/>
        </w:rPr>
        <w:t>深圳市</w:t>
      </w:r>
      <w:proofErr w:type="gramStart"/>
      <w:r>
        <w:rPr>
          <w:rFonts w:ascii="楷体_GB2312" w:eastAsia="楷体_GB2312" w:hAnsi="楷体_GB2312" w:cs="楷体_GB2312" w:hint="eastAsia"/>
        </w:rPr>
        <w:t>龙华区</w:t>
      </w:r>
      <w:proofErr w:type="gramEnd"/>
      <w:r>
        <w:rPr>
          <w:rFonts w:ascii="楷体_GB2312" w:eastAsia="楷体_GB2312" w:hAnsi="楷体_GB2312" w:cs="楷体_GB2312" w:hint="eastAsia"/>
        </w:rPr>
        <w:t>政务服务和数据管理局</w:t>
      </w:r>
    </w:p>
    <w:p w14:paraId="79E090F3" w14:textId="77777777" w:rsidR="009D5DEA" w:rsidRDefault="00000000">
      <w:pPr>
        <w:widowControl/>
        <w:spacing w:after="0" w:line="560" w:lineRule="exact"/>
        <w:jc w:val="center"/>
      </w:pPr>
      <w:r>
        <w:rPr>
          <w:rFonts w:ascii="楷体_GB2312" w:eastAsia="楷体_GB2312" w:hAnsi="楷体_GB2312" w:cs="楷体_GB2312" w:hint="eastAsia"/>
        </w:rPr>
        <w:t>二〇二六年三月</w:t>
      </w:r>
      <w:r>
        <w:br w:type="page"/>
      </w:r>
    </w:p>
    <w:sdt>
      <w:sdtPr>
        <w:rPr>
          <w:rFonts w:ascii="黑体" w:eastAsia="黑体" w:hAnsi="黑体" w:cs="Times New Roman"/>
          <w:color w:val="auto"/>
          <w:kern w:val="2"/>
          <w:sz w:val="36"/>
          <w:szCs w:val="36"/>
          <w:lang w:val="zh-CN"/>
        </w:rPr>
        <w:id w:val="1396698459"/>
        <w:docPartObj>
          <w:docPartGallery w:val="Table of Contents"/>
          <w:docPartUnique/>
        </w:docPartObj>
      </w:sdtPr>
      <w:sdtEndPr>
        <w:rPr>
          <w:rFonts w:ascii="Calibri" w:eastAsia="仿宋_GB2312" w:hAnsi="Calibri"/>
          <w:b/>
          <w:bCs/>
        </w:rPr>
      </w:sdtEndPr>
      <w:sdtContent>
        <w:p w14:paraId="3725B264" w14:textId="77777777" w:rsidR="009D5DEA" w:rsidRDefault="00000000">
          <w:pPr>
            <w:pStyle w:val="TOC20"/>
            <w:snapToGrid w:val="0"/>
            <w:spacing w:before="100" w:beforeAutospacing="1" w:after="100" w:afterAutospacing="1" w:line="240" w:lineRule="auto"/>
            <w:contextualSpacing/>
            <w:jc w:val="center"/>
            <w:rPr>
              <w:rFonts w:ascii="黑体" w:eastAsia="黑体" w:hAnsi="黑体" w:hint="eastAsia"/>
              <w:color w:val="auto"/>
              <w:sz w:val="36"/>
              <w:szCs w:val="36"/>
            </w:rPr>
          </w:pPr>
          <w:r>
            <w:rPr>
              <w:rFonts w:ascii="黑体" w:eastAsia="黑体" w:hAnsi="黑体" w:hint="eastAsia"/>
              <w:color w:val="auto"/>
              <w:sz w:val="36"/>
              <w:szCs w:val="36"/>
              <w:lang w:val="zh-CN"/>
            </w:rPr>
            <w:t>目</w:t>
          </w:r>
          <w:r>
            <w:rPr>
              <w:rFonts w:ascii="黑体" w:eastAsia="黑体" w:hAnsi="黑体" w:hint="eastAsia"/>
              <w:color w:val="auto"/>
              <w:sz w:val="36"/>
              <w:szCs w:val="36"/>
            </w:rPr>
            <w:t xml:space="preserve">  </w:t>
          </w:r>
          <w:r>
            <w:rPr>
              <w:rFonts w:ascii="黑体" w:eastAsia="黑体" w:hAnsi="黑体" w:hint="eastAsia"/>
              <w:color w:val="auto"/>
              <w:sz w:val="36"/>
              <w:szCs w:val="36"/>
              <w:lang w:val="zh-CN"/>
            </w:rPr>
            <w:t>录</w:t>
          </w:r>
        </w:p>
        <w:p w14:paraId="3C396EC9" w14:textId="77777777" w:rsidR="009D5DEA" w:rsidRDefault="00000000">
          <w:pPr>
            <w:pStyle w:val="TOC1"/>
            <w:tabs>
              <w:tab w:val="right" w:leader="dot" w:pos="8296"/>
            </w:tabs>
            <w:adjustRightInd w:val="0"/>
            <w:snapToGrid w:val="0"/>
            <w:spacing w:before="100" w:beforeAutospacing="1" w:after="100" w:afterAutospacing="1" w:line="240" w:lineRule="auto"/>
            <w:contextualSpacing/>
            <w:rPr>
              <w:rStyle w:val="af6"/>
              <w:rFonts w:ascii="黑体" w:eastAsia="黑体" w:hAnsi="黑体" w:cs="黑体" w:hint="eastAsia"/>
              <w:sz w:val="24"/>
            </w:rPr>
          </w:pPr>
          <w:r>
            <w:fldChar w:fldCharType="begin"/>
          </w:r>
          <w:r>
            <w:instrText xml:space="preserve"> TOC \o "1-3" \h \z \u </w:instrText>
          </w:r>
          <w:r>
            <w:fldChar w:fldCharType="separate"/>
          </w:r>
          <w:hyperlink w:anchor="_Toc220337754" w:history="1">
            <w:r>
              <w:rPr>
                <w:rStyle w:val="af6"/>
                <w:rFonts w:ascii="黑体" w:eastAsia="黑体" w:hAnsi="黑体" w:cs="黑体"/>
                <w:b w:val="0"/>
                <w:bCs w:val="0"/>
                <w:sz w:val="24"/>
                <w:szCs w:val="24"/>
              </w:rPr>
              <w:t>前  言</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_Toc220337754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1</w:t>
            </w:r>
            <w:r>
              <w:rPr>
                <w:rStyle w:val="af6"/>
                <w:rFonts w:ascii="黑体" w:eastAsia="黑体" w:hAnsi="黑体" w:cs="黑体"/>
                <w:b w:val="0"/>
                <w:bCs w:val="0"/>
                <w:sz w:val="24"/>
                <w:szCs w:val="24"/>
              </w:rPr>
              <w:fldChar w:fldCharType="end"/>
            </w:r>
          </w:hyperlink>
        </w:p>
        <w:p w14:paraId="025BE14D" w14:textId="77777777" w:rsidR="009D5DEA" w:rsidRDefault="00000000">
          <w:pPr>
            <w:pStyle w:val="TOC1"/>
            <w:tabs>
              <w:tab w:val="left" w:pos="630"/>
              <w:tab w:val="right" w:leader="dot" w:pos="8296"/>
            </w:tabs>
            <w:adjustRightInd w:val="0"/>
            <w:snapToGrid w:val="0"/>
            <w:spacing w:before="100" w:beforeAutospacing="1" w:after="0" w:line="240" w:lineRule="auto"/>
            <w:contextualSpacing/>
            <w:rPr>
              <w:rStyle w:val="af6"/>
              <w:rFonts w:ascii="黑体" w:eastAsia="黑体" w:hAnsi="黑体" w:cs="黑体" w:hint="eastAsia"/>
              <w:sz w:val="24"/>
            </w:rPr>
          </w:pPr>
          <w:hyperlink w:anchor="_Toc220337755" w:history="1">
            <w:r>
              <w:rPr>
                <w:rStyle w:val="af6"/>
                <w:rFonts w:ascii="黑体" w:eastAsia="黑体" w:hAnsi="黑体" w:cs="黑体"/>
                <w:b w:val="0"/>
                <w:bCs w:val="0"/>
                <w:sz w:val="24"/>
                <w:szCs w:val="24"/>
              </w:rPr>
              <w:t>一、</w:t>
            </w:r>
            <w:r>
              <w:rPr>
                <w:rStyle w:val="af6"/>
                <w:rFonts w:ascii="黑体" w:eastAsia="黑体" w:hAnsi="黑体" w:cs="黑体"/>
                <w:sz w:val="24"/>
              </w:rPr>
              <w:tab/>
            </w:r>
            <w:r>
              <w:rPr>
                <w:rStyle w:val="af6"/>
                <w:rFonts w:ascii="黑体" w:eastAsia="黑体" w:hAnsi="黑体" w:cs="黑体"/>
                <w:b w:val="0"/>
                <w:bCs w:val="0"/>
                <w:sz w:val="24"/>
                <w:szCs w:val="24"/>
              </w:rPr>
              <w:t>发展现状</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_Toc220337755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3</w:t>
            </w:r>
            <w:r>
              <w:rPr>
                <w:rStyle w:val="af6"/>
                <w:rFonts w:ascii="黑体" w:eastAsia="黑体" w:hAnsi="黑体" w:cs="黑体"/>
                <w:b w:val="0"/>
                <w:bCs w:val="0"/>
                <w:sz w:val="24"/>
                <w:szCs w:val="24"/>
              </w:rPr>
              <w:fldChar w:fldCharType="end"/>
            </w:r>
          </w:hyperlink>
        </w:p>
        <w:p w14:paraId="19DEF701"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56" w:history="1">
            <w:r>
              <w:rPr>
                <w:rStyle w:val="af6"/>
                <w:rFonts w:ascii="楷体_GB2312" w:eastAsia="楷体_GB2312" w:hAnsi="楷体_GB2312" w:cs="楷体_GB2312"/>
                <w:bCs/>
                <w:sz w:val="24"/>
                <w:szCs w:val="24"/>
              </w:rPr>
              <w:t>（一）</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建设成果</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_Toc220337756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3</w:t>
            </w:r>
            <w:r>
              <w:rPr>
                <w:rStyle w:val="af6"/>
                <w:rFonts w:ascii="楷体_GB2312" w:eastAsia="楷体_GB2312" w:hAnsi="楷体_GB2312" w:cs="楷体_GB2312"/>
                <w:bCs/>
                <w:sz w:val="24"/>
                <w:szCs w:val="24"/>
              </w:rPr>
              <w:fldChar w:fldCharType="end"/>
            </w:r>
          </w:hyperlink>
        </w:p>
        <w:p w14:paraId="19B6A567"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57" w:history="1">
            <w:r>
              <w:rPr>
                <w:rStyle w:val="af6"/>
                <w:rFonts w:ascii="楷体_GB2312" w:eastAsia="楷体_GB2312" w:hAnsi="楷体_GB2312" w:cs="楷体_GB2312"/>
                <w:bCs/>
                <w:sz w:val="24"/>
                <w:szCs w:val="24"/>
              </w:rPr>
              <w:t>（二）</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发展趋势</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_Toc220337757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5</w:t>
            </w:r>
            <w:r>
              <w:rPr>
                <w:rStyle w:val="af6"/>
                <w:rFonts w:ascii="楷体_GB2312" w:eastAsia="楷体_GB2312" w:hAnsi="楷体_GB2312" w:cs="楷体_GB2312"/>
                <w:bCs/>
                <w:sz w:val="24"/>
                <w:szCs w:val="24"/>
              </w:rPr>
              <w:fldChar w:fldCharType="end"/>
            </w:r>
          </w:hyperlink>
        </w:p>
        <w:p w14:paraId="0EF42834" w14:textId="77777777" w:rsidR="009D5DEA" w:rsidRDefault="00000000">
          <w:pPr>
            <w:pStyle w:val="TOC2"/>
            <w:adjustRightInd w:val="0"/>
            <w:snapToGrid w:val="0"/>
            <w:spacing w:after="0" w:line="240" w:lineRule="auto"/>
            <w:contextualSpacing/>
            <w:rPr>
              <w:rStyle w:val="af6"/>
              <w:rFonts w:ascii="楷体_GB2312" w:eastAsia="楷体_GB2312" w:hAnsi="楷体_GB2312" w:cs="楷体_GB2312" w:hint="eastAsia"/>
              <w:bCs/>
              <w:sz w:val="24"/>
              <w:szCs w:val="24"/>
            </w:rPr>
          </w:pPr>
          <w:hyperlink w:anchor="_Toc220337758" w:history="1">
            <w:r>
              <w:rPr>
                <w:rStyle w:val="af6"/>
                <w:rFonts w:ascii="楷体_GB2312" w:eastAsia="楷体_GB2312" w:hAnsi="楷体_GB2312" w:cs="楷体_GB2312"/>
                <w:bCs/>
                <w:sz w:val="24"/>
                <w:szCs w:val="24"/>
              </w:rPr>
              <w:t>（三）</w:t>
            </w:r>
            <w:r>
              <w:rPr>
                <w:rStyle w:val="af6"/>
                <w:rFonts w:ascii="楷体_GB2312" w:eastAsia="楷体_GB2312" w:hAnsi="楷体_GB2312" w:cs="楷体_GB2312"/>
                <w:bCs/>
                <w:sz w:val="24"/>
                <w:szCs w:val="24"/>
              </w:rPr>
              <w:tab/>
              <w:t>面临挑战</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_Toc220337758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7</w:t>
            </w:r>
            <w:r>
              <w:rPr>
                <w:rStyle w:val="af6"/>
                <w:rFonts w:ascii="楷体_GB2312" w:eastAsia="楷体_GB2312" w:hAnsi="楷体_GB2312" w:cs="楷体_GB2312"/>
                <w:bCs/>
                <w:sz w:val="24"/>
                <w:szCs w:val="24"/>
              </w:rPr>
              <w:fldChar w:fldCharType="end"/>
            </w:r>
          </w:hyperlink>
        </w:p>
        <w:p w14:paraId="47B706D1" w14:textId="77777777" w:rsidR="009D5DEA" w:rsidRDefault="00000000">
          <w:pPr>
            <w:pStyle w:val="TOC1"/>
            <w:tabs>
              <w:tab w:val="left" w:pos="630"/>
              <w:tab w:val="right" w:leader="dot" w:pos="8296"/>
            </w:tabs>
            <w:adjustRightInd w:val="0"/>
            <w:snapToGrid w:val="0"/>
            <w:spacing w:before="0" w:after="0" w:line="240" w:lineRule="auto"/>
            <w:contextualSpacing/>
            <w:rPr>
              <w:rStyle w:val="af6"/>
              <w:rFonts w:ascii="黑体" w:eastAsia="黑体" w:hAnsi="黑体" w:cs="黑体" w:hint="eastAsia"/>
              <w:sz w:val="24"/>
            </w:rPr>
          </w:pPr>
          <w:hyperlink w:anchor="_Toc220337759" w:history="1">
            <w:r>
              <w:rPr>
                <w:rStyle w:val="af6"/>
                <w:rFonts w:ascii="黑体" w:eastAsia="黑体" w:hAnsi="黑体" w:cs="黑体"/>
                <w:b w:val="0"/>
                <w:bCs w:val="0"/>
                <w:sz w:val="24"/>
                <w:szCs w:val="24"/>
              </w:rPr>
              <w:t>二、</w:t>
            </w:r>
            <w:r>
              <w:rPr>
                <w:rStyle w:val="af6"/>
                <w:rFonts w:ascii="黑体" w:eastAsia="黑体" w:hAnsi="黑体" w:cs="黑体"/>
                <w:sz w:val="24"/>
              </w:rPr>
              <w:tab/>
            </w:r>
            <w:r>
              <w:rPr>
                <w:rStyle w:val="af6"/>
                <w:rFonts w:ascii="黑体" w:eastAsia="黑体" w:hAnsi="黑体" w:cs="黑体"/>
                <w:b w:val="0"/>
                <w:bCs w:val="0"/>
                <w:sz w:val="24"/>
                <w:szCs w:val="24"/>
              </w:rPr>
              <w:t>总体思路</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_Toc220337759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8</w:t>
            </w:r>
            <w:r>
              <w:rPr>
                <w:rStyle w:val="af6"/>
                <w:rFonts w:ascii="黑体" w:eastAsia="黑体" w:hAnsi="黑体" w:cs="黑体"/>
                <w:b w:val="0"/>
                <w:bCs w:val="0"/>
                <w:sz w:val="24"/>
                <w:szCs w:val="24"/>
              </w:rPr>
              <w:fldChar w:fldCharType="end"/>
            </w:r>
          </w:hyperlink>
        </w:p>
        <w:p w14:paraId="538D550B"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60" w:history="1">
            <w:r>
              <w:rPr>
                <w:rStyle w:val="af6"/>
                <w:rFonts w:ascii="楷体_GB2312" w:eastAsia="楷体_GB2312" w:hAnsi="楷体_GB2312" w:cs="楷体_GB2312"/>
                <w:bCs/>
                <w:sz w:val="24"/>
                <w:szCs w:val="24"/>
              </w:rPr>
              <w:t>（一）</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指导思想</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_Toc220337760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8</w:t>
            </w:r>
            <w:r>
              <w:rPr>
                <w:rStyle w:val="af6"/>
                <w:rFonts w:ascii="楷体_GB2312" w:eastAsia="楷体_GB2312" w:hAnsi="楷体_GB2312" w:cs="楷体_GB2312"/>
                <w:bCs/>
                <w:sz w:val="24"/>
                <w:szCs w:val="24"/>
              </w:rPr>
              <w:fldChar w:fldCharType="end"/>
            </w:r>
          </w:hyperlink>
        </w:p>
        <w:p w14:paraId="70046E05"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61" w:history="1">
            <w:r>
              <w:rPr>
                <w:rStyle w:val="af6"/>
                <w:rFonts w:ascii="楷体_GB2312" w:eastAsia="楷体_GB2312" w:hAnsi="楷体_GB2312" w:cs="楷体_GB2312"/>
                <w:bCs/>
                <w:sz w:val="24"/>
                <w:szCs w:val="24"/>
              </w:rPr>
              <w:t>（二）</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基本原则</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_Toc220337761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9</w:t>
            </w:r>
            <w:r>
              <w:rPr>
                <w:rStyle w:val="af6"/>
                <w:rFonts w:ascii="楷体_GB2312" w:eastAsia="楷体_GB2312" w:hAnsi="楷体_GB2312" w:cs="楷体_GB2312"/>
                <w:bCs/>
                <w:sz w:val="24"/>
                <w:szCs w:val="24"/>
              </w:rPr>
              <w:fldChar w:fldCharType="end"/>
            </w:r>
          </w:hyperlink>
        </w:p>
        <w:p w14:paraId="74FDACA6"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62" w:history="1">
            <w:r>
              <w:rPr>
                <w:rStyle w:val="af6"/>
                <w:rFonts w:ascii="楷体_GB2312" w:eastAsia="楷体_GB2312" w:hAnsi="楷体_GB2312" w:cs="楷体_GB2312"/>
                <w:bCs/>
                <w:sz w:val="24"/>
                <w:szCs w:val="24"/>
              </w:rPr>
              <w:t>（三）</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建设目标</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_Toc220337762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10</w:t>
            </w:r>
            <w:r>
              <w:rPr>
                <w:rStyle w:val="af6"/>
                <w:rFonts w:ascii="楷体_GB2312" w:eastAsia="楷体_GB2312" w:hAnsi="楷体_GB2312" w:cs="楷体_GB2312"/>
                <w:bCs/>
                <w:sz w:val="24"/>
                <w:szCs w:val="24"/>
              </w:rPr>
              <w:fldChar w:fldCharType="end"/>
            </w:r>
          </w:hyperlink>
        </w:p>
        <w:p w14:paraId="42D55FCE" w14:textId="77777777" w:rsidR="009D5DEA" w:rsidRDefault="00000000">
          <w:pPr>
            <w:pStyle w:val="TOC2"/>
            <w:adjustRightInd w:val="0"/>
            <w:snapToGrid w:val="0"/>
            <w:spacing w:after="0" w:line="240" w:lineRule="auto"/>
            <w:contextualSpacing/>
            <w:rPr>
              <w:rStyle w:val="af6"/>
              <w:rFonts w:ascii="楷体_GB2312" w:eastAsia="楷体_GB2312" w:hAnsi="楷体_GB2312" w:cs="楷体_GB2312" w:hint="eastAsia"/>
              <w:bCs/>
              <w:sz w:val="24"/>
            </w:rPr>
          </w:pPr>
          <w:hyperlink w:anchor="_Toc220337763" w:history="1">
            <w:r>
              <w:rPr>
                <w:rStyle w:val="af6"/>
                <w:rFonts w:ascii="楷体_GB2312" w:eastAsia="楷体_GB2312" w:hAnsi="楷体_GB2312" w:cs="楷体_GB2312"/>
                <w:bCs/>
                <w:sz w:val="24"/>
                <w:szCs w:val="24"/>
              </w:rPr>
              <w:t>（四）</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框架体系</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_Toc220337763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14</w:t>
            </w:r>
            <w:r>
              <w:rPr>
                <w:rStyle w:val="af6"/>
                <w:rFonts w:ascii="楷体_GB2312" w:eastAsia="楷体_GB2312" w:hAnsi="楷体_GB2312" w:cs="楷体_GB2312"/>
                <w:bCs/>
                <w:sz w:val="24"/>
                <w:szCs w:val="24"/>
              </w:rPr>
              <w:fldChar w:fldCharType="end"/>
            </w:r>
          </w:hyperlink>
        </w:p>
        <w:p w14:paraId="0EC93349" w14:textId="77777777" w:rsidR="009D5DEA" w:rsidRDefault="00000000">
          <w:pPr>
            <w:pStyle w:val="TOC1"/>
            <w:tabs>
              <w:tab w:val="left" w:pos="630"/>
              <w:tab w:val="right" w:leader="dot" w:pos="8296"/>
            </w:tabs>
            <w:adjustRightInd w:val="0"/>
            <w:snapToGrid w:val="0"/>
            <w:spacing w:before="0" w:after="0" w:line="240" w:lineRule="auto"/>
            <w:contextualSpacing/>
            <w:rPr>
              <w:rStyle w:val="af6"/>
              <w:rFonts w:ascii="黑体" w:eastAsia="黑体" w:hAnsi="黑体" w:cs="黑体" w:hint="eastAsia"/>
              <w:b w:val="0"/>
              <w:bCs w:val="0"/>
              <w:sz w:val="24"/>
              <w:szCs w:val="24"/>
            </w:rPr>
          </w:pPr>
          <w:hyperlink w:anchor="_Toc220337764" w:history="1">
            <w:r>
              <w:rPr>
                <w:rStyle w:val="af6"/>
                <w:rFonts w:ascii="黑体" w:eastAsia="黑体" w:hAnsi="黑体" w:cs="黑体"/>
                <w:b w:val="0"/>
                <w:bCs w:val="0"/>
                <w:sz w:val="24"/>
                <w:szCs w:val="24"/>
              </w:rPr>
              <w:t>三、</w:t>
            </w:r>
            <w:r>
              <w:rPr>
                <w:rStyle w:val="af6"/>
                <w:rFonts w:ascii="黑体" w:eastAsia="黑体" w:hAnsi="黑体" w:cs="黑体"/>
                <w:b w:val="0"/>
                <w:bCs w:val="0"/>
                <w:sz w:val="24"/>
                <w:szCs w:val="24"/>
              </w:rPr>
              <w:tab/>
              <w:t>加强新型数字基建，筑牢智慧城市底座</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_Toc220337764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14</w:t>
            </w:r>
            <w:r>
              <w:rPr>
                <w:rStyle w:val="af6"/>
                <w:rFonts w:ascii="黑体" w:eastAsia="黑体" w:hAnsi="黑体" w:cs="黑体"/>
                <w:b w:val="0"/>
                <w:bCs w:val="0"/>
                <w:sz w:val="24"/>
                <w:szCs w:val="24"/>
              </w:rPr>
              <w:fldChar w:fldCharType="end"/>
            </w:r>
          </w:hyperlink>
        </w:p>
        <w:p w14:paraId="57C13C01"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65" w:history="1">
            <w:r>
              <w:rPr>
                <w:rStyle w:val="af6"/>
                <w:rFonts w:ascii="楷体_GB2312" w:eastAsia="楷体_GB2312" w:hAnsi="楷体_GB2312" w:cs="楷体_GB2312"/>
                <w:bCs/>
                <w:sz w:val="24"/>
                <w:szCs w:val="24"/>
              </w:rPr>
              <w:t>（一）</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完善新型数</w:t>
            </w:r>
            <w:r>
              <w:rPr>
                <w:rStyle w:val="af6"/>
                <w:rFonts w:ascii="楷体_GB2312" w:eastAsia="楷体_GB2312" w:hAnsi="楷体_GB2312" w:cs="楷体_GB2312" w:hint="eastAsia"/>
                <w:bCs/>
                <w:sz w:val="24"/>
                <w:szCs w:val="24"/>
              </w:rPr>
              <w:t>字</w:t>
            </w:r>
            <w:r>
              <w:rPr>
                <w:rStyle w:val="af6"/>
                <w:rFonts w:ascii="楷体_GB2312" w:eastAsia="楷体_GB2312" w:hAnsi="楷体_GB2312" w:cs="楷体_GB2312"/>
                <w:bCs/>
                <w:sz w:val="24"/>
                <w:szCs w:val="24"/>
              </w:rPr>
              <w:t>基础设施</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_Toc220337765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14</w:t>
            </w:r>
            <w:r>
              <w:rPr>
                <w:rStyle w:val="af6"/>
                <w:rFonts w:ascii="楷体_GB2312" w:eastAsia="楷体_GB2312" w:hAnsi="楷体_GB2312" w:cs="楷体_GB2312"/>
                <w:bCs/>
                <w:sz w:val="24"/>
                <w:szCs w:val="24"/>
              </w:rPr>
              <w:fldChar w:fldCharType="end"/>
            </w:r>
          </w:hyperlink>
        </w:p>
        <w:p w14:paraId="2B27CCF4" w14:textId="40D2B3F7"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66" w:history="1">
            <w:r w:rsidR="00000000">
              <w:rPr>
                <w:rStyle w:val="af6"/>
                <w:rFonts w:ascii="仿宋_GB2312" w:eastAsia="仿宋_GB2312" w:hAnsi="楷体_GB2312" w:cs="楷体_GB2312" w:hint="eastAsia"/>
                <w:bCs/>
                <w:sz w:val="24"/>
                <w:szCs w:val="24"/>
              </w:rPr>
              <w:t>1.建设数字城市“一张网”</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_Toc220337766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14</w:t>
            </w:r>
            <w:r w:rsidR="00000000">
              <w:rPr>
                <w:rStyle w:val="af6"/>
                <w:rFonts w:ascii="仿宋_GB2312" w:eastAsia="仿宋_GB2312" w:hAnsi="楷体_GB2312" w:cs="楷体_GB2312" w:hint="eastAsia"/>
                <w:bCs/>
                <w:sz w:val="24"/>
                <w:szCs w:val="24"/>
              </w:rPr>
              <w:fldChar w:fldCharType="end"/>
            </w:r>
          </w:hyperlink>
        </w:p>
        <w:p w14:paraId="30EE7745" w14:textId="7BED4C2E"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67" w:history="1">
            <w:r w:rsidR="00000000">
              <w:rPr>
                <w:rStyle w:val="af6"/>
                <w:rFonts w:ascii="仿宋_GB2312" w:eastAsia="仿宋_GB2312" w:hAnsi="楷体_GB2312" w:cs="楷体_GB2312" w:hint="eastAsia"/>
                <w:bCs/>
                <w:sz w:val="24"/>
                <w:szCs w:val="24"/>
              </w:rPr>
              <w:t>2.构建智算调度供给体系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_Toc220337767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16</w:t>
            </w:r>
            <w:r w:rsidR="00000000">
              <w:rPr>
                <w:rStyle w:val="af6"/>
                <w:rFonts w:ascii="仿宋_GB2312" w:eastAsia="仿宋_GB2312" w:hAnsi="楷体_GB2312" w:cs="楷体_GB2312" w:hint="eastAsia"/>
                <w:bCs/>
                <w:sz w:val="24"/>
                <w:szCs w:val="24"/>
              </w:rPr>
              <w:fldChar w:fldCharType="end"/>
            </w:r>
          </w:hyperlink>
        </w:p>
        <w:p w14:paraId="4762689C" w14:textId="15A9741B"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68" w:history="1">
            <w:r w:rsidR="00000000">
              <w:rPr>
                <w:rStyle w:val="af6"/>
                <w:rFonts w:ascii="仿宋_GB2312" w:eastAsia="仿宋_GB2312" w:hAnsi="楷体_GB2312" w:cs="楷体_GB2312" w:hint="eastAsia"/>
                <w:bCs/>
                <w:sz w:val="24"/>
                <w:szCs w:val="24"/>
              </w:rPr>
              <w:t>3.构建城区融合感知体系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_Toc220337768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17</w:t>
            </w:r>
            <w:r w:rsidR="00000000">
              <w:rPr>
                <w:rStyle w:val="af6"/>
                <w:rFonts w:ascii="仿宋_GB2312" w:eastAsia="仿宋_GB2312" w:hAnsi="楷体_GB2312" w:cs="楷体_GB2312" w:hint="eastAsia"/>
                <w:bCs/>
                <w:sz w:val="24"/>
                <w:szCs w:val="24"/>
              </w:rPr>
              <w:fldChar w:fldCharType="end"/>
            </w:r>
          </w:hyperlink>
        </w:p>
        <w:p w14:paraId="2553FAA5" w14:textId="08167832"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69" w:history="1">
            <w:r w:rsidR="00000000">
              <w:rPr>
                <w:rStyle w:val="af6"/>
                <w:rFonts w:ascii="仿宋_GB2312" w:eastAsia="仿宋_GB2312" w:hAnsi="楷体_GB2312" w:cs="楷体_GB2312" w:hint="eastAsia"/>
                <w:bCs/>
                <w:sz w:val="24"/>
                <w:szCs w:val="24"/>
              </w:rPr>
              <w:t>4.建设数据流通利用设施</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_Toc220337769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18</w:t>
            </w:r>
            <w:r w:rsidR="00000000">
              <w:rPr>
                <w:rStyle w:val="af6"/>
                <w:rFonts w:ascii="仿宋_GB2312" w:eastAsia="仿宋_GB2312" w:hAnsi="楷体_GB2312" w:cs="楷体_GB2312" w:hint="eastAsia"/>
                <w:bCs/>
                <w:sz w:val="24"/>
                <w:szCs w:val="24"/>
              </w:rPr>
              <w:fldChar w:fldCharType="end"/>
            </w:r>
          </w:hyperlink>
        </w:p>
        <w:p w14:paraId="21C35AD8" w14:textId="447029C4"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70" w:history="1">
            <w:r w:rsidR="00000000">
              <w:rPr>
                <w:rStyle w:val="af6"/>
                <w:rFonts w:ascii="仿宋_GB2312" w:eastAsia="仿宋_GB2312" w:hAnsi="楷体_GB2312" w:cs="楷体_GB2312" w:hint="eastAsia"/>
                <w:bCs/>
                <w:sz w:val="24"/>
                <w:szCs w:val="24"/>
              </w:rPr>
              <w:t>5.积极探索绿色数字设施</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_Toc220337770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20</w:t>
            </w:r>
            <w:r w:rsidR="00000000">
              <w:rPr>
                <w:rStyle w:val="af6"/>
                <w:rFonts w:ascii="仿宋_GB2312" w:eastAsia="仿宋_GB2312" w:hAnsi="楷体_GB2312" w:cs="楷体_GB2312" w:hint="eastAsia"/>
                <w:bCs/>
                <w:sz w:val="24"/>
                <w:szCs w:val="24"/>
              </w:rPr>
              <w:fldChar w:fldCharType="end"/>
            </w:r>
          </w:hyperlink>
        </w:p>
        <w:p w14:paraId="5E80CE35"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71" w:history="1">
            <w:r>
              <w:rPr>
                <w:rStyle w:val="af6"/>
                <w:rFonts w:ascii="楷体_GB2312" w:eastAsia="楷体_GB2312" w:hAnsi="楷体_GB2312" w:cs="楷体_GB2312"/>
                <w:bCs/>
                <w:sz w:val="24"/>
                <w:szCs w:val="24"/>
              </w:rPr>
              <w:t>（二）</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夯实数据要素价值化基础</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_Toc220337771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20</w:t>
            </w:r>
            <w:r>
              <w:rPr>
                <w:rStyle w:val="af6"/>
                <w:rFonts w:ascii="楷体_GB2312" w:eastAsia="楷体_GB2312" w:hAnsi="楷体_GB2312" w:cs="楷体_GB2312"/>
                <w:bCs/>
                <w:sz w:val="24"/>
                <w:szCs w:val="24"/>
              </w:rPr>
              <w:fldChar w:fldCharType="end"/>
            </w:r>
          </w:hyperlink>
        </w:p>
        <w:p w14:paraId="0E73BADF" w14:textId="2FBB1A0C"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r>
            <w:rPr>
              <w:rFonts w:hint="eastAsia"/>
            </w:rPr>
            <w:t xml:space="preserve"> </w:t>
          </w:r>
          <w:hyperlink w:anchor="_Toc220337772" w:history="1">
            <w:r w:rsidR="00000000">
              <w:rPr>
                <w:rStyle w:val="af6"/>
                <w:rFonts w:ascii="仿宋_GB2312" w:eastAsia="仿宋_GB2312" w:hAnsi="楷体_GB2312" w:cs="楷体_GB2312" w:hint="eastAsia"/>
                <w:bCs/>
                <w:sz w:val="24"/>
                <w:szCs w:val="24"/>
              </w:rPr>
              <w:t>1.建设数据资源管理体系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_Toc220337772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20</w:t>
            </w:r>
            <w:r w:rsidR="00000000">
              <w:rPr>
                <w:rStyle w:val="af6"/>
                <w:rFonts w:ascii="仿宋_GB2312" w:eastAsia="仿宋_GB2312" w:hAnsi="楷体_GB2312" w:cs="楷体_GB2312" w:hint="eastAsia"/>
                <w:bCs/>
                <w:sz w:val="24"/>
                <w:szCs w:val="24"/>
              </w:rPr>
              <w:fldChar w:fldCharType="end"/>
            </w:r>
          </w:hyperlink>
        </w:p>
        <w:p w14:paraId="08D4BAE8" w14:textId="6B4067F1"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73" w:history="1">
            <w:r w:rsidR="00000000">
              <w:rPr>
                <w:rStyle w:val="af6"/>
                <w:rFonts w:ascii="仿宋_GB2312" w:eastAsia="仿宋_GB2312" w:hAnsi="楷体_GB2312" w:cs="楷体_GB2312" w:hint="eastAsia"/>
                <w:bCs/>
                <w:sz w:val="24"/>
                <w:szCs w:val="24"/>
              </w:rPr>
              <w:t>2.完善数据服务标准体系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_Toc220337773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21</w:t>
            </w:r>
            <w:r w:rsidR="00000000">
              <w:rPr>
                <w:rStyle w:val="af6"/>
                <w:rFonts w:ascii="仿宋_GB2312" w:eastAsia="仿宋_GB2312" w:hAnsi="楷体_GB2312" w:cs="楷体_GB2312" w:hint="eastAsia"/>
                <w:bCs/>
                <w:sz w:val="24"/>
                <w:szCs w:val="24"/>
              </w:rPr>
              <w:fldChar w:fldCharType="end"/>
            </w:r>
          </w:hyperlink>
        </w:p>
        <w:p w14:paraId="64130B1B" w14:textId="3179CE13"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74" w:history="1">
            <w:r w:rsidR="00000000">
              <w:rPr>
                <w:rStyle w:val="af6"/>
                <w:rFonts w:ascii="仿宋_GB2312" w:eastAsia="仿宋_GB2312" w:hAnsi="楷体_GB2312" w:cs="楷体_GB2312" w:hint="eastAsia"/>
                <w:bCs/>
                <w:sz w:val="24"/>
                <w:szCs w:val="24"/>
              </w:rPr>
              <w:t>3.深化数据资源开发利用</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_Toc220337774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21</w:t>
            </w:r>
            <w:r w:rsidR="00000000">
              <w:rPr>
                <w:rStyle w:val="af6"/>
                <w:rFonts w:ascii="仿宋_GB2312" w:eastAsia="仿宋_GB2312" w:hAnsi="楷体_GB2312" w:cs="楷体_GB2312" w:hint="eastAsia"/>
                <w:bCs/>
                <w:sz w:val="24"/>
                <w:szCs w:val="24"/>
              </w:rPr>
              <w:fldChar w:fldCharType="end"/>
            </w:r>
          </w:hyperlink>
        </w:p>
        <w:p w14:paraId="499DE6D2" w14:textId="0DFB850C"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75" w:history="1">
            <w:r w:rsidR="00000000">
              <w:rPr>
                <w:rStyle w:val="af6"/>
                <w:rFonts w:ascii="仿宋_GB2312" w:eastAsia="仿宋_GB2312" w:hAnsi="楷体_GB2312" w:cs="楷体_GB2312" w:hint="eastAsia"/>
                <w:bCs/>
                <w:sz w:val="24"/>
                <w:szCs w:val="24"/>
              </w:rPr>
              <w:t>4.做优数据流通交易市场</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_Toc220337775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22</w:t>
            </w:r>
            <w:r w:rsidR="00000000">
              <w:rPr>
                <w:rStyle w:val="af6"/>
                <w:rFonts w:ascii="仿宋_GB2312" w:eastAsia="仿宋_GB2312" w:hAnsi="楷体_GB2312" w:cs="楷体_GB2312" w:hint="eastAsia"/>
                <w:bCs/>
                <w:sz w:val="24"/>
                <w:szCs w:val="24"/>
              </w:rPr>
              <w:fldChar w:fldCharType="end"/>
            </w:r>
          </w:hyperlink>
        </w:p>
        <w:p w14:paraId="49ACE23A" w14:textId="1789D7F1"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76" w:history="1">
            <w:r w:rsidR="00000000">
              <w:rPr>
                <w:rStyle w:val="af6"/>
                <w:rFonts w:ascii="仿宋_GB2312" w:eastAsia="仿宋_GB2312" w:hAnsi="楷体_GB2312" w:cs="楷体_GB2312" w:hint="eastAsia"/>
                <w:bCs/>
                <w:sz w:val="24"/>
                <w:szCs w:val="24"/>
              </w:rPr>
              <w:t>5.推动政务资源高效共享</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_Toc220337776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23</w:t>
            </w:r>
            <w:r w:rsidR="00000000">
              <w:rPr>
                <w:rStyle w:val="af6"/>
                <w:rFonts w:ascii="仿宋_GB2312" w:eastAsia="仿宋_GB2312" w:hAnsi="楷体_GB2312" w:cs="楷体_GB2312" w:hint="eastAsia"/>
                <w:bCs/>
                <w:sz w:val="24"/>
                <w:szCs w:val="24"/>
              </w:rPr>
              <w:fldChar w:fldCharType="end"/>
            </w:r>
          </w:hyperlink>
        </w:p>
        <w:p w14:paraId="086FA00B" w14:textId="1043E95A"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77" w:history="1">
            <w:r w:rsidR="00000000">
              <w:rPr>
                <w:rStyle w:val="af6"/>
                <w:rFonts w:ascii="仿宋_GB2312" w:eastAsia="仿宋_GB2312" w:hAnsi="楷体_GB2312" w:cs="楷体_GB2312" w:hint="eastAsia"/>
                <w:bCs/>
                <w:sz w:val="24"/>
                <w:szCs w:val="24"/>
              </w:rPr>
              <w:t>6.建设龙华高质量数据集</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_Toc220337777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24</w:t>
            </w:r>
            <w:r w:rsidR="00000000">
              <w:rPr>
                <w:rStyle w:val="af6"/>
                <w:rFonts w:ascii="仿宋_GB2312" w:eastAsia="仿宋_GB2312" w:hAnsi="楷体_GB2312" w:cs="楷体_GB2312" w:hint="eastAsia"/>
                <w:bCs/>
                <w:sz w:val="24"/>
                <w:szCs w:val="24"/>
              </w:rPr>
              <w:fldChar w:fldCharType="end"/>
            </w:r>
          </w:hyperlink>
        </w:p>
        <w:p w14:paraId="3D5B78B9"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78" w:history="1">
            <w:r>
              <w:rPr>
                <w:rStyle w:val="af6"/>
                <w:rFonts w:ascii="楷体_GB2312" w:eastAsia="楷体_GB2312" w:hAnsi="楷体_GB2312" w:cs="楷体_GB2312"/>
                <w:bCs/>
                <w:sz w:val="24"/>
                <w:szCs w:val="24"/>
              </w:rPr>
              <w:t>（三）</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构建数字空间安全体系</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_Toc220337778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26</w:t>
            </w:r>
            <w:r>
              <w:rPr>
                <w:rStyle w:val="af6"/>
                <w:rFonts w:ascii="楷体_GB2312" w:eastAsia="楷体_GB2312" w:hAnsi="楷体_GB2312" w:cs="楷体_GB2312"/>
                <w:bCs/>
                <w:sz w:val="24"/>
                <w:szCs w:val="24"/>
              </w:rPr>
              <w:fldChar w:fldCharType="end"/>
            </w:r>
          </w:hyperlink>
        </w:p>
        <w:p w14:paraId="793329EB" w14:textId="56BE4E47"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79" w:history="1">
            <w:r w:rsidR="00000000">
              <w:rPr>
                <w:rStyle w:val="af6"/>
                <w:rFonts w:ascii="仿宋_GB2312" w:eastAsia="仿宋_GB2312" w:hAnsi="楷体_GB2312" w:cs="楷体_GB2312" w:hint="eastAsia"/>
                <w:bCs/>
                <w:sz w:val="24"/>
                <w:szCs w:val="24"/>
              </w:rPr>
              <w:t>1.夯实智能基础设施安全底座</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_Toc220337779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26</w:t>
            </w:r>
            <w:r w:rsidR="00000000">
              <w:rPr>
                <w:rStyle w:val="af6"/>
                <w:rFonts w:ascii="仿宋_GB2312" w:eastAsia="仿宋_GB2312" w:hAnsi="楷体_GB2312" w:cs="楷体_GB2312" w:hint="eastAsia"/>
                <w:bCs/>
                <w:sz w:val="24"/>
                <w:szCs w:val="24"/>
              </w:rPr>
              <w:fldChar w:fldCharType="end"/>
            </w:r>
          </w:hyperlink>
        </w:p>
        <w:p w14:paraId="3ADC1EF9" w14:textId="3867EBD3"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0" w:history="1">
            <w:r w:rsidR="00000000">
              <w:rPr>
                <w:rStyle w:val="af6"/>
                <w:rFonts w:ascii="仿宋_GB2312" w:eastAsia="仿宋_GB2312" w:hAnsi="楷体_GB2312" w:cs="楷体_GB2312" w:hint="eastAsia"/>
                <w:bCs/>
                <w:sz w:val="24"/>
                <w:szCs w:val="24"/>
              </w:rPr>
              <w:t>2.筑牢关键信息基础设施防线</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_Toc220337780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26</w:t>
            </w:r>
            <w:r w:rsidR="00000000">
              <w:rPr>
                <w:rStyle w:val="af6"/>
                <w:rFonts w:ascii="仿宋_GB2312" w:eastAsia="仿宋_GB2312" w:hAnsi="楷体_GB2312" w:cs="楷体_GB2312" w:hint="eastAsia"/>
                <w:bCs/>
                <w:sz w:val="24"/>
                <w:szCs w:val="24"/>
              </w:rPr>
              <w:fldChar w:fldCharType="end"/>
            </w:r>
          </w:hyperlink>
        </w:p>
        <w:p w14:paraId="299D0103" w14:textId="06EBB5EF"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1" w:history="1">
            <w:r w:rsidR="00000000">
              <w:rPr>
                <w:rStyle w:val="af6"/>
                <w:rFonts w:ascii="仿宋_GB2312" w:eastAsia="仿宋_GB2312" w:hAnsi="楷体_GB2312" w:cs="楷体_GB2312" w:hint="eastAsia"/>
                <w:bCs/>
                <w:sz w:val="24"/>
                <w:szCs w:val="24"/>
              </w:rPr>
              <w:t>3.落实网络安全标准规范要求</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_Toc220337781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27</w:t>
            </w:r>
            <w:r w:rsidR="00000000">
              <w:rPr>
                <w:rStyle w:val="af6"/>
                <w:rFonts w:ascii="仿宋_GB2312" w:eastAsia="仿宋_GB2312" w:hAnsi="楷体_GB2312" w:cs="楷体_GB2312" w:hint="eastAsia"/>
                <w:bCs/>
                <w:sz w:val="24"/>
                <w:szCs w:val="24"/>
              </w:rPr>
              <w:fldChar w:fldCharType="end"/>
            </w:r>
          </w:hyperlink>
        </w:p>
        <w:p w14:paraId="073C9FAB" w14:textId="1641625F"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2" w:history="1">
            <w:r w:rsidR="00000000">
              <w:rPr>
                <w:rStyle w:val="af6"/>
                <w:rFonts w:ascii="仿宋_GB2312" w:eastAsia="仿宋_GB2312" w:hAnsi="楷体_GB2312" w:cs="楷体_GB2312" w:hint="eastAsia"/>
                <w:bCs/>
                <w:sz w:val="24"/>
                <w:szCs w:val="24"/>
              </w:rPr>
              <w:t>4.完善数据安全治理防护措施</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_Toc220337782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28</w:t>
            </w:r>
            <w:r w:rsidR="00000000">
              <w:rPr>
                <w:rStyle w:val="af6"/>
                <w:rFonts w:ascii="仿宋_GB2312" w:eastAsia="仿宋_GB2312" w:hAnsi="楷体_GB2312" w:cs="楷体_GB2312" w:hint="eastAsia"/>
                <w:bCs/>
                <w:sz w:val="24"/>
                <w:szCs w:val="24"/>
              </w:rPr>
              <w:fldChar w:fldCharType="end"/>
            </w:r>
          </w:hyperlink>
        </w:p>
        <w:p w14:paraId="3BC612DA" w14:textId="70D0F923"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3" w:history="1">
            <w:r w:rsidR="00000000">
              <w:rPr>
                <w:rStyle w:val="af6"/>
                <w:rFonts w:ascii="仿宋_GB2312" w:eastAsia="仿宋_GB2312" w:hAnsi="楷体_GB2312" w:cs="楷体_GB2312" w:hint="eastAsia"/>
                <w:bCs/>
                <w:sz w:val="24"/>
                <w:szCs w:val="24"/>
              </w:rPr>
              <w:t>5.强化数据隐私与合规保护</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_Toc220337783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29</w:t>
            </w:r>
            <w:r w:rsidR="00000000">
              <w:rPr>
                <w:rStyle w:val="af6"/>
                <w:rFonts w:ascii="仿宋_GB2312" w:eastAsia="仿宋_GB2312" w:hAnsi="楷体_GB2312" w:cs="楷体_GB2312" w:hint="eastAsia"/>
                <w:bCs/>
                <w:sz w:val="24"/>
                <w:szCs w:val="24"/>
              </w:rPr>
              <w:fldChar w:fldCharType="end"/>
            </w:r>
          </w:hyperlink>
        </w:p>
        <w:p w14:paraId="38CE03B9" w14:textId="77777777" w:rsidR="009D5DEA" w:rsidRDefault="00000000">
          <w:pPr>
            <w:pStyle w:val="TOC1"/>
            <w:tabs>
              <w:tab w:val="left" w:pos="630"/>
              <w:tab w:val="right" w:leader="dot" w:pos="8296"/>
            </w:tabs>
            <w:adjustRightInd w:val="0"/>
            <w:snapToGrid w:val="0"/>
            <w:spacing w:before="0" w:after="0" w:line="240" w:lineRule="auto"/>
            <w:contextualSpacing/>
            <w:rPr>
              <w:rStyle w:val="af6"/>
              <w:rFonts w:ascii="黑体" w:eastAsia="黑体" w:hAnsi="黑体" w:cs="黑体" w:hint="eastAsia"/>
              <w:b w:val="0"/>
              <w:bCs w:val="0"/>
              <w:sz w:val="24"/>
              <w:szCs w:val="24"/>
            </w:rPr>
          </w:pPr>
          <w:hyperlink w:anchor="_Toc220337784" w:history="1">
            <w:r>
              <w:rPr>
                <w:rStyle w:val="af6"/>
                <w:rFonts w:ascii="黑体" w:eastAsia="黑体" w:hAnsi="黑体" w:cs="黑体"/>
                <w:b w:val="0"/>
                <w:bCs w:val="0"/>
                <w:sz w:val="24"/>
                <w:szCs w:val="24"/>
              </w:rPr>
              <w:t>四、</w:t>
            </w:r>
            <w:r>
              <w:rPr>
                <w:rStyle w:val="af6"/>
                <w:rFonts w:ascii="黑体" w:eastAsia="黑体" w:hAnsi="黑体" w:cs="黑体"/>
                <w:b w:val="0"/>
                <w:bCs w:val="0"/>
                <w:sz w:val="24"/>
                <w:szCs w:val="24"/>
              </w:rPr>
              <w:tab/>
              <w:t>打造数</w:t>
            </w:r>
            <w:r>
              <w:rPr>
                <w:rStyle w:val="af6"/>
                <w:rFonts w:ascii="黑体" w:eastAsia="黑体" w:hAnsi="黑体" w:cs="黑体" w:hint="eastAsia"/>
                <w:b w:val="0"/>
                <w:bCs w:val="0"/>
                <w:sz w:val="24"/>
                <w:szCs w:val="24"/>
              </w:rPr>
              <w:t>智</w:t>
            </w:r>
            <w:r>
              <w:rPr>
                <w:rStyle w:val="af6"/>
                <w:rFonts w:ascii="黑体" w:eastAsia="黑体" w:hAnsi="黑体" w:cs="黑体"/>
                <w:b w:val="0"/>
                <w:bCs w:val="0"/>
                <w:sz w:val="24"/>
                <w:szCs w:val="24"/>
              </w:rPr>
              <w:t>发展中枢，夯实数智发展根基</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_Toc220337784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29</w:t>
            </w:r>
            <w:r>
              <w:rPr>
                <w:rStyle w:val="af6"/>
                <w:rFonts w:ascii="黑体" w:eastAsia="黑体" w:hAnsi="黑体" w:cs="黑体"/>
                <w:b w:val="0"/>
                <w:bCs w:val="0"/>
                <w:sz w:val="24"/>
                <w:szCs w:val="24"/>
              </w:rPr>
              <w:fldChar w:fldCharType="end"/>
            </w:r>
          </w:hyperlink>
        </w:p>
        <w:p w14:paraId="52719178"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85" w:history="1">
            <w:r>
              <w:rPr>
                <w:rStyle w:val="af6"/>
                <w:rFonts w:ascii="楷体_GB2312" w:eastAsia="楷体_GB2312" w:hAnsi="楷体_GB2312" w:cs="楷体_GB2312"/>
                <w:bCs/>
                <w:sz w:val="24"/>
                <w:szCs w:val="24"/>
              </w:rPr>
              <w:t>（一）</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强化数字孪生支撑体系</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_Toc220337785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29</w:t>
            </w:r>
            <w:r>
              <w:rPr>
                <w:rStyle w:val="af6"/>
                <w:rFonts w:ascii="楷体_GB2312" w:eastAsia="楷体_GB2312" w:hAnsi="楷体_GB2312" w:cs="楷体_GB2312"/>
                <w:bCs/>
                <w:sz w:val="24"/>
                <w:szCs w:val="24"/>
              </w:rPr>
              <w:fldChar w:fldCharType="end"/>
            </w:r>
          </w:hyperlink>
        </w:p>
        <w:p w14:paraId="69E68A73" w14:textId="7592B795"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6" w:history="1">
            <w:r w:rsidR="00000000">
              <w:rPr>
                <w:rStyle w:val="af6"/>
                <w:rFonts w:ascii="仿宋_GB2312" w:eastAsia="仿宋_GB2312" w:hAnsi="楷体_GB2312" w:cs="楷体_GB2312" w:hint="eastAsia"/>
                <w:bCs/>
                <w:sz w:val="24"/>
                <w:szCs w:val="24"/>
              </w:rPr>
              <w:t>1.深化全域全信创数字孪生</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_Toc220337786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29</w:t>
            </w:r>
            <w:r w:rsidR="00000000">
              <w:rPr>
                <w:rStyle w:val="af6"/>
                <w:rFonts w:ascii="仿宋_GB2312" w:eastAsia="仿宋_GB2312" w:hAnsi="楷体_GB2312" w:cs="楷体_GB2312" w:hint="eastAsia"/>
                <w:bCs/>
                <w:sz w:val="24"/>
                <w:szCs w:val="24"/>
              </w:rPr>
              <w:fldChar w:fldCharType="end"/>
            </w:r>
          </w:hyperlink>
        </w:p>
        <w:p w14:paraId="4C5A4028" w14:textId="3BEAC5E8"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7" w:history="1">
            <w:r w:rsidR="00000000">
              <w:rPr>
                <w:rStyle w:val="af6"/>
                <w:rFonts w:ascii="仿宋_GB2312" w:eastAsia="仿宋_GB2312" w:hAnsi="楷体_GB2312" w:cs="楷体_GB2312" w:hint="eastAsia"/>
                <w:bCs/>
                <w:sz w:val="24"/>
                <w:szCs w:val="24"/>
              </w:rPr>
              <w:t>2.构建龙华区时空信息底座</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_Toc220337787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30</w:t>
            </w:r>
            <w:r w:rsidR="00000000">
              <w:rPr>
                <w:rStyle w:val="af6"/>
                <w:rFonts w:ascii="仿宋_GB2312" w:eastAsia="仿宋_GB2312" w:hAnsi="楷体_GB2312" w:cs="楷体_GB2312" w:hint="eastAsia"/>
                <w:bCs/>
                <w:sz w:val="24"/>
                <w:szCs w:val="24"/>
              </w:rPr>
              <w:fldChar w:fldCharType="end"/>
            </w:r>
          </w:hyperlink>
        </w:p>
        <w:p w14:paraId="3D5C2B54" w14:textId="682A5C56"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8" w:history="1">
            <w:r w:rsidR="00000000">
              <w:rPr>
                <w:rStyle w:val="af6"/>
                <w:rFonts w:ascii="仿宋_GB2312" w:eastAsia="仿宋_GB2312" w:hAnsi="楷体_GB2312" w:cs="楷体_GB2312" w:hint="eastAsia"/>
                <w:bCs/>
                <w:sz w:val="24"/>
                <w:szCs w:val="24"/>
              </w:rPr>
              <w:t>3.打造自进化数字孪生引擎</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_Toc220337788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31</w:t>
            </w:r>
            <w:r w:rsidR="00000000">
              <w:rPr>
                <w:rStyle w:val="af6"/>
                <w:rFonts w:ascii="仿宋_GB2312" w:eastAsia="仿宋_GB2312" w:hAnsi="楷体_GB2312" w:cs="楷体_GB2312" w:hint="eastAsia"/>
                <w:bCs/>
                <w:sz w:val="24"/>
                <w:szCs w:val="24"/>
              </w:rPr>
              <w:fldChar w:fldCharType="end"/>
            </w:r>
          </w:hyperlink>
        </w:p>
        <w:p w14:paraId="13F70578" w14:textId="3E9D6D09"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89" w:history="1">
            <w:r w:rsidR="00000000">
              <w:rPr>
                <w:rStyle w:val="af6"/>
                <w:rFonts w:ascii="仿宋_GB2312" w:eastAsia="仿宋_GB2312" w:hAnsi="楷体_GB2312" w:cs="楷体_GB2312" w:hint="eastAsia"/>
                <w:bCs/>
                <w:sz w:val="24"/>
                <w:szCs w:val="24"/>
              </w:rPr>
              <w:t>4.深化平台数智化融合应用</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_Toc220337789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32</w:t>
            </w:r>
            <w:r w:rsidR="00000000">
              <w:rPr>
                <w:rStyle w:val="af6"/>
                <w:rFonts w:ascii="仿宋_GB2312" w:eastAsia="仿宋_GB2312" w:hAnsi="楷体_GB2312" w:cs="楷体_GB2312" w:hint="eastAsia"/>
                <w:bCs/>
                <w:sz w:val="24"/>
                <w:szCs w:val="24"/>
              </w:rPr>
              <w:fldChar w:fldCharType="end"/>
            </w:r>
          </w:hyperlink>
        </w:p>
        <w:p w14:paraId="069978CE"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90" w:history="1">
            <w:r>
              <w:rPr>
                <w:rStyle w:val="af6"/>
                <w:rFonts w:ascii="楷体_GB2312" w:eastAsia="楷体_GB2312" w:hAnsi="楷体_GB2312" w:cs="楷体_GB2312"/>
                <w:bCs/>
                <w:sz w:val="24"/>
                <w:szCs w:val="24"/>
              </w:rPr>
              <w:t>（二）</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构建人工智能发展体系</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_Toc220337790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33</w:t>
            </w:r>
            <w:r>
              <w:rPr>
                <w:rStyle w:val="af6"/>
                <w:rFonts w:ascii="楷体_GB2312" w:eastAsia="楷体_GB2312" w:hAnsi="楷体_GB2312" w:cs="楷体_GB2312"/>
                <w:bCs/>
                <w:sz w:val="24"/>
                <w:szCs w:val="24"/>
              </w:rPr>
              <w:fldChar w:fldCharType="end"/>
            </w:r>
          </w:hyperlink>
        </w:p>
        <w:p w14:paraId="48BC30C1" w14:textId="3AB28525"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91" w:history="1">
            <w:r w:rsidR="00000000">
              <w:rPr>
                <w:rStyle w:val="af6"/>
                <w:rFonts w:ascii="仿宋_GB2312" w:eastAsia="仿宋_GB2312" w:hAnsi="楷体_GB2312" w:cs="楷体_GB2312" w:hint="eastAsia"/>
                <w:bCs/>
                <w:sz w:val="24"/>
                <w:szCs w:val="24"/>
              </w:rPr>
              <w:t>1.健全“1+N”人工智能总框架</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_Toc220337791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33</w:t>
            </w:r>
            <w:r w:rsidR="00000000">
              <w:rPr>
                <w:rStyle w:val="af6"/>
                <w:rFonts w:ascii="仿宋_GB2312" w:eastAsia="仿宋_GB2312" w:hAnsi="楷体_GB2312" w:cs="楷体_GB2312" w:hint="eastAsia"/>
                <w:bCs/>
                <w:sz w:val="24"/>
                <w:szCs w:val="24"/>
              </w:rPr>
              <w:fldChar w:fldCharType="end"/>
            </w:r>
          </w:hyperlink>
        </w:p>
        <w:p w14:paraId="76A7459C" w14:textId="3965088C"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92" w:history="1">
            <w:r w:rsidR="00000000">
              <w:rPr>
                <w:rStyle w:val="af6"/>
                <w:rFonts w:ascii="仿宋_GB2312" w:eastAsia="仿宋_GB2312" w:hAnsi="楷体_GB2312" w:cs="楷体_GB2312" w:hint="eastAsia"/>
                <w:bCs/>
                <w:sz w:val="24"/>
                <w:szCs w:val="24"/>
              </w:rPr>
              <w:t>2.构建人工智能应用支撑体系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_Toc220337792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34</w:t>
            </w:r>
            <w:r w:rsidR="00000000">
              <w:rPr>
                <w:rStyle w:val="af6"/>
                <w:rFonts w:ascii="仿宋_GB2312" w:eastAsia="仿宋_GB2312" w:hAnsi="楷体_GB2312" w:cs="楷体_GB2312" w:hint="eastAsia"/>
                <w:bCs/>
                <w:sz w:val="24"/>
                <w:szCs w:val="24"/>
              </w:rPr>
              <w:fldChar w:fldCharType="end"/>
            </w:r>
          </w:hyperlink>
        </w:p>
        <w:p w14:paraId="0A266849" w14:textId="005AFD6E"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93" w:history="1">
            <w:r w:rsidR="00000000">
              <w:rPr>
                <w:rStyle w:val="af6"/>
                <w:rFonts w:ascii="仿宋_GB2312" w:eastAsia="仿宋_GB2312" w:hAnsi="楷体_GB2312" w:cs="楷体_GB2312" w:hint="eastAsia"/>
                <w:bCs/>
                <w:sz w:val="24"/>
                <w:szCs w:val="24"/>
              </w:rPr>
              <w:t>3.拓展人工智能创新应用场景</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_Toc220337793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36</w:t>
            </w:r>
            <w:r w:rsidR="00000000">
              <w:rPr>
                <w:rStyle w:val="af6"/>
                <w:rFonts w:ascii="仿宋_GB2312" w:eastAsia="仿宋_GB2312" w:hAnsi="楷体_GB2312" w:cs="楷体_GB2312" w:hint="eastAsia"/>
                <w:bCs/>
                <w:sz w:val="24"/>
                <w:szCs w:val="24"/>
              </w:rPr>
              <w:fldChar w:fldCharType="end"/>
            </w:r>
          </w:hyperlink>
        </w:p>
        <w:p w14:paraId="7E7B80AC" w14:textId="77777777" w:rsidR="009D5DEA" w:rsidRDefault="00000000">
          <w:pPr>
            <w:pStyle w:val="TOC1"/>
            <w:tabs>
              <w:tab w:val="left" w:pos="630"/>
              <w:tab w:val="right" w:leader="dot" w:pos="8296"/>
            </w:tabs>
            <w:adjustRightInd w:val="0"/>
            <w:snapToGrid w:val="0"/>
            <w:spacing w:before="0" w:after="0" w:line="240" w:lineRule="auto"/>
            <w:contextualSpacing/>
            <w:rPr>
              <w:rStyle w:val="af6"/>
              <w:rFonts w:ascii="黑体" w:eastAsia="黑体" w:hAnsi="黑体" w:cs="黑体" w:hint="eastAsia"/>
              <w:b w:val="0"/>
              <w:bCs w:val="0"/>
              <w:sz w:val="24"/>
              <w:szCs w:val="24"/>
            </w:rPr>
          </w:pPr>
          <w:hyperlink w:anchor="_Toc220337794" w:history="1">
            <w:r>
              <w:rPr>
                <w:rStyle w:val="af6"/>
                <w:rFonts w:ascii="黑体" w:eastAsia="黑体" w:hAnsi="黑体" w:cs="黑体"/>
                <w:b w:val="0"/>
                <w:bCs w:val="0"/>
                <w:sz w:val="24"/>
                <w:szCs w:val="24"/>
              </w:rPr>
              <w:t>五、</w:t>
            </w:r>
            <w:r>
              <w:rPr>
                <w:rStyle w:val="af6"/>
                <w:rFonts w:ascii="黑体" w:eastAsia="黑体" w:hAnsi="黑体" w:cs="黑体"/>
                <w:b w:val="0"/>
                <w:bCs w:val="0"/>
                <w:sz w:val="24"/>
                <w:szCs w:val="24"/>
              </w:rPr>
              <w:tab/>
              <w:t>赋能智慧应用创新，打造数智示范高地</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_Toc220337794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37</w:t>
            </w:r>
            <w:r>
              <w:rPr>
                <w:rStyle w:val="af6"/>
                <w:rFonts w:ascii="黑体" w:eastAsia="黑体" w:hAnsi="黑体" w:cs="黑体"/>
                <w:b w:val="0"/>
                <w:bCs w:val="0"/>
                <w:sz w:val="24"/>
                <w:szCs w:val="24"/>
              </w:rPr>
              <w:fldChar w:fldCharType="end"/>
            </w:r>
          </w:hyperlink>
        </w:p>
        <w:p w14:paraId="6304439D"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95" w:history="1">
            <w:r>
              <w:rPr>
                <w:rStyle w:val="af6"/>
                <w:rFonts w:ascii="楷体_GB2312" w:eastAsia="楷体_GB2312" w:hAnsi="楷体_GB2312" w:cs="楷体_GB2312"/>
                <w:bCs/>
                <w:sz w:val="24"/>
                <w:szCs w:val="24"/>
              </w:rPr>
              <w:t>（一）</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培育经济发展新动能</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_Toc220337795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37</w:t>
            </w:r>
            <w:r>
              <w:rPr>
                <w:rStyle w:val="af6"/>
                <w:rFonts w:ascii="楷体_GB2312" w:eastAsia="楷体_GB2312" w:hAnsi="楷体_GB2312" w:cs="楷体_GB2312"/>
                <w:bCs/>
                <w:sz w:val="24"/>
                <w:szCs w:val="24"/>
              </w:rPr>
              <w:fldChar w:fldCharType="end"/>
            </w:r>
          </w:hyperlink>
        </w:p>
        <w:p w14:paraId="35A2C510" w14:textId="58024D89"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lastRenderedPageBreak/>
            <w:t xml:space="preserve">              </w:t>
          </w:r>
          <w:hyperlink w:anchor="_Toc220337796" w:history="1">
            <w:r w:rsidR="00000000">
              <w:rPr>
                <w:rStyle w:val="af6"/>
                <w:rFonts w:ascii="仿宋_GB2312" w:eastAsia="仿宋_GB2312" w:hAnsi="楷体_GB2312" w:cs="楷体_GB2312" w:hint="eastAsia"/>
                <w:bCs/>
                <w:sz w:val="24"/>
                <w:szCs w:val="24"/>
              </w:rPr>
              <w:t>1.深化“数据要素×”行动</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_Toc220337796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37</w:t>
            </w:r>
            <w:r w:rsidR="00000000">
              <w:rPr>
                <w:rStyle w:val="af6"/>
                <w:rFonts w:ascii="仿宋_GB2312" w:eastAsia="仿宋_GB2312" w:hAnsi="楷体_GB2312" w:cs="楷体_GB2312" w:hint="eastAsia"/>
                <w:bCs/>
                <w:sz w:val="24"/>
                <w:szCs w:val="24"/>
              </w:rPr>
              <w:fldChar w:fldCharType="end"/>
            </w:r>
          </w:hyperlink>
        </w:p>
        <w:p w14:paraId="406EC749" w14:textId="5D895841"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97" w:history="1">
            <w:r w:rsidR="00000000">
              <w:rPr>
                <w:rStyle w:val="af6"/>
                <w:rFonts w:ascii="仿宋_GB2312" w:eastAsia="仿宋_GB2312" w:hAnsi="楷体_GB2312" w:cs="楷体_GB2312" w:hint="eastAsia"/>
                <w:bCs/>
                <w:sz w:val="24"/>
                <w:szCs w:val="24"/>
              </w:rPr>
              <w:t>2.拓展数据要素市场生态</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_Toc220337797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38</w:t>
            </w:r>
            <w:r w:rsidR="00000000">
              <w:rPr>
                <w:rStyle w:val="af6"/>
                <w:rFonts w:ascii="仿宋_GB2312" w:eastAsia="仿宋_GB2312" w:hAnsi="楷体_GB2312" w:cs="楷体_GB2312" w:hint="eastAsia"/>
                <w:bCs/>
                <w:sz w:val="24"/>
                <w:szCs w:val="24"/>
              </w:rPr>
              <w:fldChar w:fldCharType="end"/>
            </w:r>
          </w:hyperlink>
        </w:p>
        <w:p w14:paraId="74E01881"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798" w:history="1">
            <w:r>
              <w:rPr>
                <w:rStyle w:val="af6"/>
                <w:rFonts w:ascii="楷体_GB2312" w:eastAsia="楷体_GB2312" w:hAnsi="楷体_GB2312" w:cs="楷体_GB2312"/>
                <w:bCs/>
                <w:sz w:val="24"/>
                <w:szCs w:val="24"/>
              </w:rPr>
              <w:t>（二）</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打造基层治理新模式</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_Toc220337798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40</w:t>
            </w:r>
            <w:r>
              <w:rPr>
                <w:rStyle w:val="af6"/>
                <w:rFonts w:ascii="楷体_GB2312" w:eastAsia="楷体_GB2312" w:hAnsi="楷体_GB2312" w:cs="楷体_GB2312"/>
                <w:bCs/>
                <w:sz w:val="24"/>
                <w:szCs w:val="24"/>
              </w:rPr>
              <w:fldChar w:fldCharType="end"/>
            </w:r>
          </w:hyperlink>
        </w:p>
        <w:p w14:paraId="5418F6A9" w14:textId="64BA154C"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799" w:history="1">
            <w:r w:rsidR="00000000">
              <w:rPr>
                <w:rStyle w:val="af6"/>
                <w:rFonts w:ascii="仿宋_GB2312" w:eastAsia="仿宋_GB2312" w:hAnsi="楷体_GB2312" w:cs="楷体_GB2312" w:hint="eastAsia"/>
                <w:bCs/>
                <w:sz w:val="24"/>
                <w:szCs w:val="24"/>
              </w:rPr>
              <w:t>1.构建智慧高效治理体系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_Toc220337799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40</w:t>
            </w:r>
            <w:r w:rsidR="00000000">
              <w:rPr>
                <w:rStyle w:val="af6"/>
                <w:rFonts w:ascii="仿宋_GB2312" w:eastAsia="仿宋_GB2312" w:hAnsi="楷体_GB2312" w:cs="楷体_GB2312" w:hint="eastAsia"/>
                <w:bCs/>
                <w:sz w:val="24"/>
                <w:szCs w:val="24"/>
              </w:rPr>
              <w:fldChar w:fldCharType="end"/>
            </w:r>
          </w:hyperlink>
        </w:p>
        <w:p w14:paraId="5CBB9D84" w14:textId="01B76349"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0" w:history="1">
            <w:r w:rsidR="00000000">
              <w:rPr>
                <w:rStyle w:val="af6"/>
                <w:rFonts w:ascii="仿宋_GB2312" w:eastAsia="仿宋_GB2312" w:hAnsi="楷体_GB2312" w:cs="楷体_GB2312" w:hint="eastAsia"/>
                <w:bCs/>
                <w:sz w:val="24"/>
                <w:szCs w:val="24"/>
              </w:rPr>
              <w:t>2.优化数字营商环境体系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_Toc220337800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41</w:t>
            </w:r>
            <w:r w:rsidR="00000000">
              <w:rPr>
                <w:rStyle w:val="af6"/>
                <w:rFonts w:ascii="仿宋_GB2312" w:eastAsia="仿宋_GB2312" w:hAnsi="楷体_GB2312" w:cs="楷体_GB2312" w:hint="eastAsia"/>
                <w:bCs/>
                <w:sz w:val="24"/>
                <w:szCs w:val="24"/>
              </w:rPr>
              <w:fldChar w:fldCharType="end"/>
            </w:r>
          </w:hyperlink>
        </w:p>
        <w:p w14:paraId="2496AEEA" w14:textId="69FD96C9"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1" w:history="1">
            <w:r w:rsidR="00000000">
              <w:rPr>
                <w:rStyle w:val="af6"/>
                <w:rFonts w:ascii="仿宋_GB2312" w:eastAsia="仿宋_GB2312" w:hAnsi="楷体_GB2312" w:cs="楷体_GB2312" w:hint="eastAsia"/>
                <w:bCs/>
                <w:sz w:val="24"/>
                <w:szCs w:val="24"/>
              </w:rPr>
              <w:t>3.健全机关智慧运行体系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_Toc220337801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42</w:t>
            </w:r>
            <w:r w:rsidR="00000000">
              <w:rPr>
                <w:rStyle w:val="af6"/>
                <w:rFonts w:ascii="仿宋_GB2312" w:eastAsia="仿宋_GB2312" w:hAnsi="楷体_GB2312" w:cs="楷体_GB2312" w:hint="eastAsia"/>
                <w:bCs/>
                <w:sz w:val="24"/>
                <w:szCs w:val="24"/>
              </w:rPr>
              <w:fldChar w:fldCharType="end"/>
            </w:r>
          </w:hyperlink>
        </w:p>
        <w:p w14:paraId="43C1184E" w14:textId="0E4BD4C1"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2" w:history="1">
            <w:r w:rsidR="00000000">
              <w:rPr>
                <w:rStyle w:val="af6"/>
                <w:rFonts w:ascii="仿宋_GB2312" w:eastAsia="仿宋_GB2312" w:hAnsi="楷体_GB2312" w:cs="楷体_GB2312" w:hint="eastAsia"/>
                <w:bCs/>
                <w:sz w:val="24"/>
                <w:szCs w:val="24"/>
              </w:rPr>
              <w:t>4.完善基层智慧治理能力</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_Toc220337802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43</w:t>
            </w:r>
            <w:r w:rsidR="00000000">
              <w:rPr>
                <w:rStyle w:val="af6"/>
                <w:rFonts w:ascii="仿宋_GB2312" w:eastAsia="仿宋_GB2312" w:hAnsi="楷体_GB2312" w:cs="楷体_GB2312" w:hint="eastAsia"/>
                <w:bCs/>
                <w:sz w:val="24"/>
                <w:szCs w:val="24"/>
              </w:rPr>
              <w:fldChar w:fldCharType="end"/>
            </w:r>
          </w:hyperlink>
        </w:p>
        <w:p w14:paraId="61CE453F"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03" w:history="1">
            <w:r>
              <w:rPr>
                <w:rStyle w:val="af6"/>
                <w:rFonts w:ascii="楷体_GB2312" w:eastAsia="楷体_GB2312" w:hAnsi="楷体_GB2312" w:cs="楷体_GB2312"/>
                <w:bCs/>
                <w:sz w:val="24"/>
                <w:szCs w:val="24"/>
              </w:rPr>
              <w:t>（三）</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拓展城区建设新场景</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_Toc220337803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44</w:t>
            </w:r>
            <w:r>
              <w:rPr>
                <w:rStyle w:val="af6"/>
                <w:rFonts w:ascii="楷体_GB2312" w:eastAsia="楷体_GB2312" w:hAnsi="楷体_GB2312" w:cs="楷体_GB2312"/>
                <w:bCs/>
                <w:sz w:val="24"/>
                <w:szCs w:val="24"/>
              </w:rPr>
              <w:fldChar w:fldCharType="end"/>
            </w:r>
          </w:hyperlink>
        </w:p>
        <w:p w14:paraId="414364B8" w14:textId="1F4395E7"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4" w:history="1">
            <w:r w:rsidR="00000000">
              <w:rPr>
                <w:rStyle w:val="af6"/>
                <w:rFonts w:ascii="仿宋_GB2312" w:eastAsia="仿宋_GB2312" w:hAnsi="楷体_GB2312" w:cs="楷体_GB2312" w:hint="eastAsia"/>
                <w:bCs/>
                <w:sz w:val="24"/>
                <w:szCs w:val="24"/>
              </w:rPr>
              <w:t>1.拓展数字孪生场景应用</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_Toc220337804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44</w:t>
            </w:r>
            <w:r w:rsidR="00000000">
              <w:rPr>
                <w:rStyle w:val="af6"/>
                <w:rFonts w:ascii="仿宋_GB2312" w:eastAsia="仿宋_GB2312" w:hAnsi="楷体_GB2312" w:cs="楷体_GB2312" w:hint="eastAsia"/>
                <w:bCs/>
                <w:sz w:val="24"/>
                <w:szCs w:val="24"/>
              </w:rPr>
              <w:fldChar w:fldCharType="end"/>
            </w:r>
          </w:hyperlink>
        </w:p>
        <w:p w14:paraId="517BB0B9" w14:textId="6885296A"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5" w:history="1">
            <w:r w:rsidR="00000000">
              <w:rPr>
                <w:rStyle w:val="af6"/>
                <w:rFonts w:ascii="仿宋_GB2312" w:eastAsia="仿宋_GB2312" w:hAnsi="楷体_GB2312" w:cs="楷体_GB2312" w:hint="eastAsia"/>
                <w:bCs/>
                <w:sz w:val="24"/>
                <w:szCs w:val="24"/>
              </w:rPr>
              <w:t>2.培育数字孪生产业生态</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_Toc220337805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45</w:t>
            </w:r>
            <w:r w:rsidR="00000000">
              <w:rPr>
                <w:rStyle w:val="af6"/>
                <w:rFonts w:ascii="仿宋_GB2312" w:eastAsia="仿宋_GB2312" w:hAnsi="楷体_GB2312" w:cs="楷体_GB2312" w:hint="eastAsia"/>
                <w:bCs/>
                <w:sz w:val="24"/>
                <w:szCs w:val="24"/>
              </w:rPr>
              <w:fldChar w:fldCharType="end"/>
            </w:r>
          </w:hyperlink>
        </w:p>
        <w:p w14:paraId="113786CC" w14:textId="2A1668F5"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6" w:history="1">
            <w:r w:rsidR="00000000">
              <w:rPr>
                <w:rStyle w:val="af6"/>
                <w:rFonts w:ascii="仿宋_GB2312" w:eastAsia="仿宋_GB2312" w:hAnsi="楷体_GB2312" w:cs="楷体_GB2312" w:hint="eastAsia"/>
                <w:bCs/>
                <w:sz w:val="24"/>
                <w:szCs w:val="24"/>
              </w:rPr>
              <w:t>3.建设美丽宜居数字城区</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_Toc220337806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46</w:t>
            </w:r>
            <w:r w:rsidR="00000000">
              <w:rPr>
                <w:rStyle w:val="af6"/>
                <w:rFonts w:ascii="仿宋_GB2312" w:eastAsia="仿宋_GB2312" w:hAnsi="楷体_GB2312" w:cs="楷体_GB2312" w:hint="eastAsia"/>
                <w:bCs/>
                <w:sz w:val="24"/>
                <w:szCs w:val="24"/>
              </w:rPr>
              <w:fldChar w:fldCharType="end"/>
            </w:r>
          </w:hyperlink>
        </w:p>
        <w:p w14:paraId="1A3AEE91" w14:textId="151840BE"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7" w:history="1">
            <w:r w:rsidR="00000000">
              <w:rPr>
                <w:rStyle w:val="af6"/>
                <w:rFonts w:ascii="仿宋_GB2312" w:eastAsia="仿宋_GB2312" w:hAnsi="楷体_GB2312" w:cs="楷体_GB2312" w:hint="eastAsia"/>
                <w:bCs/>
                <w:sz w:val="24"/>
                <w:szCs w:val="24"/>
              </w:rPr>
              <w:t>4.筑牢城市韧性安全底座</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_Toc220337807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48</w:t>
            </w:r>
            <w:r w:rsidR="00000000">
              <w:rPr>
                <w:rStyle w:val="af6"/>
                <w:rFonts w:ascii="仿宋_GB2312" w:eastAsia="仿宋_GB2312" w:hAnsi="楷体_GB2312" w:cs="楷体_GB2312" w:hint="eastAsia"/>
                <w:bCs/>
                <w:sz w:val="24"/>
                <w:szCs w:val="24"/>
              </w:rPr>
              <w:fldChar w:fldCharType="end"/>
            </w:r>
          </w:hyperlink>
        </w:p>
        <w:p w14:paraId="61DEFBD4"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08" w:history="1">
            <w:r>
              <w:rPr>
                <w:rStyle w:val="af6"/>
                <w:rFonts w:ascii="楷体_GB2312" w:eastAsia="楷体_GB2312" w:hAnsi="楷体_GB2312" w:cs="楷体_GB2312"/>
                <w:bCs/>
                <w:sz w:val="24"/>
                <w:szCs w:val="24"/>
              </w:rPr>
              <w:t>（四）</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激发普惠服务新效能</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_Toc220337808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49</w:t>
            </w:r>
            <w:r>
              <w:rPr>
                <w:rStyle w:val="af6"/>
                <w:rFonts w:ascii="楷体_GB2312" w:eastAsia="楷体_GB2312" w:hAnsi="楷体_GB2312" w:cs="楷体_GB2312"/>
                <w:bCs/>
                <w:sz w:val="24"/>
                <w:szCs w:val="24"/>
              </w:rPr>
              <w:fldChar w:fldCharType="end"/>
            </w:r>
          </w:hyperlink>
        </w:p>
        <w:p w14:paraId="426FD4F9" w14:textId="079B33D5"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09" w:history="1">
            <w:r w:rsidR="00000000">
              <w:rPr>
                <w:rStyle w:val="af6"/>
                <w:rFonts w:ascii="仿宋_GB2312" w:eastAsia="仿宋_GB2312" w:hAnsi="楷体_GB2312" w:cs="楷体_GB2312" w:hint="eastAsia"/>
                <w:bCs/>
                <w:sz w:val="24"/>
                <w:szCs w:val="24"/>
              </w:rPr>
              <w:t>1.构建统一便捷的数字服务体系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_Toc220337809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49</w:t>
            </w:r>
            <w:r w:rsidR="00000000">
              <w:rPr>
                <w:rStyle w:val="af6"/>
                <w:rFonts w:ascii="仿宋_GB2312" w:eastAsia="仿宋_GB2312" w:hAnsi="楷体_GB2312" w:cs="楷体_GB2312" w:hint="eastAsia"/>
                <w:bCs/>
                <w:sz w:val="24"/>
                <w:szCs w:val="24"/>
              </w:rPr>
              <w:fldChar w:fldCharType="end"/>
            </w:r>
          </w:hyperlink>
        </w:p>
        <w:p w14:paraId="574A2FF2" w14:textId="0994BD78"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0" w:history="1">
            <w:r w:rsidR="00000000">
              <w:rPr>
                <w:rStyle w:val="af6"/>
                <w:rFonts w:ascii="仿宋_GB2312" w:eastAsia="仿宋_GB2312" w:hAnsi="楷体_GB2312" w:cs="楷体_GB2312" w:hint="eastAsia"/>
                <w:bCs/>
                <w:sz w:val="24"/>
                <w:szCs w:val="24"/>
              </w:rPr>
              <w:t>2.打造政务服务“好易办”新模式</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_Toc220337810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51</w:t>
            </w:r>
            <w:r w:rsidR="00000000">
              <w:rPr>
                <w:rStyle w:val="af6"/>
                <w:rFonts w:ascii="仿宋_GB2312" w:eastAsia="仿宋_GB2312" w:hAnsi="楷体_GB2312" w:cs="楷体_GB2312" w:hint="eastAsia"/>
                <w:bCs/>
                <w:sz w:val="24"/>
                <w:szCs w:val="24"/>
              </w:rPr>
              <w:fldChar w:fldCharType="end"/>
            </w:r>
          </w:hyperlink>
        </w:p>
        <w:p w14:paraId="541E286F" w14:textId="2CA6CBA5"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1" w:history="1">
            <w:r w:rsidR="00000000">
              <w:rPr>
                <w:rStyle w:val="af6"/>
                <w:rFonts w:ascii="仿宋_GB2312" w:eastAsia="仿宋_GB2312" w:hAnsi="楷体_GB2312" w:cs="楷体_GB2312" w:hint="eastAsia"/>
                <w:bCs/>
                <w:sz w:val="24"/>
                <w:szCs w:val="24"/>
              </w:rPr>
              <w:t>3.提升智慧医疗服务能级</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_Toc220337811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53</w:t>
            </w:r>
            <w:r w:rsidR="00000000">
              <w:rPr>
                <w:rStyle w:val="af6"/>
                <w:rFonts w:ascii="仿宋_GB2312" w:eastAsia="仿宋_GB2312" w:hAnsi="楷体_GB2312" w:cs="楷体_GB2312" w:hint="eastAsia"/>
                <w:bCs/>
                <w:sz w:val="24"/>
                <w:szCs w:val="24"/>
              </w:rPr>
              <w:fldChar w:fldCharType="end"/>
            </w:r>
          </w:hyperlink>
        </w:p>
        <w:p w14:paraId="24021C24" w14:textId="539D2DEB"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2" w:history="1">
            <w:r w:rsidR="00000000">
              <w:rPr>
                <w:rStyle w:val="af6"/>
                <w:rFonts w:ascii="仿宋_GB2312" w:eastAsia="仿宋_GB2312" w:hAnsi="楷体_GB2312" w:cs="楷体_GB2312" w:hint="eastAsia"/>
                <w:bCs/>
                <w:sz w:val="24"/>
                <w:szCs w:val="24"/>
              </w:rPr>
              <w:t>4.推进智慧教育服务应用</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_Toc220337812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54</w:t>
            </w:r>
            <w:r w:rsidR="00000000">
              <w:rPr>
                <w:rStyle w:val="af6"/>
                <w:rFonts w:ascii="仿宋_GB2312" w:eastAsia="仿宋_GB2312" w:hAnsi="楷体_GB2312" w:cs="楷体_GB2312" w:hint="eastAsia"/>
                <w:bCs/>
                <w:sz w:val="24"/>
                <w:szCs w:val="24"/>
              </w:rPr>
              <w:fldChar w:fldCharType="end"/>
            </w:r>
          </w:hyperlink>
        </w:p>
        <w:p w14:paraId="7FFE678B" w14:textId="729AB5F5"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3" w:history="1">
            <w:r w:rsidR="00000000">
              <w:rPr>
                <w:rStyle w:val="af6"/>
                <w:rFonts w:ascii="仿宋_GB2312" w:eastAsia="仿宋_GB2312" w:hAnsi="楷体_GB2312" w:cs="楷体_GB2312" w:hint="eastAsia"/>
                <w:bCs/>
                <w:sz w:val="24"/>
                <w:szCs w:val="24"/>
              </w:rPr>
              <w:t>5.推动智慧养老服务升级</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_Toc220337813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55</w:t>
            </w:r>
            <w:r w:rsidR="00000000">
              <w:rPr>
                <w:rStyle w:val="af6"/>
                <w:rFonts w:ascii="仿宋_GB2312" w:eastAsia="仿宋_GB2312" w:hAnsi="楷体_GB2312" w:cs="楷体_GB2312" w:hint="eastAsia"/>
                <w:bCs/>
                <w:sz w:val="24"/>
                <w:szCs w:val="24"/>
              </w:rPr>
              <w:fldChar w:fldCharType="end"/>
            </w:r>
          </w:hyperlink>
        </w:p>
        <w:p w14:paraId="5DD730DC" w14:textId="6AE1A58F"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4" w:history="1">
            <w:r w:rsidR="00000000">
              <w:rPr>
                <w:rStyle w:val="af6"/>
                <w:rFonts w:ascii="仿宋_GB2312" w:eastAsia="仿宋_GB2312" w:hAnsi="楷体_GB2312" w:cs="楷体_GB2312" w:hint="eastAsia"/>
                <w:bCs/>
                <w:sz w:val="24"/>
                <w:szCs w:val="24"/>
              </w:rPr>
              <w:t>6.探索龙华文旅数智化发展</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_Toc220337814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55</w:t>
            </w:r>
            <w:r w:rsidR="00000000">
              <w:rPr>
                <w:rStyle w:val="af6"/>
                <w:rFonts w:ascii="仿宋_GB2312" w:eastAsia="仿宋_GB2312" w:hAnsi="楷体_GB2312" w:cs="楷体_GB2312" w:hint="eastAsia"/>
                <w:bCs/>
                <w:sz w:val="24"/>
                <w:szCs w:val="24"/>
              </w:rPr>
              <w:fldChar w:fldCharType="end"/>
            </w:r>
          </w:hyperlink>
        </w:p>
        <w:p w14:paraId="237A6162" w14:textId="53AB8055"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5" w:history="1">
            <w:r w:rsidR="00000000">
              <w:rPr>
                <w:rStyle w:val="af6"/>
                <w:rFonts w:ascii="仿宋_GB2312" w:eastAsia="仿宋_GB2312" w:hAnsi="楷体_GB2312" w:cs="楷体_GB2312" w:hint="eastAsia"/>
                <w:bCs/>
                <w:sz w:val="24"/>
                <w:szCs w:val="24"/>
              </w:rPr>
              <w:t>7.建设特殊群体数字关爱体系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_Toc220337815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56</w:t>
            </w:r>
            <w:r w:rsidR="00000000">
              <w:rPr>
                <w:rStyle w:val="af6"/>
                <w:rFonts w:ascii="仿宋_GB2312" w:eastAsia="仿宋_GB2312" w:hAnsi="楷体_GB2312" w:cs="楷体_GB2312" w:hint="eastAsia"/>
                <w:bCs/>
                <w:sz w:val="24"/>
                <w:szCs w:val="24"/>
              </w:rPr>
              <w:fldChar w:fldCharType="end"/>
            </w:r>
          </w:hyperlink>
        </w:p>
        <w:p w14:paraId="28F6B0F0" w14:textId="77777777" w:rsidR="009D5DEA" w:rsidRDefault="00000000">
          <w:pPr>
            <w:pStyle w:val="TOC1"/>
            <w:tabs>
              <w:tab w:val="left" w:pos="630"/>
              <w:tab w:val="right" w:leader="dot" w:pos="8296"/>
            </w:tabs>
            <w:adjustRightInd w:val="0"/>
            <w:snapToGrid w:val="0"/>
            <w:spacing w:before="0" w:after="0" w:line="240" w:lineRule="auto"/>
            <w:contextualSpacing/>
            <w:rPr>
              <w:rStyle w:val="af6"/>
              <w:rFonts w:ascii="黑体" w:eastAsia="黑体" w:hAnsi="黑体" w:cs="黑体" w:hint="eastAsia"/>
              <w:b w:val="0"/>
              <w:bCs w:val="0"/>
              <w:sz w:val="24"/>
              <w:szCs w:val="24"/>
            </w:rPr>
          </w:pPr>
          <w:hyperlink w:anchor="_Toc220337816" w:history="1">
            <w:r>
              <w:rPr>
                <w:rStyle w:val="af6"/>
                <w:rFonts w:ascii="黑体" w:eastAsia="黑体" w:hAnsi="黑体" w:cs="黑体"/>
                <w:b w:val="0"/>
                <w:bCs w:val="0"/>
                <w:sz w:val="24"/>
                <w:szCs w:val="24"/>
              </w:rPr>
              <w:t>六、</w:t>
            </w:r>
            <w:r>
              <w:rPr>
                <w:rStyle w:val="af6"/>
                <w:rFonts w:ascii="黑体" w:eastAsia="黑体" w:hAnsi="黑体" w:cs="黑体"/>
                <w:b w:val="0"/>
                <w:bCs w:val="0"/>
                <w:sz w:val="24"/>
                <w:szCs w:val="24"/>
              </w:rPr>
              <w:tab/>
              <w:t>构筑一流发展环境，营造数智创新生态</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_Toc220337816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57</w:t>
            </w:r>
            <w:r>
              <w:rPr>
                <w:rStyle w:val="af6"/>
                <w:rFonts w:ascii="黑体" w:eastAsia="黑体" w:hAnsi="黑体" w:cs="黑体"/>
                <w:b w:val="0"/>
                <w:bCs w:val="0"/>
                <w:sz w:val="24"/>
                <w:szCs w:val="24"/>
              </w:rPr>
              <w:fldChar w:fldCharType="end"/>
            </w:r>
          </w:hyperlink>
        </w:p>
        <w:p w14:paraId="1AEEB3D7"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17" w:history="1">
            <w:r>
              <w:rPr>
                <w:rStyle w:val="af6"/>
                <w:rFonts w:ascii="楷体_GB2312" w:eastAsia="楷体_GB2312" w:hAnsi="楷体_GB2312" w:cs="楷体_GB2312"/>
                <w:bCs/>
                <w:sz w:val="24"/>
                <w:szCs w:val="24"/>
              </w:rPr>
              <w:t>（一）</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健全制度标准体系</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_Toc220337817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57</w:t>
            </w:r>
            <w:r>
              <w:rPr>
                <w:rStyle w:val="af6"/>
                <w:rFonts w:ascii="楷体_GB2312" w:eastAsia="楷体_GB2312" w:hAnsi="楷体_GB2312" w:cs="楷体_GB2312"/>
                <w:bCs/>
                <w:sz w:val="24"/>
                <w:szCs w:val="24"/>
              </w:rPr>
              <w:fldChar w:fldCharType="end"/>
            </w:r>
          </w:hyperlink>
        </w:p>
        <w:p w14:paraId="527611FA" w14:textId="0DF64044"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8" w:history="1">
            <w:r w:rsidR="00000000">
              <w:rPr>
                <w:rStyle w:val="af6"/>
                <w:rFonts w:ascii="仿宋_GB2312" w:eastAsia="仿宋_GB2312" w:hAnsi="楷体_GB2312" w:cs="楷体_GB2312" w:hint="eastAsia"/>
                <w:bCs/>
                <w:sz w:val="24"/>
                <w:szCs w:val="24"/>
              </w:rPr>
              <w:t>1.完善数字政府配套制度</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_Toc220337818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57</w:t>
            </w:r>
            <w:r w:rsidR="00000000">
              <w:rPr>
                <w:rStyle w:val="af6"/>
                <w:rFonts w:ascii="仿宋_GB2312" w:eastAsia="仿宋_GB2312" w:hAnsi="楷体_GB2312" w:cs="楷体_GB2312" w:hint="eastAsia"/>
                <w:bCs/>
                <w:sz w:val="24"/>
                <w:szCs w:val="24"/>
              </w:rPr>
              <w:fldChar w:fldCharType="end"/>
            </w:r>
          </w:hyperlink>
        </w:p>
        <w:p w14:paraId="169C799E" w14:textId="6E3AD416"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19" w:history="1">
            <w:r w:rsidR="00000000">
              <w:rPr>
                <w:rStyle w:val="af6"/>
                <w:rFonts w:ascii="仿宋_GB2312" w:eastAsia="仿宋_GB2312" w:hAnsi="楷体_GB2312" w:cs="楷体_GB2312" w:hint="eastAsia"/>
                <w:bCs/>
                <w:sz w:val="24"/>
                <w:szCs w:val="24"/>
              </w:rPr>
              <w:t>2.健全数字治理管理体系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_Toc220337819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57</w:t>
            </w:r>
            <w:r w:rsidR="00000000">
              <w:rPr>
                <w:rStyle w:val="af6"/>
                <w:rFonts w:ascii="仿宋_GB2312" w:eastAsia="仿宋_GB2312" w:hAnsi="楷体_GB2312" w:cs="楷体_GB2312" w:hint="eastAsia"/>
                <w:bCs/>
                <w:sz w:val="24"/>
                <w:szCs w:val="24"/>
              </w:rPr>
              <w:fldChar w:fldCharType="end"/>
            </w:r>
          </w:hyperlink>
        </w:p>
        <w:p w14:paraId="0BF2550E" w14:textId="1A6C72DF"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0" w:history="1">
            <w:r w:rsidR="00000000">
              <w:rPr>
                <w:rStyle w:val="af6"/>
                <w:rFonts w:ascii="仿宋_GB2312" w:eastAsia="仿宋_GB2312" w:hAnsi="楷体_GB2312" w:cs="楷体_GB2312" w:hint="eastAsia"/>
                <w:bCs/>
                <w:sz w:val="24"/>
                <w:szCs w:val="24"/>
              </w:rPr>
              <w:t>3.构建数字标准应用体系</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_Toc220337820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58</w:t>
            </w:r>
            <w:r w:rsidR="00000000">
              <w:rPr>
                <w:rStyle w:val="af6"/>
                <w:rFonts w:ascii="仿宋_GB2312" w:eastAsia="仿宋_GB2312" w:hAnsi="楷体_GB2312" w:cs="楷体_GB2312" w:hint="eastAsia"/>
                <w:bCs/>
                <w:sz w:val="24"/>
                <w:szCs w:val="24"/>
              </w:rPr>
              <w:fldChar w:fldCharType="end"/>
            </w:r>
          </w:hyperlink>
        </w:p>
        <w:p w14:paraId="6AB5A578"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21" w:history="1">
            <w:r>
              <w:rPr>
                <w:rStyle w:val="af6"/>
                <w:rFonts w:ascii="楷体_GB2312" w:eastAsia="楷体_GB2312" w:hAnsi="楷体_GB2312" w:cs="楷体_GB2312"/>
                <w:bCs/>
                <w:sz w:val="24"/>
                <w:szCs w:val="24"/>
              </w:rPr>
              <w:t>（二）</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打造数字创新体系</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_Toc220337821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59</w:t>
            </w:r>
            <w:r>
              <w:rPr>
                <w:rStyle w:val="af6"/>
                <w:rFonts w:ascii="楷体_GB2312" w:eastAsia="楷体_GB2312" w:hAnsi="楷体_GB2312" w:cs="楷体_GB2312"/>
                <w:bCs/>
                <w:sz w:val="24"/>
                <w:szCs w:val="24"/>
              </w:rPr>
              <w:fldChar w:fldCharType="end"/>
            </w:r>
          </w:hyperlink>
        </w:p>
        <w:p w14:paraId="5599CCF3" w14:textId="3A43E8A2"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2" w:history="1">
            <w:r w:rsidR="00000000">
              <w:rPr>
                <w:rStyle w:val="af6"/>
                <w:rFonts w:ascii="仿宋_GB2312" w:eastAsia="仿宋_GB2312" w:hAnsi="楷体_GB2312" w:cs="楷体_GB2312" w:hint="eastAsia"/>
                <w:bCs/>
                <w:sz w:val="24"/>
                <w:szCs w:val="24"/>
              </w:rPr>
              <w:t>1.构建开放协同创新生态</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_Toc220337822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59</w:t>
            </w:r>
            <w:r w:rsidR="00000000">
              <w:rPr>
                <w:rStyle w:val="af6"/>
                <w:rFonts w:ascii="仿宋_GB2312" w:eastAsia="仿宋_GB2312" w:hAnsi="楷体_GB2312" w:cs="楷体_GB2312" w:hint="eastAsia"/>
                <w:bCs/>
                <w:sz w:val="24"/>
                <w:szCs w:val="24"/>
              </w:rPr>
              <w:fldChar w:fldCharType="end"/>
            </w:r>
          </w:hyperlink>
        </w:p>
        <w:p w14:paraId="085876C0" w14:textId="7CEDDE62"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3" w:history="1">
            <w:r w:rsidR="00000000">
              <w:rPr>
                <w:rStyle w:val="af6"/>
                <w:rFonts w:ascii="仿宋_GB2312" w:eastAsia="仿宋_GB2312" w:hAnsi="楷体_GB2312" w:cs="楷体_GB2312" w:hint="eastAsia"/>
                <w:bCs/>
                <w:sz w:val="24"/>
                <w:szCs w:val="24"/>
              </w:rPr>
              <w:t>2.推进联合创新中心能级</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_Toc220337823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60</w:t>
            </w:r>
            <w:r w:rsidR="00000000">
              <w:rPr>
                <w:rStyle w:val="af6"/>
                <w:rFonts w:ascii="仿宋_GB2312" w:eastAsia="仿宋_GB2312" w:hAnsi="楷体_GB2312" w:cs="楷体_GB2312" w:hint="eastAsia"/>
                <w:bCs/>
                <w:sz w:val="24"/>
                <w:szCs w:val="24"/>
              </w:rPr>
              <w:fldChar w:fldCharType="end"/>
            </w:r>
          </w:hyperlink>
        </w:p>
        <w:p w14:paraId="44D04984" w14:textId="22CE4D7F"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4" w:history="1">
            <w:r w:rsidR="00000000">
              <w:rPr>
                <w:rStyle w:val="af6"/>
                <w:rFonts w:ascii="仿宋_GB2312" w:eastAsia="仿宋_GB2312" w:hAnsi="楷体_GB2312" w:cs="楷体_GB2312" w:hint="eastAsia"/>
                <w:bCs/>
                <w:sz w:val="24"/>
                <w:szCs w:val="24"/>
              </w:rPr>
              <w:t>3.健全项目管理长效机制</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_Toc220337824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60</w:t>
            </w:r>
            <w:r w:rsidR="00000000">
              <w:rPr>
                <w:rStyle w:val="af6"/>
                <w:rFonts w:ascii="仿宋_GB2312" w:eastAsia="仿宋_GB2312" w:hAnsi="楷体_GB2312" w:cs="楷体_GB2312" w:hint="eastAsia"/>
                <w:bCs/>
                <w:sz w:val="24"/>
                <w:szCs w:val="24"/>
              </w:rPr>
              <w:fldChar w:fldCharType="end"/>
            </w:r>
          </w:hyperlink>
        </w:p>
        <w:p w14:paraId="05A1156A" w14:textId="6DE0DEE9" w:rsidR="009D5DEA" w:rsidRDefault="00973FE4">
          <w:pPr>
            <w:pStyle w:val="TOC2"/>
            <w:adjustRightInd w:val="0"/>
            <w:snapToGrid w:val="0"/>
            <w:spacing w:after="100" w:afterAutospacing="1"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5" w:history="1">
            <w:r w:rsidR="00000000">
              <w:rPr>
                <w:rStyle w:val="af6"/>
                <w:rFonts w:ascii="仿宋_GB2312" w:eastAsia="仿宋_GB2312" w:hAnsi="楷体_GB2312" w:cs="楷体_GB2312" w:hint="eastAsia"/>
                <w:bCs/>
                <w:sz w:val="24"/>
                <w:szCs w:val="24"/>
              </w:rPr>
              <w:t>4.推动龙华区适数化改革</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_Toc220337825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61</w:t>
            </w:r>
            <w:r w:rsidR="00000000">
              <w:rPr>
                <w:rStyle w:val="af6"/>
                <w:rFonts w:ascii="仿宋_GB2312" w:eastAsia="仿宋_GB2312" w:hAnsi="楷体_GB2312" w:cs="楷体_GB2312" w:hint="eastAsia"/>
                <w:bCs/>
                <w:sz w:val="24"/>
                <w:szCs w:val="24"/>
              </w:rPr>
              <w:fldChar w:fldCharType="end"/>
            </w:r>
          </w:hyperlink>
        </w:p>
        <w:p w14:paraId="0FBF296D"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26" w:history="1">
            <w:r>
              <w:rPr>
                <w:rStyle w:val="af6"/>
                <w:rFonts w:ascii="楷体_GB2312" w:eastAsia="楷体_GB2312" w:hAnsi="楷体_GB2312" w:cs="楷体_GB2312"/>
                <w:bCs/>
                <w:sz w:val="24"/>
                <w:szCs w:val="24"/>
              </w:rPr>
              <w:t>（三）</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强化人才体系建设</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_Toc220337826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62</w:t>
            </w:r>
            <w:r>
              <w:rPr>
                <w:rStyle w:val="af6"/>
                <w:rFonts w:ascii="楷体_GB2312" w:eastAsia="楷体_GB2312" w:hAnsi="楷体_GB2312" w:cs="楷体_GB2312"/>
                <w:bCs/>
                <w:sz w:val="24"/>
                <w:szCs w:val="24"/>
              </w:rPr>
              <w:fldChar w:fldCharType="end"/>
            </w:r>
          </w:hyperlink>
        </w:p>
        <w:p w14:paraId="33A4EAA1" w14:textId="1F7A5843"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7" w:history="1">
            <w:r w:rsidR="00000000">
              <w:rPr>
                <w:rStyle w:val="af6"/>
                <w:rFonts w:ascii="仿宋_GB2312" w:eastAsia="仿宋_GB2312" w:hAnsi="楷体_GB2312" w:cs="楷体_GB2312" w:hint="eastAsia"/>
                <w:bCs/>
                <w:sz w:val="24"/>
                <w:szCs w:val="24"/>
              </w:rPr>
              <w:t>1.健全数字人才引育工程</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_Toc220337827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62</w:t>
            </w:r>
            <w:r w:rsidR="00000000">
              <w:rPr>
                <w:rStyle w:val="af6"/>
                <w:rFonts w:ascii="仿宋_GB2312" w:eastAsia="仿宋_GB2312" w:hAnsi="楷体_GB2312" w:cs="楷体_GB2312" w:hint="eastAsia"/>
                <w:bCs/>
                <w:sz w:val="24"/>
                <w:szCs w:val="24"/>
              </w:rPr>
              <w:fldChar w:fldCharType="end"/>
            </w:r>
          </w:hyperlink>
        </w:p>
        <w:p w14:paraId="58C9E686" w14:textId="76ABFA4D"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8" w:history="1">
            <w:r w:rsidR="00000000">
              <w:rPr>
                <w:rStyle w:val="af6"/>
                <w:rFonts w:ascii="仿宋_GB2312" w:eastAsia="仿宋_GB2312" w:hAnsi="楷体_GB2312" w:cs="楷体_GB2312" w:hint="eastAsia"/>
                <w:bCs/>
                <w:sz w:val="24"/>
                <w:szCs w:val="24"/>
              </w:rPr>
              <w:t>2.推行首席数据官制度</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_Toc220337828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62</w:t>
            </w:r>
            <w:r w:rsidR="00000000">
              <w:rPr>
                <w:rStyle w:val="af6"/>
                <w:rFonts w:ascii="仿宋_GB2312" w:eastAsia="仿宋_GB2312" w:hAnsi="楷体_GB2312" w:cs="楷体_GB2312" w:hint="eastAsia"/>
                <w:bCs/>
                <w:sz w:val="24"/>
                <w:szCs w:val="24"/>
              </w:rPr>
              <w:fldChar w:fldCharType="end"/>
            </w:r>
          </w:hyperlink>
        </w:p>
        <w:p w14:paraId="549D79D2" w14:textId="01B0601D" w:rsidR="009D5DEA" w:rsidRDefault="00973FE4">
          <w:pPr>
            <w:pStyle w:val="TOC2"/>
            <w:adjustRightInd w:val="0"/>
            <w:snapToGrid w:val="0"/>
            <w:spacing w:after="0" w:line="240" w:lineRule="auto"/>
            <w:contextualSpacing/>
            <w:rPr>
              <w:rStyle w:val="af6"/>
              <w:rFonts w:ascii="仿宋_GB2312" w:eastAsia="仿宋_GB2312" w:hAnsi="楷体_GB2312" w:cs="楷体_GB2312" w:hint="eastAsia"/>
              <w:bCs/>
              <w:sz w:val="24"/>
            </w:rPr>
          </w:pPr>
          <w:r>
            <w:rPr>
              <w:rFonts w:hint="eastAsia"/>
            </w:rPr>
            <w:t xml:space="preserve">              </w:t>
          </w:r>
          <w:hyperlink w:anchor="_Toc220337829" w:history="1">
            <w:r w:rsidR="00000000">
              <w:rPr>
                <w:rStyle w:val="af6"/>
                <w:rFonts w:ascii="仿宋_GB2312" w:eastAsia="仿宋_GB2312" w:hAnsi="楷体_GB2312" w:cs="楷体_GB2312" w:hint="eastAsia"/>
                <w:bCs/>
                <w:sz w:val="24"/>
                <w:szCs w:val="24"/>
              </w:rPr>
              <w:t>3.加大干部数字素养培训</w:t>
            </w:r>
            <w:r w:rsidR="00000000">
              <w:rPr>
                <w:rStyle w:val="af6"/>
                <w:rFonts w:ascii="仿宋_GB2312" w:eastAsia="仿宋_GB2312" w:hAnsi="楷体_GB2312" w:cs="楷体_GB2312" w:hint="eastAsia"/>
                <w:bCs/>
                <w:sz w:val="24"/>
                <w:szCs w:val="24"/>
              </w:rPr>
              <w:tab/>
            </w:r>
            <w:r w:rsidR="00000000">
              <w:rPr>
                <w:rStyle w:val="af6"/>
                <w:rFonts w:ascii="仿宋_GB2312" w:eastAsia="仿宋_GB2312" w:hAnsi="楷体_GB2312" w:cs="楷体_GB2312" w:hint="eastAsia"/>
                <w:bCs/>
                <w:sz w:val="24"/>
                <w:szCs w:val="24"/>
              </w:rPr>
              <w:fldChar w:fldCharType="begin"/>
            </w:r>
            <w:r w:rsidR="00000000">
              <w:rPr>
                <w:rStyle w:val="af6"/>
                <w:rFonts w:ascii="仿宋_GB2312" w:eastAsia="仿宋_GB2312" w:hAnsi="楷体_GB2312" w:cs="楷体_GB2312" w:hint="eastAsia"/>
                <w:bCs/>
                <w:sz w:val="24"/>
                <w:szCs w:val="24"/>
              </w:rPr>
              <w:instrText xml:space="preserve"> PAGEREF _Toc220337829 \h </w:instrText>
            </w:r>
            <w:r w:rsidR="00000000">
              <w:rPr>
                <w:rStyle w:val="af6"/>
                <w:rFonts w:ascii="仿宋_GB2312" w:eastAsia="仿宋_GB2312" w:hAnsi="楷体_GB2312" w:cs="楷体_GB2312" w:hint="eastAsia"/>
                <w:bCs/>
                <w:sz w:val="24"/>
                <w:szCs w:val="24"/>
              </w:rPr>
            </w:r>
            <w:r w:rsidR="00000000">
              <w:rPr>
                <w:rStyle w:val="af6"/>
                <w:rFonts w:ascii="仿宋_GB2312" w:eastAsia="仿宋_GB2312" w:hAnsi="楷体_GB2312" w:cs="楷体_GB2312" w:hint="eastAsia"/>
                <w:bCs/>
                <w:sz w:val="24"/>
                <w:szCs w:val="24"/>
              </w:rPr>
              <w:fldChar w:fldCharType="separate"/>
            </w:r>
            <w:r w:rsidR="00000000">
              <w:rPr>
                <w:rStyle w:val="af6"/>
                <w:rFonts w:ascii="仿宋_GB2312" w:eastAsia="仿宋_GB2312" w:hAnsi="楷体_GB2312" w:cs="楷体_GB2312" w:hint="eastAsia"/>
                <w:bCs/>
                <w:sz w:val="24"/>
                <w:szCs w:val="24"/>
              </w:rPr>
              <w:t>62</w:t>
            </w:r>
            <w:r w:rsidR="00000000">
              <w:rPr>
                <w:rStyle w:val="af6"/>
                <w:rFonts w:ascii="仿宋_GB2312" w:eastAsia="仿宋_GB2312" w:hAnsi="楷体_GB2312" w:cs="楷体_GB2312" w:hint="eastAsia"/>
                <w:bCs/>
                <w:sz w:val="24"/>
                <w:szCs w:val="24"/>
              </w:rPr>
              <w:fldChar w:fldCharType="end"/>
            </w:r>
          </w:hyperlink>
        </w:p>
        <w:p w14:paraId="385750A5" w14:textId="77777777" w:rsidR="009D5DEA" w:rsidRDefault="00000000">
          <w:pPr>
            <w:pStyle w:val="TOC1"/>
            <w:tabs>
              <w:tab w:val="left" w:pos="630"/>
              <w:tab w:val="right" w:leader="dot" w:pos="8296"/>
            </w:tabs>
            <w:adjustRightInd w:val="0"/>
            <w:snapToGrid w:val="0"/>
            <w:spacing w:before="0" w:after="0" w:line="240" w:lineRule="auto"/>
            <w:contextualSpacing/>
            <w:rPr>
              <w:rStyle w:val="af6"/>
              <w:rFonts w:ascii="黑体" w:eastAsia="黑体" w:hAnsi="黑体" w:cs="黑体" w:hint="eastAsia"/>
              <w:b w:val="0"/>
              <w:bCs w:val="0"/>
              <w:sz w:val="24"/>
              <w:szCs w:val="24"/>
            </w:rPr>
          </w:pPr>
          <w:hyperlink w:anchor="_Toc220337830" w:history="1">
            <w:r>
              <w:rPr>
                <w:rStyle w:val="af6"/>
                <w:rFonts w:ascii="黑体" w:eastAsia="黑体" w:hAnsi="黑体" w:cs="黑体"/>
                <w:b w:val="0"/>
                <w:bCs w:val="0"/>
                <w:sz w:val="24"/>
                <w:szCs w:val="24"/>
              </w:rPr>
              <w:t>七、</w:t>
            </w:r>
            <w:r>
              <w:rPr>
                <w:rStyle w:val="af6"/>
                <w:rFonts w:ascii="黑体" w:eastAsia="黑体" w:hAnsi="黑体" w:cs="黑体"/>
                <w:b w:val="0"/>
                <w:bCs w:val="0"/>
                <w:sz w:val="24"/>
                <w:szCs w:val="24"/>
              </w:rPr>
              <w:tab/>
              <w:t>保障措施</w:t>
            </w:r>
            <w:r>
              <w:rPr>
                <w:rStyle w:val="af6"/>
                <w:rFonts w:ascii="黑体" w:eastAsia="黑体" w:hAnsi="黑体" w:cs="黑体"/>
                <w:b w:val="0"/>
                <w:bCs w:val="0"/>
                <w:sz w:val="24"/>
                <w:szCs w:val="24"/>
              </w:rPr>
              <w:tab/>
            </w:r>
            <w:r>
              <w:rPr>
                <w:rStyle w:val="af6"/>
                <w:rFonts w:ascii="黑体" w:eastAsia="黑体" w:hAnsi="黑体" w:cs="黑体"/>
                <w:b w:val="0"/>
                <w:bCs w:val="0"/>
                <w:sz w:val="24"/>
                <w:szCs w:val="24"/>
              </w:rPr>
              <w:fldChar w:fldCharType="begin"/>
            </w:r>
            <w:r>
              <w:rPr>
                <w:rStyle w:val="af6"/>
                <w:rFonts w:ascii="黑体" w:eastAsia="黑体" w:hAnsi="黑体" w:cs="黑体"/>
                <w:b w:val="0"/>
                <w:bCs w:val="0"/>
                <w:sz w:val="24"/>
                <w:szCs w:val="24"/>
              </w:rPr>
              <w:instrText xml:space="preserve"> PAGEREF _Toc220337830 \h </w:instrText>
            </w:r>
            <w:r>
              <w:rPr>
                <w:rStyle w:val="af6"/>
                <w:rFonts w:ascii="黑体" w:eastAsia="黑体" w:hAnsi="黑体" w:cs="黑体"/>
                <w:b w:val="0"/>
                <w:bCs w:val="0"/>
                <w:sz w:val="24"/>
                <w:szCs w:val="24"/>
              </w:rPr>
            </w:r>
            <w:r>
              <w:rPr>
                <w:rStyle w:val="af6"/>
                <w:rFonts w:ascii="黑体" w:eastAsia="黑体" w:hAnsi="黑体" w:cs="黑体"/>
                <w:b w:val="0"/>
                <w:bCs w:val="0"/>
                <w:sz w:val="24"/>
                <w:szCs w:val="24"/>
              </w:rPr>
              <w:fldChar w:fldCharType="separate"/>
            </w:r>
            <w:r>
              <w:rPr>
                <w:rStyle w:val="af6"/>
                <w:rFonts w:ascii="黑体" w:eastAsia="黑体" w:hAnsi="黑体" w:cs="黑体"/>
                <w:b w:val="0"/>
                <w:bCs w:val="0"/>
                <w:sz w:val="24"/>
                <w:szCs w:val="24"/>
              </w:rPr>
              <w:t>63</w:t>
            </w:r>
            <w:r>
              <w:rPr>
                <w:rStyle w:val="af6"/>
                <w:rFonts w:ascii="黑体" w:eastAsia="黑体" w:hAnsi="黑体" w:cs="黑体"/>
                <w:b w:val="0"/>
                <w:bCs w:val="0"/>
                <w:sz w:val="24"/>
                <w:szCs w:val="24"/>
              </w:rPr>
              <w:fldChar w:fldCharType="end"/>
            </w:r>
          </w:hyperlink>
        </w:p>
        <w:p w14:paraId="08BD9E3D"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31" w:history="1">
            <w:r>
              <w:rPr>
                <w:rStyle w:val="af6"/>
                <w:rFonts w:ascii="楷体_GB2312" w:eastAsia="楷体_GB2312" w:hAnsi="楷体_GB2312" w:cs="楷体_GB2312"/>
                <w:bCs/>
                <w:sz w:val="24"/>
                <w:szCs w:val="24"/>
              </w:rPr>
              <w:t>（一）</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强化统筹规划实施路径</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_Toc220337831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63</w:t>
            </w:r>
            <w:r>
              <w:rPr>
                <w:rStyle w:val="af6"/>
                <w:rFonts w:ascii="楷体_GB2312" w:eastAsia="楷体_GB2312" w:hAnsi="楷体_GB2312" w:cs="楷体_GB2312"/>
                <w:bCs/>
                <w:sz w:val="24"/>
                <w:szCs w:val="24"/>
              </w:rPr>
              <w:fldChar w:fldCharType="end"/>
            </w:r>
          </w:hyperlink>
        </w:p>
        <w:p w14:paraId="6D6C4AE5"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32" w:history="1">
            <w:r>
              <w:rPr>
                <w:rStyle w:val="af6"/>
                <w:rFonts w:ascii="楷体_GB2312" w:eastAsia="楷体_GB2312" w:hAnsi="楷体_GB2312" w:cs="楷体_GB2312"/>
                <w:bCs/>
                <w:sz w:val="24"/>
                <w:szCs w:val="24"/>
              </w:rPr>
              <w:t>（二）</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完善实施要素保障机制</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_Toc220337832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64</w:t>
            </w:r>
            <w:r>
              <w:rPr>
                <w:rStyle w:val="af6"/>
                <w:rFonts w:ascii="楷体_GB2312" w:eastAsia="楷体_GB2312" w:hAnsi="楷体_GB2312" w:cs="楷体_GB2312"/>
                <w:bCs/>
                <w:sz w:val="24"/>
                <w:szCs w:val="24"/>
              </w:rPr>
              <w:fldChar w:fldCharType="end"/>
            </w:r>
          </w:hyperlink>
        </w:p>
        <w:p w14:paraId="6E8230FE"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33" w:history="1">
            <w:r>
              <w:rPr>
                <w:rStyle w:val="af6"/>
                <w:rFonts w:ascii="楷体_GB2312" w:eastAsia="楷体_GB2312" w:hAnsi="楷体_GB2312" w:cs="楷体_GB2312"/>
                <w:bCs/>
                <w:sz w:val="24"/>
                <w:szCs w:val="24"/>
              </w:rPr>
              <w:t>（三）</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推进重大项目试点推广</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_Toc220337833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64</w:t>
            </w:r>
            <w:r>
              <w:rPr>
                <w:rStyle w:val="af6"/>
                <w:rFonts w:ascii="楷体_GB2312" w:eastAsia="楷体_GB2312" w:hAnsi="楷体_GB2312" w:cs="楷体_GB2312"/>
                <w:bCs/>
                <w:sz w:val="24"/>
                <w:szCs w:val="24"/>
              </w:rPr>
              <w:fldChar w:fldCharType="end"/>
            </w:r>
          </w:hyperlink>
        </w:p>
        <w:p w14:paraId="139E7F94" w14:textId="77777777" w:rsidR="009D5DEA" w:rsidRDefault="00000000">
          <w:pPr>
            <w:pStyle w:val="TOC2"/>
            <w:adjustRightInd w:val="0"/>
            <w:snapToGrid w:val="0"/>
            <w:spacing w:after="100" w:afterAutospacing="1" w:line="240" w:lineRule="auto"/>
            <w:contextualSpacing/>
            <w:rPr>
              <w:rStyle w:val="af6"/>
              <w:rFonts w:ascii="楷体_GB2312" w:eastAsia="楷体_GB2312" w:hAnsi="楷体_GB2312" w:cs="楷体_GB2312" w:hint="eastAsia"/>
              <w:bCs/>
              <w:sz w:val="24"/>
            </w:rPr>
          </w:pPr>
          <w:hyperlink w:anchor="_Toc220337834" w:history="1">
            <w:r>
              <w:rPr>
                <w:rStyle w:val="af6"/>
                <w:rFonts w:ascii="楷体_GB2312" w:eastAsia="楷体_GB2312" w:hAnsi="楷体_GB2312" w:cs="楷体_GB2312"/>
                <w:bCs/>
                <w:sz w:val="24"/>
                <w:szCs w:val="24"/>
              </w:rPr>
              <w:t>（四）</w:t>
            </w:r>
            <w:r>
              <w:rPr>
                <w:rStyle w:val="af6"/>
                <w:rFonts w:ascii="楷体_GB2312" w:eastAsia="楷体_GB2312" w:hAnsi="楷体_GB2312" w:cs="楷体_GB2312"/>
                <w:bCs/>
                <w:sz w:val="24"/>
              </w:rPr>
              <w:tab/>
            </w:r>
            <w:r>
              <w:rPr>
                <w:rStyle w:val="af6"/>
                <w:rFonts w:ascii="楷体_GB2312" w:eastAsia="楷体_GB2312" w:hAnsi="楷体_GB2312" w:cs="楷体_GB2312"/>
                <w:bCs/>
                <w:sz w:val="24"/>
                <w:szCs w:val="24"/>
              </w:rPr>
              <w:t>完善评估督导反馈体系</w:t>
            </w:r>
            <w:r>
              <w:rPr>
                <w:rStyle w:val="af6"/>
                <w:rFonts w:ascii="楷体_GB2312" w:eastAsia="楷体_GB2312" w:hAnsi="楷体_GB2312" w:cs="楷体_GB2312"/>
                <w:bCs/>
                <w:sz w:val="24"/>
                <w:szCs w:val="24"/>
              </w:rPr>
              <w:tab/>
            </w:r>
            <w:r>
              <w:rPr>
                <w:rStyle w:val="af6"/>
                <w:rFonts w:ascii="楷体_GB2312" w:eastAsia="楷体_GB2312" w:hAnsi="楷体_GB2312" w:cs="楷体_GB2312"/>
                <w:bCs/>
                <w:sz w:val="24"/>
                <w:szCs w:val="24"/>
              </w:rPr>
              <w:fldChar w:fldCharType="begin"/>
            </w:r>
            <w:r>
              <w:rPr>
                <w:rStyle w:val="af6"/>
                <w:rFonts w:ascii="楷体_GB2312" w:eastAsia="楷体_GB2312" w:hAnsi="楷体_GB2312" w:cs="楷体_GB2312"/>
                <w:bCs/>
                <w:sz w:val="24"/>
                <w:szCs w:val="24"/>
              </w:rPr>
              <w:instrText xml:space="preserve"> PAGEREF _Toc220337834 \h </w:instrText>
            </w:r>
            <w:r>
              <w:rPr>
                <w:rStyle w:val="af6"/>
                <w:rFonts w:ascii="楷体_GB2312" w:eastAsia="楷体_GB2312" w:hAnsi="楷体_GB2312" w:cs="楷体_GB2312"/>
                <w:bCs/>
                <w:sz w:val="24"/>
                <w:szCs w:val="24"/>
              </w:rPr>
            </w:r>
            <w:r>
              <w:rPr>
                <w:rStyle w:val="af6"/>
                <w:rFonts w:ascii="楷体_GB2312" w:eastAsia="楷体_GB2312" w:hAnsi="楷体_GB2312" w:cs="楷体_GB2312"/>
                <w:bCs/>
                <w:sz w:val="24"/>
                <w:szCs w:val="24"/>
              </w:rPr>
              <w:fldChar w:fldCharType="separate"/>
            </w:r>
            <w:r>
              <w:rPr>
                <w:rStyle w:val="af6"/>
                <w:rFonts w:ascii="楷体_GB2312" w:eastAsia="楷体_GB2312" w:hAnsi="楷体_GB2312" w:cs="楷体_GB2312"/>
                <w:bCs/>
                <w:sz w:val="24"/>
                <w:szCs w:val="24"/>
              </w:rPr>
              <w:t>65</w:t>
            </w:r>
            <w:r>
              <w:rPr>
                <w:rStyle w:val="af6"/>
                <w:rFonts w:ascii="楷体_GB2312" w:eastAsia="楷体_GB2312" w:hAnsi="楷体_GB2312" w:cs="楷体_GB2312"/>
                <w:bCs/>
                <w:sz w:val="24"/>
                <w:szCs w:val="24"/>
              </w:rPr>
              <w:fldChar w:fldCharType="end"/>
            </w:r>
          </w:hyperlink>
        </w:p>
        <w:p w14:paraId="42911B9F" w14:textId="77777777" w:rsidR="009D5DEA" w:rsidRDefault="00000000">
          <w:pPr>
            <w:adjustRightInd w:val="0"/>
            <w:snapToGrid w:val="0"/>
            <w:spacing w:before="100" w:beforeAutospacing="1" w:after="100" w:afterAutospacing="1" w:line="240" w:lineRule="auto"/>
            <w:contextualSpacing/>
            <w:jc w:val="left"/>
          </w:pPr>
          <w:r>
            <w:rPr>
              <w:b/>
              <w:bCs/>
              <w:lang w:val="zh-CN"/>
            </w:rPr>
            <w:fldChar w:fldCharType="end"/>
          </w:r>
        </w:p>
      </w:sdtContent>
    </w:sdt>
    <w:p w14:paraId="53DD67D8" w14:textId="77777777" w:rsidR="009D5DEA" w:rsidRDefault="009D5DEA">
      <w:pPr>
        <w:widowControl/>
        <w:jc w:val="center"/>
        <w:rPr>
          <w:rFonts w:ascii="黑体" w:eastAsia="黑体" w:hAnsi="黑体" w:hint="eastAsia"/>
        </w:rPr>
        <w:sectPr w:rsidR="009D5DEA">
          <w:footerReference w:type="default" r:id="rId9"/>
          <w:pgSz w:w="11906" w:h="16838"/>
          <w:pgMar w:top="1440" w:right="1800" w:bottom="1440" w:left="1800" w:header="851" w:footer="992" w:gutter="0"/>
          <w:pgNumType w:start="1"/>
          <w:cols w:space="425"/>
          <w:docGrid w:type="lines" w:linePitch="312"/>
        </w:sectPr>
      </w:pPr>
    </w:p>
    <w:p w14:paraId="6FE5B570" w14:textId="77777777" w:rsidR="009D5DEA" w:rsidRDefault="00000000">
      <w:pPr>
        <w:widowControl/>
        <w:spacing w:after="0" w:line="560" w:lineRule="exact"/>
        <w:jc w:val="center"/>
        <w:outlineLvl w:val="0"/>
        <w:rPr>
          <w:rFonts w:ascii="黑体" w:eastAsia="黑体" w:hAnsi="黑体" w:hint="eastAsia"/>
          <w:sz w:val="36"/>
          <w:szCs w:val="36"/>
        </w:rPr>
      </w:pPr>
      <w:bookmarkStart w:id="0" w:name="_Toc220337754"/>
      <w:r>
        <w:rPr>
          <w:rFonts w:ascii="黑体" w:eastAsia="黑体" w:hAnsi="黑体" w:hint="eastAsia"/>
          <w:sz w:val="36"/>
          <w:szCs w:val="36"/>
        </w:rPr>
        <w:lastRenderedPageBreak/>
        <w:t>前  言</w:t>
      </w:r>
      <w:bookmarkEnd w:id="0"/>
    </w:p>
    <w:p w14:paraId="5A6E8013" w14:textId="77777777" w:rsidR="009D5DEA" w:rsidRDefault="009D5DEA">
      <w:pPr>
        <w:widowControl/>
        <w:spacing w:after="0" w:line="560" w:lineRule="exact"/>
        <w:ind w:firstLineChars="200" w:firstLine="640"/>
        <w:jc w:val="left"/>
      </w:pPr>
    </w:p>
    <w:p w14:paraId="5C343271" w14:textId="77777777" w:rsidR="009D5DEA" w:rsidRDefault="00000000">
      <w:pPr>
        <w:widowControl/>
        <w:spacing w:after="0" w:line="560" w:lineRule="exact"/>
        <w:ind w:firstLineChars="200" w:firstLine="640"/>
        <w:jc w:val="left"/>
      </w:pPr>
      <w:r>
        <w:t>当前，全球正经历百年未有之大变局，新一轮科技革命和产业变革深入发展，数字技术日益融入经济社会发展各领域全过程，深刻改变着生产方式、生活方式和社会治理方式。数字政府作为数字时代国家治理体系和治理能力现代化的重要支撑，已成为全球主要国家提升国家竞争力和创新力的战略选择。我国高度重视数字中国建设，党的二十大报告将</w:t>
      </w:r>
      <w:r>
        <w:rPr>
          <w:rFonts w:hint="eastAsia"/>
        </w:rPr>
        <w:t>“</w:t>
      </w:r>
      <w:r>
        <w:t>加快建设数字中国</w:t>
      </w:r>
      <w:r>
        <w:rPr>
          <w:rFonts w:hint="eastAsia"/>
        </w:rPr>
        <w:t>”</w:t>
      </w:r>
      <w:r>
        <w:t>置于国家发展的重要战略位置，数字政府建设是其中的基础性和先导性工程。广东省、深圳市亦相继出台系列政策文件，全面部署数字政府和智慧城市建设，为区域高质量发展注入强大数字动能。</w:t>
      </w:r>
    </w:p>
    <w:p w14:paraId="597FF536" w14:textId="77777777" w:rsidR="009D5DEA" w:rsidRDefault="00000000">
      <w:pPr>
        <w:widowControl/>
        <w:spacing w:after="0" w:line="560" w:lineRule="exact"/>
        <w:ind w:firstLineChars="200" w:firstLine="640"/>
        <w:jc w:val="left"/>
      </w:pPr>
      <w:proofErr w:type="gramStart"/>
      <w:r>
        <w:t>龙华区</w:t>
      </w:r>
      <w:proofErr w:type="gramEnd"/>
      <w:r>
        <w:t>作为深圳</w:t>
      </w:r>
      <w:r>
        <w:rPr>
          <w:rFonts w:hint="eastAsia"/>
        </w:rPr>
        <w:t>市重点片区之一</w:t>
      </w:r>
      <w:r>
        <w:t>，正处于全面建设</w:t>
      </w:r>
      <w:r>
        <w:rPr>
          <w:rFonts w:hint="eastAsia"/>
        </w:rPr>
        <w:t>数字政府</w:t>
      </w:r>
      <w:r>
        <w:t>的关键时期，肩负着打造深圳数字经济核心区主阵地的历史使命。在</w:t>
      </w:r>
      <w:r>
        <w:rPr>
          <w:rFonts w:hint="eastAsia"/>
        </w:rPr>
        <w:t>“</w:t>
      </w:r>
      <w:r>
        <w:t>十四五</w:t>
      </w:r>
      <w:r>
        <w:rPr>
          <w:rFonts w:hint="eastAsia"/>
        </w:rPr>
        <w:t>”期间</w:t>
      </w:r>
      <w:r>
        <w:t>，</w:t>
      </w:r>
      <w:proofErr w:type="gramStart"/>
      <w:r>
        <w:t>龙华区数字</w:t>
      </w:r>
      <w:proofErr w:type="gramEnd"/>
      <w:r>
        <w:t>政府建设取得了显著成效，数字基础设施不断夯实，政务服务效能持续提升，数字经济活力加速释放，为</w:t>
      </w:r>
      <w:r>
        <w:rPr>
          <w:rFonts w:hint="eastAsia"/>
        </w:rPr>
        <w:t>“</w:t>
      </w:r>
      <w:r>
        <w:t>十五五</w:t>
      </w:r>
      <w:r>
        <w:rPr>
          <w:rFonts w:hint="eastAsia"/>
        </w:rPr>
        <w:t>”</w:t>
      </w:r>
      <w:r>
        <w:t>时期数字政府建设迈向更高水平奠定了坚实基础。然而，对照国际先进水平和人民群众日益增长的美好生活需要，</w:t>
      </w:r>
      <w:proofErr w:type="gramStart"/>
      <w:r>
        <w:t>龙华区数字</w:t>
      </w:r>
      <w:proofErr w:type="gramEnd"/>
      <w:r>
        <w:t>政府建设仍面临数据要素价值释放不充分、数字技术与业务融合有待深化、数字鸿沟依然存在、网络安全挑战加剧等问题与挑战。</w:t>
      </w:r>
    </w:p>
    <w:p w14:paraId="1CEF027E" w14:textId="77777777" w:rsidR="009D5DEA" w:rsidRDefault="00000000">
      <w:pPr>
        <w:widowControl/>
        <w:spacing w:after="0" w:line="560" w:lineRule="exact"/>
        <w:ind w:firstLineChars="200" w:firstLine="640"/>
      </w:pPr>
      <w:r>
        <w:rPr>
          <w:rFonts w:hint="eastAsia"/>
        </w:rPr>
        <w:lastRenderedPageBreak/>
        <w:t>第十五个五年规划时期（</w:t>
      </w:r>
      <w:r>
        <w:rPr>
          <w:rFonts w:ascii="仿宋_GB2312" w:hint="eastAsia"/>
        </w:rPr>
        <w:t>2026</w:t>
      </w:r>
      <w:r>
        <w:rPr>
          <w:rFonts w:hint="eastAsia"/>
        </w:rPr>
        <w:t>年至</w:t>
      </w:r>
      <w:r>
        <w:rPr>
          <w:rFonts w:ascii="仿宋_GB2312" w:hint="eastAsia"/>
        </w:rPr>
        <w:t>2030</w:t>
      </w:r>
      <w:r>
        <w:rPr>
          <w:rFonts w:hint="eastAsia"/>
        </w:rPr>
        <w:t>年）</w:t>
      </w:r>
      <w:r>
        <w:t>是</w:t>
      </w:r>
      <w:proofErr w:type="gramStart"/>
      <w:r>
        <w:t>龙华区</w:t>
      </w:r>
      <w:proofErr w:type="gramEnd"/>
      <w:r>
        <w:t>实现高质量发展、加快建成</w:t>
      </w:r>
      <w:r>
        <w:rPr>
          <w:rFonts w:hint="eastAsia"/>
        </w:rPr>
        <w:t>大湾区</w:t>
      </w:r>
      <w:r>
        <w:t>现代化国际化创新型中轴新城的攻坚阶段，也是</w:t>
      </w:r>
      <w:r>
        <w:rPr>
          <w:rFonts w:hint="eastAsia"/>
        </w:rPr>
        <w:t>“</w:t>
      </w:r>
      <w:r>
        <w:t>数</w:t>
      </w:r>
      <w:r>
        <w:rPr>
          <w:rFonts w:hint="eastAsia"/>
        </w:rPr>
        <w:t>智</w:t>
      </w:r>
      <w:r>
        <w:t>龙华</w:t>
      </w:r>
      <w:r>
        <w:rPr>
          <w:rFonts w:hint="eastAsia"/>
        </w:rPr>
        <w:t>”</w:t>
      </w:r>
      <w:r>
        <w:t>建设从</w:t>
      </w:r>
      <w:proofErr w:type="gramStart"/>
      <w:r>
        <w:t>夯基垒台向</w:t>
      </w:r>
      <w:proofErr w:type="gramEnd"/>
      <w:r>
        <w:t>整体跃升、从重点突破向全面深化的关键五年。编制和实施《深圳市龙华区数字政府建设</w:t>
      </w:r>
      <w:r>
        <w:rPr>
          <w:rFonts w:hint="eastAsia"/>
        </w:rPr>
        <w:t>第十五个</w:t>
      </w:r>
      <w:r>
        <w:t>五</w:t>
      </w:r>
      <w:r>
        <w:rPr>
          <w:rFonts w:hint="eastAsia"/>
        </w:rPr>
        <w:t>年</w:t>
      </w:r>
      <w:r>
        <w:t>规划》，对于全面贯彻落实国家、省、市</w:t>
      </w:r>
      <w:r>
        <w:rPr>
          <w:rFonts w:hint="eastAsia"/>
        </w:rPr>
        <w:t>及区</w:t>
      </w:r>
      <w:r>
        <w:t>关于数字政府建设的决策部署，系统谋划未来五年</w:t>
      </w:r>
      <w:proofErr w:type="gramStart"/>
      <w:r>
        <w:t>龙华区数字</w:t>
      </w:r>
      <w:proofErr w:type="gramEnd"/>
      <w:r>
        <w:t>政府发展的目标任务、重点举措和实施路径，以数字化</w:t>
      </w:r>
      <w:r>
        <w:rPr>
          <w:rFonts w:hint="eastAsia"/>
        </w:rPr>
        <w:t>、智能化建设</w:t>
      </w:r>
      <w:r>
        <w:t>驱动治理体系和治理能力现代化，赋能经济社会高质量发展，提升人民群众获得感、幸福感、安全感，具有十分重要的战略意义和现实意义。本规划旨在明确</w:t>
      </w:r>
      <w:proofErr w:type="gramStart"/>
      <w:r>
        <w:t>龙华区</w:t>
      </w:r>
      <w:proofErr w:type="gramEnd"/>
      <w:r>
        <w:rPr>
          <w:rFonts w:hint="eastAsia"/>
        </w:rPr>
        <w:t>“</w:t>
      </w:r>
      <w:r>
        <w:t>十五五</w:t>
      </w:r>
      <w:r>
        <w:rPr>
          <w:rFonts w:hint="eastAsia"/>
        </w:rPr>
        <w:t>”</w:t>
      </w:r>
      <w:r>
        <w:t>时期数字政府建设的指导思想、基本原则、发展目标、主要任务和保障措施，是指导全区各部门各单位开展数字政府相关工作的行动纲领。</w:t>
      </w:r>
    </w:p>
    <w:p w14:paraId="183F6881" w14:textId="77777777" w:rsidR="009D5DEA" w:rsidRDefault="00000000">
      <w:pPr>
        <w:pStyle w:val="1"/>
        <w:numPr>
          <w:ilvl w:val="0"/>
          <w:numId w:val="1"/>
        </w:numPr>
        <w:spacing w:before="0" w:after="0" w:line="560" w:lineRule="exact"/>
        <w:rPr>
          <w:rFonts w:ascii="黑体" w:eastAsia="黑体" w:hAnsi="黑体" w:hint="eastAsia"/>
          <w:color w:val="000000" w:themeColor="text1"/>
          <w:sz w:val="32"/>
          <w:szCs w:val="32"/>
        </w:rPr>
      </w:pPr>
      <w:r>
        <w:br w:type="page"/>
      </w:r>
      <w:bookmarkStart w:id="1" w:name="_Toc220337755"/>
      <w:r>
        <w:rPr>
          <w:rFonts w:ascii="黑体" w:eastAsia="黑体" w:hAnsi="黑体" w:hint="eastAsia"/>
          <w:color w:val="000000" w:themeColor="text1"/>
          <w:sz w:val="32"/>
          <w:szCs w:val="32"/>
        </w:rPr>
        <w:lastRenderedPageBreak/>
        <w:t>发展现状</w:t>
      </w:r>
      <w:bookmarkEnd w:id="1"/>
    </w:p>
    <w:p w14:paraId="5398D057" w14:textId="77777777" w:rsidR="009D5DEA" w:rsidRDefault="00000000">
      <w:pPr>
        <w:pStyle w:val="2"/>
        <w:numPr>
          <w:ilvl w:val="0"/>
          <w:numId w:val="2"/>
        </w:numPr>
        <w:spacing w:before="0" w:after="0" w:line="560" w:lineRule="exact"/>
        <w:ind w:leftChars="221" w:left="707" w:firstLine="0"/>
        <w:rPr>
          <w:rFonts w:ascii="楷体_GB2312" w:eastAsia="楷体_GB2312" w:hAnsiTheme="minorHAnsi" w:cstheme="minorBidi" w:hint="eastAsia"/>
          <w:bCs/>
          <w:color w:val="auto"/>
          <w:sz w:val="32"/>
          <w:szCs w:val="24"/>
        </w:rPr>
      </w:pPr>
      <w:bookmarkStart w:id="2" w:name="_Toc220337756"/>
      <w:r>
        <w:rPr>
          <w:rFonts w:ascii="楷体_GB2312" w:eastAsia="楷体_GB2312" w:hAnsiTheme="minorHAnsi" w:cstheme="minorBidi" w:hint="eastAsia"/>
          <w:bCs/>
          <w:color w:val="auto"/>
          <w:sz w:val="32"/>
          <w:szCs w:val="24"/>
        </w:rPr>
        <w:t>建设成果</w:t>
      </w:r>
      <w:bookmarkEnd w:id="2"/>
    </w:p>
    <w:p w14:paraId="287D6B47" w14:textId="77777777" w:rsidR="009D5DEA" w:rsidRDefault="00000000">
      <w:pPr>
        <w:spacing w:after="0" w:line="560" w:lineRule="exact"/>
        <w:ind w:firstLineChars="200" w:firstLine="640"/>
      </w:pPr>
      <w:r>
        <w:rPr>
          <w:rFonts w:hint="eastAsia"/>
        </w:rPr>
        <w:t>“十四五”期间，深圳市</w:t>
      </w:r>
      <w:proofErr w:type="gramStart"/>
      <w:r>
        <w:rPr>
          <w:rFonts w:hint="eastAsia"/>
        </w:rPr>
        <w:t>龙华区</w:t>
      </w:r>
      <w:proofErr w:type="gramEnd"/>
      <w:r>
        <w:rPr>
          <w:rFonts w:hint="eastAsia"/>
        </w:rPr>
        <w:t>积极推进“智慧龙华”和“数字政府”建设</w:t>
      </w:r>
      <w:r>
        <w:t>，城市数字化、网络化、智能化水平不断跃升。政务服务效能持续提升，公共服务覆盖更加广泛，城市治理精准化、智能化水平显著</w:t>
      </w:r>
      <w:r>
        <w:rPr>
          <w:rFonts w:hint="eastAsia"/>
        </w:rPr>
        <w:t>提升</w:t>
      </w:r>
      <w:r>
        <w:t>，数据要素价值加快释放，数字基础设施体系不断完善，网络信息安全保障能力持续增强，全面构建起高效协同、智能支撑、服务惠民的数字治理新格局，为全区经济社会高质量发展提供了坚实支撑和有力保障。</w:t>
      </w:r>
    </w:p>
    <w:p w14:paraId="6E895C2E" w14:textId="77777777" w:rsidR="009D5DEA" w:rsidRDefault="00000000">
      <w:pPr>
        <w:pStyle w:val="afa"/>
        <w:numPr>
          <w:ilvl w:val="0"/>
          <w:numId w:val="3"/>
        </w:numPr>
        <w:spacing w:after="0" w:line="560" w:lineRule="exact"/>
        <w:rPr>
          <w:b/>
          <w:bCs/>
        </w:rPr>
      </w:pPr>
      <w:r>
        <w:rPr>
          <w:rFonts w:hint="eastAsia"/>
          <w:b/>
          <w:bCs/>
        </w:rPr>
        <w:t>政务服务效能明显增强</w:t>
      </w:r>
    </w:p>
    <w:p w14:paraId="26A2454D" w14:textId="77777777" w:rsidR="009D5DEA" w:rsidRDefault="00000000">
      <w:pPr>
        <w:spacing w:after="0" w:line="560" w:lineRule="exact"/>
        <w:ind w:firstLineChars="200" w:firstLine="640"/>
        <w:rPr>
          <w:rFonts w:ascii="仿宋_GB2312"/>
          <w:b/>
          <w:bCs/>
        </w:rPr>
      </w:pPr>
      <w:r>
        <w:rPr>
          <w:rFonts w:ascii="仿宋_GB2312" w:hint="eastAsia"/>
        </w:rPr>
        <w:t>政务服务数字化实现突破。建成龙华“政务1厅”系统，实现政务服务事项指尖可办</w:t>
      </w:r>
      <w:proofErr w:type="gramStart"/>
      <w:r>
        <w:rPr>
          <w:rFonts w:ascii="仿宋_GB2312" w:hint="eastAsia"/>
        </w:rPr>
        <w:t>比例超</w:t>
      </w:r>
      <w:proofErr w:type="gramEnd"/>
      <w:r>
        <w:rPr>
          <w:rFonts w:ascii="仿宋_GB2312" w:hint="eastAsia"/>
        </w:rPr>
        <w:t>95%，网上办理率提升至85%。全面推广电子证照应用，累计签发电子证照61.3万份，调用电子证照量超227万次，位列全市第三。全市首创“政务+直播”活动，架起“云端送政策、直播解难题”</w:t>
      </w:r>
      <w:proofErr w:type="gramStart"/>
      <w:r>
        <w:rPr>
          <w:rFonts w:ascii="仿宋_GB2312" w:hint="eastAsia"/>
        </w:rPr>
        <w:t>政民互动</w:t>
      </w:r>
      <w:proofErr w:type="gramEnd"/>
      <w:r>
        <w:rPr>
          <w:rFonts w:ascii="仿宋_GB2312" w:hint="eastAsia"/>
        </w:rPr>
        <w:t>桥梁。</w:t>
      </w:r>
      <w:proofErr w:type="gramStart"/>
      <w:r>
        <w:rPr>
          <w:rFonts w:ascii="仿宋_GB2312" w:hint="eastAsia"/>
        </w:rPr>
        <w:t>秒批事项</w:t>
      </w:r>
      <w:proofErr w:type="gramEnd"/>
      <w:r>
        <w:rPr>
          <w:rFonts w:ascii="仿宋_GB2312" w:hint="eastAsia"/>
        </w:rPr>
        <w:t>达103项、</w:t>
      </w:r>
      <w:proofErr w:type="gramStart"/>
      <w:r>
        <w:rPr>
          <w:rFonts w:ascii="仿宋_GB2312" w:hint="eastAsia"/>
        </w:rPr>
        <w:t>容缺受理</w:t>
      </w:r>
      <w:proofErr w:type="gramEnd"/>
      <w:r>
        <w:rPr>
          <w:rFonts w:ascii="仿宋_GB2312" w:hint="eastAsia"/>
        </w:rPr>
        <w:t>事项达150项。政务服务质量和效率大幅提升，利企惠民服务成效显著，有力支撑了营商环境优化和民生服务提质增效。</w:t>
      </w:r>
    </w:p>
    <w:p w14:paraId="3A4966BA" w14:textId="77777777" w:rsidR="009D5DEA" w:rsidRDefault="00000000">
      <w:pPr>
        <w:pStyle w:val="afa"/>
        <w:numPr>
          <w:ilvl w:val="0"/>
          <w:numId w:val="3"/>
        </w:numPr>
        <w:spacing w:after="0" w:line="560" w:lineRule="exact"/>
        <w:rPr>
          <w:b/>
          <w:bCs/>
        </w:rPr>
      </w:pPr>
      <w:r>
        <w:rPr>
          <w:rFonts w:hint="eastAsia"/>
          <w:b/>
          <w:bCs/>
        </w:rPr>
        <w:t>公共服务应用广泛覆盖</w:t>
      </w:r>
    </w:p>
    <w:p w14:paraId="2CF6B98D" w14:textId="77777777" w:rsidR="009D5DEA" w:rsidRDefault="00000000">
      <w:pPr>
        <w:spacing w:after="0" w:line="560" w:lineRule="exact"/>
        <w:ind w:firstLineChars="200" w:firstLine="640"/>
      </w:pPr>
      <w:r>
        <w:rPr>
          <w:rFonts w:hint="eastAsia"/>
        </w:rPr>
        <w:t>智慧公共服务惠及民生。“智慧教育”一体化数字平台加速推进，“智慧医疗”应用全面升级，区内医院全部实现国家四级信息互联互通，打造跨系统医疗服务新模式。“智慧交通”二期项目启动，道路监控设施覆盖率有效提升。</w:t>
      </w:r>
      <w:r>
        <w:rPr>
          <w:rFonts w:hint="eastAsia"/>
        </w:rPr>
        <w:lastRenderedPageBreak/>
        <w:t>“智慧养老”服务平台与社区养老设施深度融合，实现数据资源整合与精准服务，居民获得</w:t>
      </w:r>
      <w:proofErr w:type="gramStart"/>
      <w:r>
        <w:rPr>
          <w:rFonts w:hint="eastAsia"/>
        </w:rPr>
        <w:t>感不断</w:t>
      </w:r>
      <w:proofErr w:type="gramEnd"/>
      <w:r>
        <w:rPr>
          <w:rFonts w:hint="eastAsia"/>
        </w:rPr>
        <w:t>增强</w:t>
      </w:r>
      <w:r>
        <w:t>，公共服务数字化水平实现质的飞跃。</w:t>
      </w:r>
    </w:p>
    <w:p w14:paraId="103910BF" w14:textId="77777777" w:rsidR="009D5DEA" w:rsidRDefault="00000000">
      <w:pPr>
        <w:pStyle w:val="afa"/>
        <w:numPr>
          <w:ilvl w:val="0"/>
          <w:numId w:val="3"/>
        </w:numPr>
        <w:spacing w:after="0" w:line="560" w:lineRule="exact"/>
        <w:rPr>
          <w:b/>
          <w:bCs/>
        </w:rPr>
      </w:pPr>
      <w:r>
        <w:rPr>
          <w:rFonts w:hint="eastAsia"/>
          <w:b/>
          <w:bCs/>
        </w:rPr>
        <w:t>区域治理能力持续提升</w:t>
      </w:r>
    </w:p>
    <w:p w14:paraId="78441D8A" w14:textId="77777777" w:rsidR="009D5DEA" w:rsidRDefault="00000000">
      <w:pPr>
        <w:spacing w:after="0" w:line="560" w:lineRule="exact"/>
        <w:ind w:firstLineChars="200" w:firstLine="640"/>
        <w:rPr>
          <w:rFonts w:ascii="仿宋_GB2312"/>
        </w:rPr>
      </w:pPr>
      <w:r>
        <w:rPr>
          <w:rFonts w:ascii="仿宋_GB2312" w:hint="eastAsia"/>
        </w:rPr>
        <w:t>生态与社会治理迈向精准智能。生态环境管理平台完成升级，覆盖400多家企业和工业园区，实现废水、废气、固废的实时监控与预警。应急指挥中心与气象服务中心建设取得突破，城市治理数据资源更加丰富，社区治理数字化转型显著提速，社会综合治理能力显著增强</w:t>
      </w:r>
      <w:r>
        <w:rPr>
          <w:rFonts w:ascii="仿宋_GB2312"/>
        </w:rPr>
        <w:t>，为城市安全稳定运行提供了有力保障。</w:t>
      </w:r>
    </w:p>
    <w:p w14:paraId="682E3323" w14:textId="77777777" w:rsidR="009D5DEA" w:rsidRDefault="00000000">
      <w:pPr>
        <w:pStyle w:val="afa"/>
        <w:numPr>
          <w:ilvl w:val="0"/>
          <w:numId w:val="3"/>
        </w:numPr>
        <w:spacing w:after="0" w:line="560" w:lineRule="exact"/>
        <w:rPr>
          <w:b/>
          <w:bCs/>
        </w:rPr>
      </w:pPr>
      <w:r>
        <w:rPr>
          <w:b/>
          <w:bCs/>
        </w:rPr>
        <w:t>数据强基</w:t>
      </w:r>
      <w:r>
        <w:rPr>
          <w:rFonts w:hint="eastAsia"/>
          <w:b/>
          <w:bCs/>
        </w:rPr>
        <w:t>赋能高质量</w:t>
      </w:r>
      <w:r>
        <w:rPr>
          <w:b/>
          <w:bCs/>
        </w:rPr>
        <w:t>发展</w:t>
      </w:r>
    </w:p>
    <w:p w14:paraId="4F6CB73B" w14:textId="77777777" w:rsidR="009D5DEA" w:rsidRDefault="00000000">
      <w:pPr>
        <w:spacing w:after="0" w:line="560" w:lineRule="exact"/>
        <w:ind w:firstLineChars="200" w:firstLine="640"/>
        <w:rPr>
          <w:rFonts w:ascii="仿宋_GB2312"/>
        </w:rPr>
      </w:pPr>
      <w:r>
        <w:rPr>
          <w:rFonts w:ascii="仿宋_GB2312" w:hint="eastAsia"/>
        </w:rPr>
        <w:t>数据治理与应用走向深入。经济大数据综合平台全面上线，汇聚市区各类经济数据超5亿条，实现企业风险预警、产业</w:t>
      </w:r>
      <w:proofErr w:type="gramStart"/>
      <w:r>
        <w:rPr>
          <w:rFonts w:ascii="仿宋_GB2312" w:hint="eastAsia"/>
        </w:rPr>
        <w:t>链发展</w:t>
      </w:r>
      <w:proofErr w:type="gramEnd"/>
      <w:r>
        <w:rPr>
          <w:rFonts w:ascii="仿宋_GB2312" w:hint="eastAsia"/>
        </w:rPr>
        <w:t>策略分析和产业政策精准推送。政务数据编目4000余项，数据资源共享超700项，数据开发利用能力显著提升，数据驱动决策与产业发展的新格局基本形成，为龙华经济高质量发展提供了有力的数据支撑</w:t>
      </w:r>
      <w:r>
        <w:rPr>
          <w:rFonts w:ascii="仿宋_GB2312"/>
        </w:rPr>
        <w:t>。</w:t>
      </w:r>
    </w:p>
    <w:p w14:paraId="18BE3365" w14:textId="77777777" w:rsidR="009D5DEA" w:rsidRDefault="00000000">
      <w:pPr>
        <w:pStyle w:val="afa"/>
        <w:numPr>
          <w:ilvl w:val="0"/>
          <w:numId w:val="3"/>
        </w:numPr>
        <w:spacing w:after="0" w:line="560" w:lineRule="exact"/>
        <w:rPr>
          <w:b/>
          <w:bCs/>
        </w:rPr>
      </w:pPr>
      <w:r>
        <w:rPr>
          <w:rFonts w:hint="eastAsia"/>
          <w:b/>
          <w:bCs/>
        </w:rPr>
        <w:t>数字基础设施日趋完善</w:t>
      </w:r>
    </w:p>
    <w:p w14:paraId="53C65ED1" w14:textId="77777777" w:rsidR="009D5DEA" w:rsidRDefault="00000000">
      <w:pPr>
        <w:spacing w:after="0" w:line="560" w:lineRule="exact"/>
        <w:ind w:firstLineChars="200" w:firstLine="640"/>
        <w:rPr>
          <w:rFonts w:ascii="仿宋_GB2312"/>
          <w:b/>
          <w:bCs/>
        </w:rPr>
      </w:pPr>
      <w:r>
        <w:rPr>
          <w:rFonts w:ascii="仿宋_GB2312" w:hint="eastAsia"/>
        </w:rPr>
        <w:t>基础设施建设加速推进。政务云国产化</w:t>
      </w:r>
      <w:proofErr w:type="gramStart"/>
      <w:r>
        <w:rPr>
          <w:rFonts w:ascii="仿宋_GB2312" w:hint="eastAsia"/>
        </w:rPr>
        <w:t>通用算力资源</w:t>
      </w:r>
      <w:proofErr w:type="gramEnd"/>
      <w:r>
        <w:rPr>
          <w:rFonts w:ascii="仿宋_GB2312" w:hint="eastAsia"/>
        </w:rPr>
        <w:t>扩容至9526核，政务骨干网络实现万兆升级，政务网络节点延伸至社区、医疗、教育等机构，建设覆盖气象、水情、边坡、环卫环保等多类型终端</w:t>
      </w:r>
      <w:proofErr w:type="gramStart"/>
      <w:r>
        <w:rPr>
          <w:rFonts w:ascii="仿宋_GB2312" w:hint="eastAsia"/>
        </w:rPr>
        <w:t>的物联感知</w:t>
      </w:r>
      <w:proofErr w:type="gramEnd"/>
      <w:r>
        <w:rPr>
          <w:rFonts w:ascii="仿宋_GB2312" w:hint="eastAsia"/>
        </w:rPr>
        <w:t>平台，新建228个标准电子政务边缘计算机架，实现城区</w:t>
      </w:r>
      <w:proofErr w:type="gramStart"/>
      <w:r>
        <w:rPr>
          <w:rFonts w:ascii="仿宋_GB2312" w:hint="eastAsia"/>
        </w:rPr>
        <w:t>算力基础</w:t>
      </w:r>
      <w:proofErr w:type="gramEnd"/>
      <w:r>
        <w:rPr>
          <w:rFonts w:ascii="仿宋_GB2312" w:hint="eastAsia"/>
        </w:rPr>
        <w:t>设施稳步提升，为全区数字化发展提供坚实支撑，有效保障了全</w:t>
      </w:r>
      <w:r>
        <w:rPr>
          <w:rFonts w:ascii="仿宋_GB2312" w:hint="eastAsia"/>
        </w:rPr>
        <w:lastRenderedPageBreak/>
        <w:t>区业务系统的顺畅运行。</w:t>
      </w:r>
    </w:p>
    <w:p w14:paraId="7C304972" w14:textId="77777777" w:rsidR="009D5DEA" w:rsidRDefault="00000000">
      <w:pPr>
        <w:pStyle w:val="afa"/>
        <w:numPr>
          <w:ilvl w:val="0"/>
          <w:numId w:val="3"/>
        </w:numPr>
        <w:spacing w:after="0" w:line="560" w:lineRule="exact"/>
        <w:rPr>
          <w:b/>
          <w:bCs/>
        </w:rPr>
      </w:pPr>
      <w:r>
        <w:rPr>
          <w:rFonts w:hint="eastAsia"/>
          <w:b/>
          <w:bCs/>
        </w:rPr>
        <w:t>网络信息安全保障有力</w:t>
      </w:r>
    </w:p>
    <w:p w14:paraId="637E8C3A" w14:textId="77777777" w:rsidR="009D5DEA" w:rsidRDefault="00000000">
      <w:pPr>
        <w:spacing w:after="0" w:line="560" w:lineRule="exact"/>
        <w:ind w:firstLineChars="200" w:firstLine="640"/>
        <w:rPr>
          <w:rFonts w:ascii="仿宋_GB2312"/>
        </w:rPr>
      </w:pPr>
      <w:r>
        <w:rPr>
          <w:rFonts w:ascii="仿宋_GB2312" w:hint="eastAsia"/>
        </w:rPr>
        <w:t>信息安全体系日益完善。构建网络安全纵深防御体系2.0，编制完成《龙华区数据管理顶层设计规划》，制定出台数据安全事件应急预案及供应链安全管理办法，政务数据安全保护机制和网络信息安全防控能力不断增强，筑牢区域数字转型的安全防线</w:t>
      </w:r>
      <w:r>
        <w:rPr>
          <w:rFonts w:ascii="仿宋_GB2312"/>
        </w:rPr>
        <w:t>，为数字政府建设提供了坚实的安全保障。</w:t>
      </w:r>
    </w:p>
    <w:p w14:paraId="08D689FB" w14:textId="77777777" w:rsidR="009D5DEA" w:rsidRDefault="00000000">
      <w:pPr>
        <w:pStyle w:val="2"/>
        <w:numPr>
          <w:ilvl w:val="0"/>
          <w:numId w:val="2"/>
        </w:numPr>
        <w:spacing w:before="0" w:after="0" w:line="560" w:lineRule="exact"/>
        <w:ind w:leftChars="221" w:left="707" w:firstLine="0"/>
        <w:rPr>
          <w:rFonts w:ascii="楷体_GB2312" w:eastAsia="楷体_GB2312" w:hAnsiTheme="minorHAnsi" w:cstheme="minorBidi" w:hint="eastAsia"/>
          <w:bCs/>
          <w:color w:val="auto"/>
          <w:sz w:val="32"/>
          <w:szCs w:val="24"/>
        </w:rPr>
      </w:pPr>
      <w:bookmarkStart w:id="3" w:name="_Toc220337757"/>
      <w:r>
        <w:rPr>
          <w:rFonts w:ascii="楷体_GB2312" w:eastAsia="楷体_GB2312" w:hAnsiTheme="minorHAnsi" w:cstheme="minorBidi" w:hint="eastAsia"/>
          <w:bCs/>
          <w:color w:val="auto"/>
          <w:sz w:val="32"/>
          <w:szCs w:val="24"/>
        </w:rPr>
        <w:t>发展趋势</w:t>
      </w:r>
      <w:bookmarkEnd w:id="3"/>
    </w:p>
    <w:p w14:paraId="29780DCB" w14:textId="77777777" w:rsidR="009D5DEA" w:rsidRDefault="00000000">
      <w:pPr>
        <w:spacing w:after="0" w:line="560" w:lineRule="exact"/>
        <w:ind w:firstLineChars="200" w:firstLine="640"/>
      </w:pPr>
      <w:r>
        <w:rPr>
          <w:rFonts w:hint="eastAsia"/>
        </w:rPr>
        <w:t>“十五五”时期，数字化发展环境和趋势为</w:t>
      </w:r>
      <w:proofErr w:type="gramStart"/>
      <w:r>
        <w:rPr>
          <w:rFonts w:hint="eastAsia"/>
        </w:rPr>
        <w:t>龙华区</w:t>
      </w:r>
      <w:proofErr w:type="gramEnd"/>
      <w:r>
        <w:rPr>
          <w:rFonts w:hint="eastAsia"/>
        </w:rPr>
        <w:t>推进数字政府建设带来新的机遇与挑战。在国家、省市战略牵引和技术革命浪潮下，</w:t>
      </w:r>
      <w:proofErr w:type="gramStart"/>
      <w:r>
        <w:rPr>
          <w:rFonts w:hint="eastAsia"/>
        </w:rPr>
        <w:t>龙华区</w:t>
      </w:r>
      <w:proofErr w:type="gramEnd"/>
      <w:r>
        <w:rPr>
          <w:rFonts w:hint="eastAsia"/>
        </w:rPr>
        <w:t>将乘势而上，紧扣市级顶层设计、大胆创新实践，进一步发挥数字政府对优化治理、服务民生和促进发展的关键作用。</w:t>
      </w:r>
    </w:p>
    <w:p w14:paraId="7DB5F3A4" w14:textId="77777777" w:rsidR="009D5DEA" w:rsidRDefault="00000000">
      <w:pPr>
        <w:spacing w:after="0" w:line="560" w:lineRule="exact"/>
        <w:ind w:firstLineChars="200" w:firstLine="643"/>
      </w:pPr>
      <w:r>
        <w:rPr>
          <w:rFonts w:hint="eastAsia"/>
          <w:b/>
          <w:bCs/>
        </w:rPr>
        <w:t>国家战略明确。</w:t>
      </w:r>
      <w:r>
        <w:rPr>
          <w:rFonts w:hint="eastAsia"/>
        </w:rPr>
        <w:t>党中央、国务院高度重视数字中国、网络强国和智慧社会建设，先后出台一系列战略部署。“数字中国”整体布局规划发布实施，为各级政府数字化转型指明了方向。广东省“</w:t>
      </w:r>
      <w:r>
        <w:rPr>
          <w:rFonts w:ascii="仿宋_GB2312" w:hint="eastAsia"/>
        </w:rPr>
        <w:t>1310</w:t>
      </w:r>
      <w:r>
        <w:rPr>
          <w:rFonts w:hint="eastAsia"/>
        </w:rPr>
        <w:t>”数字经济战略和深圳市建设中国特色社会主义先行示范区的“五大战略定位”“五个率先”目标，要求</w:t>
      </w:r>
      <w:proofErr w:type="gramStart"/>
      <w:r>
        <w:rPr>
          <w:rFonts w:hint="eastAsia"/>
        </w:rPr>
        <w:t>龙华区</w:t>
      </w:r>
      <w:proofErr w:type="gramEnd"/>
      <w:r>
        <w:rPr>
          <w:rFonts w:hint="eastAsia"/>
        </w:rPr>
        <w:t>在数字政府改革上勇当尖兵、率先示范。</w:t>
      </w:r>
    </w:p>
    <w:p w14:paraId="4850E50C" w14:textId="77777777" w:rsidR="009D5DEA" w:rsidRDefault="00000000">
      <w:pPr>
        <w:spacing w:after="0" w:line="560" w:lineRule="exact"/>
        <w:ind w:firstLineChars="200" w:firstLine="643"/>
      </w:pPr>
      <w:r>
        <w:rPr>
          <w:rFonts w:hint="eastAsia"/>
          <w:b/>
          <w:bCs/>
        </w:rPr>
        <w:t>技术迭代加速。</w:t>
      </w:r>
      <w:r>
        <w:rPr>
          <w:rFonts w:hint="eastAsia"/>
        </w:rPr>
        <w:t>新一代信息技术进入融合创新的爆发期，人工智能、大模型、数字孪生、</w:t>
      </w:r>
      <w:r>
        <w:rPr>
          <w:rFonts w:ascii="仿宋_GB2312" w:hint="eastAsia"/>
        </w:rPr>
        <w:t>5G-A/6G</w:t>
      </w:r>
      <w:r>
        <w:rPr>
          <w:rFonts w:hint="eastAsia"/>
        </w:rPr>
        <w:t>通信、物联网、工业互联网、大数据、云计算、区块链等技术加速成熟并</w:t>
      </w:r>
      <w:r>
        <w:rPr>
          <w:rFonts w:hint="eastAsia"/>
        </w:rPr>
        <w:lastRenderedPageBreak/>
        <w:t>广泛应用，为政府治理模式变革提供了强大驱动力。特别是以人工智能为代表的“新质生产力”日益成为数字政府建设的新引擎，从数据分析决策到业务流程自动化、智能客服等方面都有广阔应用前景。</w:t>
      </w:r>
    </w:p>
    <w:p w14:paraId="626FCA9C" w14:textId="77777777" w:rsidR="009D5DEA" w:rsidRDefault="00000000">
      <w:pPr>
        <w:spacing w:after="0" w:line="560" w:lineRule="exact"/>
        <w:ind w:firstLineChars="200" w:firstLine="643"/>
      </w:pPr>
      <w:r>
        <w:rPr>
          <w:rFonts w:hint="eastAsia"/>
          <w:b/>
          <w:bCs/>
        </w:rPr>
        <w:t>数据价值凸显。</w:t>
      </w:r>
      <w:r>
        <w:rPr>
          <w:rFonts w:hint="eastAsia"/>
        </w:rPr>
        <w:t>深圳率先实行数据要素市场化配置改革，数据立法和数据交易取得突破，数据作为核心生产要素的作用日益重要。随着《深圳经济特区数据条例》实施和深圳数据交易所运行，政府亟需提升数据资源治理和应用能力，充分释放数据红利。</w:t>
      </w:r>
      <w:proofErr w:type="gramStart"/>
      <w:r>
        <w:rPr>
          <w:rFonts w:hint="eastAsia"/>
        </w:rPr>
        <w:t>龙华区</w:t>
      </w:r>
      <w:proofErr w:type="gramEnd"/>
      <w:r>
        <w:rPr>
          <w:rFonts w:hint="eastAsia"/>
        </w:rPr>
        <w:t>将牢牢把握这一宝贵契机，依托市级制度创新，加快探索数据共享、开放和流通的新模式，激发数据要素潜能。</w:t>
      </w:r>
    </w:p>
    <w:p w14:paraId="75BCA6EC" w14:textId="77777777" w:rsidR="009D5DEA" w:rsidRDefault="00000000">
      <w:pPr>
        <w:spacing w:after="0" w:line="560" w:lineRule="exact"/>
        <w:ind w:firstLineChars="200" w:firstLine="643"/>
      </w:pPr>
      <w:r>
        <w:rPr>
          <w:rFonts w:hint="eastAsia"/>
          <w:b/>
          <w:bCs/>
        </w:rPr>
        <w:t>社会需求升级。</w:t>
      </w:r>
      <w:r>
        <w:rPr>
          <w:rFonts w:hint="eastAsia"/>
        </w:rPr>
        <w:t>人民群众对数字化政务服务和智慧生活的需求更加多样、更高品质。企业希望政府提供更加开放便捷的数字化营商环境，公众期盼政务服务更智能贴心、公共</w:t>
      </w:r>
      <w:proofErr w:type="gramStart"/>
      <w:r>
        <w:rPr>
          <w:rFonts w:hint="eastAsia"/>
        </w:rPr>
        <w:t>服务更普惠</w:t>
      </w:r>
      <w:proofErr w:type="gramEnd"/>
      <w:r>
        <w:rPr>
          <w:rFonts w:hint="eastAsia"/>
        </w:rPr>
        <w:t>便捷、社会治理更高效公平。面对超大城市治理的新课题，</w:t>
      </w:r>
      <w:proofErr w:type="gramStart"/>
      <w:r>
        <w:rPr>
          <w:rFonts w:hint="eastAsia"/>
        </w:rPr>
        <w:t>龙华区</w:t>
      </w:r>
      <w:proofErr w:type="gramEnd"/>
      <w:r>
        <w:rPr>
          <w:rFonts w:hint="eastAsia"/>
        </w:rPr>
        <w:t>必须以数字化手段不断满足群众对美好生活的新期待。</w:t>
      </w:r>
    </w:p>
    <w:p w14:paraId="615CAD49" w14:textId="77777777" w:rsidR="009D5DEA" w:rsidRDefault="00000000">
      <w:pPr>
        <w:spacing w:after="0" w:line="560" w:lineRule="exact"/>
        <w:ind w:firstLineChars="200" w:firstLine="643"/>
      </w:pPr>
      <w:r>
        <w:rPr>
          <w:rFonts w:hint="eastAsia"/>
          <w:b/>
          <w:bCs/>
        </w:rPr>
        <w:t>区域协同深化。</w:t>
      </w:r>
      <w:r>
        <w:rPr>
          <w:rFonts w:hint="eastAsia"/>
        </w:rPr>
        <w:t>“双区”建设进入深化阶段，跨区域数字政府合作将进一步加强。政务服务“跨城通办”、深港澳政务数据互通互认等成为趋势，</w:t>
      </w:r>
      <w:proofErr w:type="gramStart"/>
      <w:r>
        <w:rPr>
          <w:rFonts w:hint="eastAsia"/>
        </w:rPr>
        <w:t>龙华区</w:t>
      </w:r>
      <w:proofErr w:type="gramEnd"/>
      <w:r>
        <w:rPr>
          <w:rFonts w:hint="eastAsia"/>
        </w:rPr>
        <w:t>有望在深</w:t>
      </w:r>
      <w:proofErr w:type="gramStart"/>
      <w:r>
        <w:rPr>
          <w:rFonts w:hint="eastAsia"/>
        </w:rPr>
        <w:t>莞惠区域</w:t>
      </w:r>
      <w:proofErr w:type="gramEnd"/>
      <w:r>
        <w:rPr>
          <w:rFonts w:hint="eastAsia"/>
        </w:rPr>
        <w:t>和深港合作中拓展政务服务新领域。同时，大湾</w:t>
      </w:r>
      <w:proofErr w:type="gramStart"/>
      <w:r>
        <w:rPr>
          <w:rFonts w:hint="eastAsia"/>
        </w:rPr>
        <w:t>区数字</w:t>
      </w:r>
      <w:proofErr w:type="gramEnd"/>
      <w:r>
        <w:rPr>
          <w:rFonts w:hint="eastAsia"/>
        </w:rPr>
        <w:t>基础设施互联互通和规则对接的要求提高，区域</w:t>
      </w:r>
      <w:proofErr w:type="gramStart"/>
      <w:r>
        <w:rPr>
          <w:rFonts w:hint="eastAsia"/>
        </w:rPr>
        <w:t>间数据</w:t>
      </w:r>
      <w:proofErr w:type="gramEnd"/>
      <w:r>
        <w:rPr>
          <w:rFonts w:hint="eastAsia"/>
        </w:rPr>
        <w:t>流动、业务协同将更加频繁，为龙华推动制度创新和合作共建带来机遇。</w:t>
      </w:r>
    </w:p>
    <w:p w14:paraId="3B70A59B" w14:textId="77777777" w:rsidR="009D5DEA" w:rsidRDefault="00000000">
      <w:pPr>
        <w:pStyle w:val="2"/>
        <w:numPr>
          <w:ilvl w:val="0"/>
          <w:numId w:val="2"/>
        </w:numPr>
        <w:spacing w:before="0" w:after="0" w:line="560" w:lineRule="exact"/>
        <w:ind w:leftChars="221" w:left="707" w:firstLine="0"/>
        <w:rPr>
          <w:rFonts w:ascii="楷体_GB2312" w:eastAsia="楷体_GB2312" w:hAnsiTheme="minorHAnsi" w:cstheme="minorBidi" w:hint="eastAsia"/>
          <w:bCs/>
          <w:color w:val="auto"/>
          <w:sz w:val="32"/>
          <w:szCs w:val="24"/>
        </w:rPr>
      </w:pPr>
      <w:bookmarkStart w:id="4" w:name="_Toc220337758"/>
      <w:r>
        <w:rPr>
          <w:rFonts w:ascii="楷体_GB2312" w:eastAsia="楷体_GB2312" w:hAnsiTheme="minorHAnsi" w:cstheme="minorBidi" w:hint="eastAsia"/>
          <w:bCs/>
          <w:color w:val="auto"/>
          <w:sz w:val="32"/>
          <w:szCs w:val="24"/>
        </w:rPr>
        <w:lastRenderedPageBreak/>
        <w:t>面临挑战</w:t>
      </w:r>
      <w:bookmarkEnd w:id="4"/>
    </w:p>
    <w:p w14:paraId="6B8E0E36" w14:textId="77777777" w:rsidR="009D5DEA" w:rsidRDefault="00000000">
      <w:pPr>
        <w:spacing w:after="0" w:line="560" w:lineRule="exact"/>
        <w:ind w:firstLineChars="200" w:firstLine="640"/>
      </w:pPr>
      <w:r>
        <w:t>尽管取得</w:t>
      </w:r>
      <w:r>
        <w:rPr>
          <w:rFonts w:hint="eastAsia"/>
        </w:rPr>
        <w:t>一些</w:t>
      </w:r>
      <w:r>
        <w:t>显著成绩，</w:t>
      </w:r>
      <w:proofErr w:type="gramStart"/>
      <w:r>
        <w:t>龙华区数字</w:t>
      </w:r>
      <w:proofErr w:type="gramEnd"/>
      <w:r>
        <w:t>政府建设仍存在一些短板和挑战，</w:t>
      </w:r>
      <w:r>
        <w:rPr>
          <w:rFonts w:hint="eastAsia"/>
        </w:rPr>
        <w:t>将在“</w:t>
      </w:r>
      <w:r>
        <w:t>十五五</w:t>
      </w:r>
      <w:r>
        <w:rPr>
          <w:rFonts w:hint="eastAsia"/>
        </w:rPr>
        <w:t>”</w:t>
      </w:r>
      <w:r>
        <w:t>时期予以重点突破</w:t>
      </w:r>
      <w:r>
        <w:rPr>
          <w:rFonts w:hint="eastAsia"/>
        </w:rPr>
        <w:t>，坚持问题导向、实事求是，着力补短板、强弱项，通过创新体制机制、强化安全保障、提升人才支撑，推动数字政府建设迈上新台阶。</w:t>
      </w:r>
    </w:p>
    <w:p w14:paraId="43C424D4" w14:textId="77777777" w:rsidR="009D5DEA" w:rsidRDefault="00000000">
      <w:pPr>
        <w:pStyle w:val="afa"/>
        <w:numPr>
          <w:ilvl w:val="0"/>
          <w:numId w:val="4"/>
        </w:numPr>
        <w:spacing w:after="0" w:line="560" w:lineRule="exact"/>
        <w:rPr>
          <w:b/>
          <w:bCs/>
        </w:rPr>
      </w:pPr>
      <w:r>
        <w:rPr>
          <w:b/>
          <w:bCs/>
        </w:rPr>
        <w:t>数据治理体系仍需健全</w:t>
      </w:r>
    </w:p>
    <w:p w14:paraId="56C5B28E" w14:textId="77777777" w:rsidR="009D5DEA" w:rsidRDefault="00000000">
      <w:pPr>
        <w:spacing w:after="0" w:line="560" w:lineRule="exact"/>
        <w:ind w:firstLineChars="200" w:firstLine="640"/>
      </w:pPr>
      <w:r>
        <w:t>当前部分部门和层级间的数据壁垒仍未完全打通，数据资源统筹共享机制尚不健全，数据质量良莠不齐，制约了数据价值的充分发挥。尤其是在推进数据要素市场化方面，数据确权、流通交易、收益分配等基础制度尚待完善，数据开放和应用场景供给不足，数据赋能决策和服务的潜力尚需进一步挖掘。</w:t>
      </w:r>
    </w:p>
    <w:p w14:paraId="795FCDBF" w14:textId="77777777" w:rsidR="009D5DEA" w:rsidRDefault="00000000">
      <w:pPr>
        <w:pStyle w:val="afa"/>
        <w:numPr>
          <w:ilvl w:val="0"/>
          <w:numId w:val="4"/>
        </w:numPr>
        <w:spacing w:after="0" w:line="560" w:lineRule="exact"/>
        <w:rPr>
          <w:b/>
          <w:bCs/>
        </w:rPr>
      </w:pPr>
      <w:r>
        <w:rPr>
          <w:b/>
          <w:bCs/>
        </w:rPr>
        <w:t>协同体制机制亟待创新</w:t>
      </w:r>
    </w:p>
    <w:p w14:paraId="6B650242" w14:textId="77777777" w:rsidR="009D5DEA" w:rsidRDefault="00000000">
      <w:pPr>
        <w:spacing w:after="0" w:line="560" w:lineRule="exact"/>
        <w:ind w:firstLineChars="200" w:firstLine="640"/>
      </w:pPr>
      <w:r>
        <w:t>数字政府建设涉及跨部门、跨层级协同，现有统筹协调机制和标准规范体系仍需完善。部分单位数字化转型的统筹规划和</w:t>
      </w:r>
      <w:r>
        <w:rPr>
          <w:rFonts w:hint="eastAsia"/>
        </w:rPr>
        <w:t>“</w:t>
      </w:r>
      <w:r>
        <w:t>一盘棋</w:t>
      </w:r>
      <w:r>
        <w:rPr>
          <w:rFonts w:hint="eastAsia"/>
        </w:rPr>
        <w:t>”</w:t>
      </w:r>
      <w:r>
        <w:t>意识有待加强，条块分割的问题依然存在。项目立项和建设模式相对传统，主要依靠财政投入，社会资本参与度不高，投融资机制创新不足，亟需通过</w:t>
      </w:r>
      <w:r>
        <w:rPr>
          <w:rFonts w:ascii="仿宋_GB2312" w:hint="eastAsia"/>
        </w:rPr>
        <w:t>PPP</w:t>
      </w:r>
      <w:r>
        <w:t>、公私合作等模式吸引市场力量共建。同时，数字化项目运营管理机制尚未健全，项目建成后的持续运营维护、绩效评估和迭代完善机制需要</w:t>
      </w:r>
      <w:r>
        <w:rPr>
          <w:rFonts w:hint="eastAsia"/>
        </w:rPr>
        <w:t>完善</w:t>
      </w:r>
      <w:r>
        <w:t>。</w:t>
      </w:r>
    </w:p>
    <w:p w14:paraId="1D149125" w14:textId="77777777" w:rsidR="009D5DEA" w:rsidRDefault="00000000">
      <w:pPr>
        <w:pStyle w:val="afa"/>
        <w:numPr>
          <w:ilvl w:val="0"/>
          <w:numId w:val="4"/>
        </w:numPr>
        <w:spacing w:after="0" w:line="560" w:lineRule="exact"/>
        <w:rPr>
          <w:b/>
          <w:bCs/>
        </w:rPr>
      </w:pPr>
      <w:r>
        <w:rPr>
          <w:b/>
          <w:bCs/>
        </w:rPr>
        <w:t>智能技术应用尚显薄弱</w:t>
      </w:r>
    </w:p>
    <w:p w14:paraId="3910F2F6" w14:textId="77777777" w:rsidR="009D5DEA" w:rsidRDefault="00000000">
      <w:pPr>
        <w:spacing w:after="0" w:line="560" w:lineRule="exact"/>
        <w:ind w:firstLineChars="200" w:firstLine="640"/>
      </w:pPr>
      <w:r>
        <w:t>虽然信息技术基础较好，但在更高层次的智能化应用</w:t>
      </w:r>
      <w:r>
        <w:lastRenderedPageBreak/>
        <w:t>上仍有提升空间。人工智能、区块链等前沿技术在政务服务、城市治理中的应用深度不足，多数业务仍处于数字化、网络化阶段，向智能化、智慧化升级的广度和深度不够。部分基层干部对新技术理解不深，运用人工智能、大数据辅助决策和治理的意识和能力有待提升。</w:t>
      </w:r>
    </w:p>
    <w:p w14:paraId="5A459BE3" w14:textId="77777777" w:rsidR="009D5DEA" w:rsidRDefault="00000000">
      <w:pPr>
        <w:pStyle w:val="afa"/>
        <w:numPr>
          <w:ilvl w:val="0"/>
          <w:numId w:val="4"/>
        </w:numPr>
        <w:spacing w:after="0" w:line="560" w:lineRule="exact"/>
        <w:rPr>
          <w:b/>
          <w:bCs/>
        </w:rPr>
      </w:pPr>
      <w:r>
        <w:rPr>
          <w:b/>
          <w:bCs/>
        </w:rPr>
        <w:t>网络数据安全风险上升</w:t>
      </w:r>
    </w:p>
    <w:p w14:paraId="3B7A291C" w14:textId="77777777" w:rsidR="009D5DEA" w:rsidRDefault="00000000">
      <w:pPr>
        <w:spacing w:after="0" w:line="560" w:lineRule="exact"/>
        <w:ind w:firstLineChars="200" w:firstLine="640"/>
      </w:pPr>
      <w:r>
        <w:t>数字政府高度依赖网络和数据，网络安全和数据安全风险随之增加。当前，网络攻击手段演进迅速，政府机关传统被动防御难以有效应对复杂威胁，</w:t>
      </w:r>
      <w:r>
        <w:rPr>
          <w:rFonts w:hint="eastAsia"/>
        </w:rPr>
        <w:t>部分</w:t>
      </w:r>
      <w:r>
        <w:t>单位的安全防护能力不足。个人信息保护压力增大，数据跨境流动也带来合</w:t>
      </w:r>
      <w:proofErr w:type="gramStart"/>
      <w:r>
        <w:t>规</w:t>
      </w:r>
      <w:proofErr w:type="gramEnd"/>
      <w:r>
        <w:t>风险。如果安全保障体系不完善，数字政府发展将受到制约。</w:t>
      </w:r>
    </w:p>
    <w:p w14:paraId="5887E240" w14:textId="77777777" w:rsidR="009D5DEA" w:rsidRDefault="00000000">
      <w:pPr>
        <w:pStyle w:val="afa"/>
        <w:numPr>
          <w:ilvl w:val="0"/>
          <w:numId w:val="4"/>
        </w:numPr>
        <w:spacing w:after="0" w:line="560" w:lineRule="exact"/>
        <w:rPr>
          <w:b/>
          <w:bCs/>
        </w:rPr>
      </w:pPr>
      <w:r>
        <w:rPr>
          <w:b/>
          <w:bCs/>
        </w:rPr>
        <w:t>政策法规和人才保障</w:t>
      </w:r>
      <w:r>
        <w:rPr>
          <w:rFonts w:hint="eastAsia"/>
          <w:b/>
          <w:bCs/>
        </w:rPr>
        <w:t>不足</w:t>
      </w:r>
    </w:p>
    <w:p w14:paraId="6FFF8B3C" w14:textId="77777777" w:rsidR="009D5DEA" w:rsidRDefault="00000000">
      <w:pPr>
        <w:spacing w:after="0" w:line="560" w:lineRule="exact"/>
        <w:ind w:firstLineChars="200" w:firstLine="640"/>
      </w:pPr>
      <w:r>
        <w:t>数字化相关法律法规体系尚不完善，新技术应用往往缺乏现成的法律依据和标准规范，给基层探索带来不确定性。同时，高水平复合型数字人才匮乏，现有人才队伍技术能力与快速发展的数字政府需求仍有差距，专业人才引进和培养机制需要加强。</w:t>
      </w:r>
    </w:p>
    <w:p w14:paraId="398D82C5" w14:textId="77777777" w:rsidR="009D5DEA" w:rsidRDefault="00000000">
      <w:pPr>
        <w:pStyle w:val="1"/>
        <w:numPr>
          <w:ilvl w:val="0"/>
          <w:numId w:val="1"/>
        </w:numPr>
        <w:spacing w:before="0" w:after="0" w:line="560" w:lineRule="exact"/>
        <w:rPr>
          <w:rFonts w:ascii="黑体" w:eastAsia="黑体" w:hAnsi="黑体" w:hint="eastAsia"/>
          <w:color w:val="000000" w:themeColor="text1"/>
          <w:sz w:val="32"/>
          <w:szCs w:val="32"/>
        </w:rPr>
      </w:pPr>
      <w:bookmarkStart w:id="5" w:name="_Toc220337759"/>
      <w:r>
        <w:rPr>
          <w:rFonts w:ascii="黑体" w:eastAsia="黑体" w:hAnsi="黑体" w:hint="eastAsia"/>
          <w:color w:val="000000" w:themeColor="text1"/>
          <w:sz w:val="32"/>
          <w:szCs w:val="32"/>
        </w:rPr>
        <w:t>总体思路</w:t>
      </w:r>
      <w:bookmarkEnd w:id="5"/>
    </w:p>
    <w:p w14:paraId="04DE90B8" w14:textId="77777777" w:rsidR="009D5DEA" w:rsidRDefault="00000000">
      <w:pPr>
        <w:pStyle w:val="2"/>
        <w:numPr>
          <w:ilvl w:val="0"/>
          <w:numId w:val="5"/>
        </w:numPr>
        <w:spacing w:before="0" w:after="0" w:line="560" w:lineRule="exact"/>
        <w:rPr>
          <w:rFonts w:ascii="楷体_GB2312" w:eastAsia="楷体_GB2312" w:hAnsi="黑体" w:hint="eastAsia"/>
          <w:color w:val="000000" w:themeColor="text1"/>
          <w:sz w:val="32"/>
          <w:szCs w:val="32"/>
        </w:rPr>
      </w:pPr>
      <w:bookmarkStart w:id="6" w:name="_Toc220337760"/>
      <w:r>
        <w:rPr>
          <w:rFonts w:ascii="楷体_GB2312" w:eastAsia="楷体_GB2312" w:hAnsi="黑体" w:hint="eastAsia"/>
          <w:color w:val="000000" w:themeColor="text1"/>
          <w:sz w:val="32"/>
          <w:szCs w:val="32"/>
        </w:rPr>
        <w:t>指导思想</w:t>
      </w:r>
      <w:bookmarkEnd w:id="6"/>
    </w:p>
    <w:p w14:paraId="69628B74" w14:textId="77777777" w:rsidR="009D5DEA" w:rsidRDefault="00000000">
      <w:pPr>
        <w:spacing w:after="0" w:line="560" w:lineRule="exact"/>
        <w:ind w:firstLineChars="200" w:firstLine="640"/>
        <w:rPr>
          <w:rFonts w:ascii="仿宋_GB2312"/>
        </w:rPr>
      </w:pPr>
      <w:r>
        <w:rPr>
          <w:rFonts w:ascii="仿宋_GB2312" w:hint="eastAsia"/>
        </w:rPr>
        <w:t>坚持以习近平新时代中国特色社会主义思想为指导，</w:t>
      </w:r>
      <w:r>
        <w:rPr>
          <w:rFonts w:ascii="仿宋_GB2312"/>
        </w:rPr>
        <w:t>认真学习贯彻党的二十大和二十届历次全会精神</w:t>
      </w:r>
      <w:r>
        <w:rPr>
          <w:rFonts w:ascii="仿宋_GB2312" w:hint="eastAsia"/>
        </w:rPr>
        <w:t>，深入落实党中央、国务院关于网络强国、数字中国建设的战略部署，扎实推进广东省、深圳市数字建设工作要求和数字化</w:t>
      </w:r>
      <w:r>
        <w:rPr>
          <w:rFonts w:ascii="仿宋_GB2312" w:hint="eastAsia"/>
        </w:rPr>
        <w:lastRenderedPageBreak/>
        <w:t>发展整体布局。紧扣深圳“加快打造更具全球影响力的经济中心城市和现代化国际大都市”的发展定位，立足中国特色社会主义先行示范区和粤港澳大湾区“双区”建设，以建设</w:t>
      </w:r>
      <w:proofErr w:type="gramStart"/>
      <w:r>
        <w:rPr>
          <w:rFonts w:ascii="仿宋_GB2312" w:hint="eastAsia"/>
        </w:rPr>
        <w:t>全球数智先锋</w:t>
      </w:r>
      <w:proofErr w:type="gramEnd"/>
      <w:r>
        <w:rPr>
          <w:rFonts w:ascii="仿宋_GB2312" w:hint="eastAsia"/>
        </w:rPr>
        <w:t>城市为引领，紧紧围绕深圳打造全球</w:t>
      </w:r>
      <w:proofErr w:type="gramStart"/>
      <w:r>
        <w:rPr>
          <w:rFonts w:ascii="仿宋_GB2312" w:hint="eastAsia"/>
        </w:rPr>
        <w:t>数智产业</w:t>
      </w:r>
      <w:proofErr w:type="gramEnd"/>
      <w:r>
        <w:rPr>
          <w:rFonts w:ascii="仿宋_GB2312" w:hint="eastAsia"/>
        </w:rPr>
        <w:t>第一城、数据要素第一城、数字服务第一城、</w:t>
      </w:r>
      <w:proofErr w:type="gramStart"/>
      <w:r>
        <w:rPr>
          <w:rFonts w:ascii="仿宋_GB2312" w:hint="eastAsia"/>
        </w:rPr>
        <w:t>数智治理</w:t>
      </w:r>
      <w:proofErr w:type="gramEnd"/>
      <w:r>
        <w:rPr>
          <w:rFonts w:ascii="仿宋_GB2312" w:hint="eastAsia"/>
        </w:rPr>
        <w:t>第一城的重大战略目标，坚持统筹发展和安全，强化改革创新引领，围绕“优政、兴业、惠民”目标，以提升政府治理体系和治理能力现代化为主线，以“数字孪生×人工智能”创新驱动发展为动力，推动数字政府建设与数字经济、数字治理、数字城区、数字生态协调共进。</w:t>
      </w:r>
      <w:proofErr w:type="gramStart"/>
      <w:r>
        <w:rPr>
          <w:rFonts w:ascii="仿宋_GB2312" w:hint="eastAsia"/>
        </w:rPr>
        <w:t>龙华区</w:t>
      </w:r>
      <w:proofErr w:type="gramEnd"/>
      <w:r>
        <w:rPr>
          <w:rFonts w:ascii="仿宋_GB2312" w:hint="eastAsia"/>
        </w:rPr>
        <w:t>将紧扣“数字深圳”建设总体目标，系统</w:t>
      </w:r>
      <w:proofErr w:type="gramStart"/>
      <w:r>
        <w:rPr>
          <w:rFonts w:ascii="仿宋_GB2312" w:hint="eastAsia"/>
        </w:rPr>
        <w:t>衔接市</w:t>
      </w:r>
      <w:proofErr w:type="gramEnd"/>
      <w:r>
        <w:rPr>
          <w:rFonts w:ascii="仿宋_GB2312" w:hint="eastAsia"/>
        </w:rPr>
        <w:t>“十五五”数字深圳规划顶层设计，以更高标准推进城市全面数字化转型，打造数字政府建设“龙华样板”，为深圳率先建设数字中国城市范例贡献“龙华力量”。</w:t>
      </w:r>
    </w:p>
    <w:p w14:paraId="048CCC38" w14:textId="77777777" w:rsidR="009D5DEA" w:rsidRDefault="00000000">
      <w:pPr>
        <w:pStyle w:val="2"/>
        <w:numPr>
          <w:ilvl w:val="0"/>
          <w:numId w:val="5"/>
        </w:numPr>
        <w:spacing w:before="0" w:after="0" w:line="560" w:lineRule="exact"/>
        <w:rPr>
          <w:rFonts w:ascii="楷体_GB2312" w:eastAsia="楷体_GB2312" w:hAnsi="黑体" w:hint="eastAsia"/>
          <w:color w:val="000000" w:themeColor="text1"/>
          <w:sz w:val="32"/>
          <w:szCs w:val="32"/>
        </w:rPr>
      </w:pPr>
      <w:bookmarkStart w:id="7" w:name="_Toc220337761"/>
      <w:r>
        <w:rPr>
          <w:rFonts w:ascii="楷体_GB2312" w:eastAsia="楷体_GB2312" w:hAnsi="黑体" w:hint="eastAsia"/>
          <w:color w:val="000000" w:themeColor="text1"/>
          <w:sz w:val="32"/>
          <w:szCs w:val="32"/>
        </w:rPr>
        <w:t>基本原则</w:t>
      </w:r>
      <w:bookmarkEnd w:id="7"/>
    </w:p>
    <w:p w14:paraId="2883231D" w14:textId="77777777" w:rsidR="009D5DEA" w:rsidRDefault="00000000">
      <w:pPr>
        <w:spacing w:after="0" w:line="560" w:lineRule="exact"/>
        <w:ind w:firstLineChars="200" w:firstLine="643"/>
      </w:pPr>
      <w:r>
        <w:rPr>
          <w:rFonts w:hint="eastAsia"/>
          <w:b/>
          <w:bCs/>
        </w:rPr>
        <w:t>坚持统筹规划、集约建设。</w:t>
      </w:r>
      <w:r>
        <w:rPr>
          <w:rFonts w:hint="eastAsia"/>
        </w:rPr>
        <w:t>加强顶层设计和整体谋划，推动数字基础设施、数据资源、应用支撑等共建共用、互联互通，避免重复建设和资源浪费，提升数字政府建设的经济性和</w:t>
      </w:r>
      <w:proofErr w:type="gramStart"/>
      <w:r>
        <w:rPr>
          <w:rFonts w:hint="eastAsia"/>
        </w:rPr>
        <w:t>可</w:t>
      </w:r>
      <w:proofErr w:type="gramEnd"/>
      <w:r>
        <w:rPr>
          <w:rFonts w:hint="eastAsia"/>
        </w:rPr>
        <w:t>持续性。</w:t>
      </w:r>
    </w:p>
    <w:p w14:paraId="49E6CDCD" w14:textId="77777777" w:rsidR="009D5DEA" w:rsidRDefault="00000000">
      <w:pPr>
        <w:spacing w:after="0" w:line="560" w:lineRule="exact"/>
        <w:ind w:firstLineChars="200" w:firstLine="643"/>
      </w:pPr>
      <w:r>
        <w:rPr>
          <w:rFonts w:hint="eastAsia"/>
          <w:b/>
          <w:bCs/>
        </w:rPr>
        <w:t>坚持数据驱动、智能引领。</w:t>
      </w:r>
      <w:r>
        <w:rPr>
          <w:rFonts w:hint="eastAsia"/>
        </w:rPr>
        <w:t>充分发挥数据的基础资源和核心引擎作用，加强数据汇聚、共享、开放和开发利用，推动数据赋能业务、赋能决策、赋能治理。积极拥抱人工智能、大数据、云计算、区块链等新一代信息技术，驱动政府治理模式创新和</w:t>
      </w:r>
      <w:proofErr w:type="gramStart"/>
      <w:r>
        <w:rPr>
          <w:rFonts w:hint="eastAsia"/>
        </w:rPr>
        <w:t>履职能</w:t>
      </w:r>
      <w:proofErr w:type="gramEnd"/>
      <w:r>
        <w:rPr>
          <w:rFonts w:hint="eastAsia"/>
        </w:rPr>
        <w:t>力提升。</w:t>
      </w:r>
    </w:p>
    <w:p w14:paraId="36720924" w14:textId="77777777" w:rsidR="009D5DEA" w:rsidRDefault="00000000">
      <w:pPr>
        <w:spacing w:after="0" w:line="560" w:lineRule="exact"/>
        <w:ind w:firstLineChars="200" w:firstLine="643"/>
      </w:pPr>
      <w:r>
        <w:rPr>
          <w:rFonts w:hint="eastAsia"/>
          <w:b/>
          <w:bCs/>
        </w:rPr>
        <w:lastRenderedPageBreak/>
        <w:t>坚持改革创新、协同高效。</w:t>
      </w:r>
      <w:r>
        <w:rPr>
          <w:rFonts w:hint="eastAsia"/>
        </w:rPr>
        <w:t>以数字化改革为牵引，推动政府职能转变和流程再造，破除体制机制障碍和数据壁垒。强化跨层级、跨地域、跨系统、跨部门、跨业</w:t>
      </w:r>
      <w:proofErr w:type="gramStart"/>
      <w:r>
        <w:rPr>
          <w:rFonts w:hint="eastAsia"/>
        </w:rPr>
        <w:t>务</w:t>
      </w:r>
      <w:proofErr w:type="gramEnd"/>
      <w:r>
        <w:rPr>
          <w:rFonts w:hint="eastAsia"/>
        </w:rPr>
        <w:t>的协同联动，提升数字政府整体效能。</w:t>
      </w:r>
    </w:p>
    <w:p w14:paraId="4FD5717C" w14:textId="77777777" w:rsidR="009D5DEA" w:rsidRDefault="00000000">
      <w:pPr>
        <w:spacing w:after="0" w:line="560" w:lineRule="exact"/>
        <w:ind w:firstLineChars="200" w:firstLine="643"/>
      </w:pPr>
      <w:r>
        <w:rPr>
          <w:rFonts w:hint="eastAsia"/>
          <w:b/>
          <w:bCs/>
        </w:rPr>
        <w:t>坚持以人为本、服务为先。</w:t>
      </w:r>
      <w:r>
        <w:rPr>
          <w:rFonts w:hint="eastAsia"/>
        </w:rPr>
        <w:t>将满足人民对美好生活的向往作为数字政府建设的出发点和落脚点，聚焦企业群众办事的痛点、难点、堵点问题，优化服务流程，创新服务模式，提升服务体验，增强数字政府建设的普惠性和均等性，让数字化成果广泛惠及全体人民。</w:t>
      </w:r>
    </w:p>
    <w:p w14:paraId="4A6F7FDB" w14:textId="77777777" w:rsidR="009D5DEA" w:rsidRDefault="00000000">
      <w:pPr>
        <w:spacing w:after="0" w:line="560" w:lineRule="exact"/>
        <w:ind w:firstLineChars="200" w:firstLine="643"/>
      </w:pPr>
      <w:r>
        <w:rPr>
          <w:rFonts w:hint="eastAsia"/>
          <w:b/>
          <w:bCs/>
        </w:rPr>
        <w:t>坚持安全可控、底线思维。</w:t>
      </w:r>
      <w:r>
        <w:rPr>
          <w:rFonts w:hint="eastAsia"/>
        </w:rPr>
        <w:t>贯彻总体国家安全观，全面落实网络安全和数据安全法律法规要求，构建全方位、多层次、一体化的数字政府安全保障体系。强化风险意识和底线思维，确保关键信息基础设施安全、数据安全和个人信息保护，保障数字政府安全平稳运行。</w:t>
      </w:r>
    </w:p>
    <w:p w14:paraId="3288DE49" w14:textId="77777777" w:rsidR="009D5DEA" w:rsidRDefault="00000000">
      <w:pPr>
        <w:spacing w:after="0" w:line="560" w:lineRule="exact"/>
        <w:ind w:firstLineChars="200" w:firstLine="643"/>
      </w:pPr>
      <w:r>
        <w:rPr>
          <w:rFonts w:hint="eastAsia"/>
          <w:b/>
          <w:bCs/>
        </w:rPr>
        <w:t>坚持开放合作、生态共建。</w:t>
      </w:r>
      <w:r>
        <w:rPr>
          <w:rFonts w:hint="eastAsia"/>
        </w:rPr>
        <w:t>鼓励多元主体参与数字政府建设，激发市场活力和社会创造力。加强与国内外先进地区和优秀企业的交流合作，借鉴成功经验，构建开放、健康、可持续的数字政府发展生态。</w:t>
      </w:r>
    </w:p>
    <w:p w14:paraId="47C4554F" w14:textId="77777777" w:rsidR="009D5DEA" w:rsidRDefault="00000000">
      <w:pPr>
        <w:pStyle w:val="2"/>
        <w:numPr>
          <w:ilvl w:val="0"/>
          <w:numId w:val="5"/>
        </w:numPr>
        <w:spacing w:before="0" w:after="0" w:line="560" w:lineRule="exact"/>
        <w:rPr>
          <w:rFonts w:ascii="楷体_GB2312" w:eastAsia="楷体_GB2312" w:hAnsi="黑体" w:hint="eastAsia"/>
          <w:color w:val="000000" w:themeColor="text1"/>
          <w:sz w:val="32"/>
          <w:szCs w:val="32"/>
        </w:rPr>
      </w:pPr>
      <w:bookmarkStart w:id="8" w:name="_Toc220337762"/>
      <w:r>
        <w:rPr>
          <w:rFonts w:ascii="楷体_GB2312" w:eastAsia="楷体_GB2312" w:hAnsi="黑体" w:hint="eastAsia"/>
          <w:color w:val="000000" w:themeColor="text1"/>
          <w:sz w:val="32"/>
          <w:szCs w:val="32"/>
        </w:rPr>
        <w:t>建设目标</w:t>
      </w:r>
      <w:bookmarkEnd w:id="8"/>
    </w:p>
    <w:p w14:paraId="520999C8" w14:textId="77777777" w:rsidR="009D5DEA" w:rsidRDefault="00000000">
      <w:pPr>
        <w:spacing w:after="0" w:line="560" w:lineRule="exact"/>
        <w:ind w:firstLineChars="200" w:firstLine="640"/>
      </w:pPr>
      <w:r>
        <w:t>坚持以人民为中心，以系统工程的理念，深入推进</w:t>
      </w:r>
      <w:proofErr w:type="gramStart"/>
      <w:r>
        <w:t>龙华区</w:t>
      </w:r>
      <w:proofErr w:type="gramEnd"/>
      <w:r>
        <w:t>数字化发展，为深圳建设数字中国城市典范贡献龙华智慧和龙华力量。</w:t>
      </w:r>
      <w:r>
        <w:rPr>
          <w:rFonts w:hint="eastAsia"/>
        </w:rPr>
        <w:t>以政务服务“一网通办”为基座，深化政务服务改革，推动服务模式从协同高效向无</w:t>
      </w:r>
      <w:proofErr w:type="gramStart"/>
      <w:r>
        <w:rPr>
          <w:rFonts w:hint="eastAsia"/>
        </w:rPr>
        <w:t>感智办升级</w:t>
      </w:r>
      <w:proofErr w:type="gramEnd"/>
      <w:r>
        <w:rPr>
          <w:rFonts w:hint="eastAsia"/>
        </w:rPr>
        <w:t>，</w:t>
      </w:r>
      <w:r>
        <w:t>以</w:t>
      </w:r>
      <w:r>
        <w:rPr>
          <w:rFonts w:hint="eastAsia"/>
        </w:rPr>
        <w:t>政府治理“</w:t>
      </w:r>
      <w:r>
        <w:t>一网统管</w:t>
      </w:r>
      <w:r>
        <w:rPr>
          <w:rFonts w:hint="eastAsia"/>
        </w:rPr>
        <w:t>”</w:t>
      </w:r>
      <w:r>
        <w:t>为支撑，提升城市治理效能，推</w:t>
      </w:r>
      <w:r>
        <w:lastRenderedPageBreak/>
        <w:t>动治理手段由数字呈现向智慧决策转变</w:t>
      </w:r>
      <w:r>
        <w:rPr>
          <w:rFonts w:hint="eastAsia"/>
        </w:rPr>
        <w:t>，</w:t>
      </w:r>
      <w:r>
        <w:t>以</w:t>
      </w:r>
      <w:r>
        <w:rPr>
          <w:rFonts w:hint="eastAsia"/>
        </w:rPr>
        <w:t>政府运行“</w:t>
      </w:r>
      <w:r>
        <w:t>一网协同</w:t>
      </w:r>
      <w:r>
        <w:rPr>
          <w:rFonts w:hint="eastAsia"/>
        </w:rPr>
        <w:t>”</w:t>
      </w:r>
      <w:r>
        <w:t>为基础，优化政府运行机制，推动工作模式由独立运作向整体联动转变。到</w:t>
      </w:r>
      <w:r>
        <w:rPr>
          <w:rFonts w:ascii="仿宋_GB2312" w:hint="eastAsia"/>
        </w:rPr>
        <w:t>2030</w:t>
      </w:r>
      <w:r>
        <w:t>年，</w:t>
      </w:r>
      <w:proofErr w:type="gramStart"/>
      <w:r>
        <w:t>龙华区数据</w:t>
      </w:r>
      <w:proofErr w:type="gramEnd"/>
      <w:r>
        <w:t>要素市场体系更趋完善，人工智能与实体经济深度融合，数字孪生城区建设取得显著成效，</w:t>
      </w:r>
      <w:proofErr w:type="gramStart"/>
      <w:r>
        <w:t>全域数</w:t>
      </w:r>
      <w:r>
        <w:rPr>
          <w:rFonts w:hint="eastAsia"/>
        </w:rPr>
        <w:t>智</w:t>
      </w:r>
      <w:r>
        <w:t>化</w:t>
      </w:r>
      <w:proofErr w:type="gramEnd"/>
      <w:r>
        <w:t>转型迈出坚实步伐，为深圳市建成数字中国城市典范和全球数字先锋城市提供有力支撑，</w:t>
      </w:r>
      <w:r>
        <w:rPr>
          <w:rFonts w:hint="eastAsia"/>
        </w:rPr>
        <w:t>“</w:t>
      </w:r>
      <w:r>
        <w:t>数字龙华</w:t>
      </w:r>
      <w:r>
        <w:rPr>
          <w:rFonts w:hint="eastAsia"/>
        </w:rPr>
        <w:t>”</w:t>
      </w:r>
      <w:r>
        <w:t>建设布局更加科学系统，数字竞争力争创全市前列、国内一流。具体目标如下：</w:t>
      </w:r>
    </w:p>
    <w:p w14:paraId="555D5E94" w14:textId="77777777" w:rsidR="009D5DEA" w:rsidRDefault="00000000">
      <w:pPr>
        <w:spacing w:after="0" w:line="560" w:lineRule="exact"/>
        <w:ind w:firstLineChars="200" w:firstLine="640"/>
      </w:pPr>
      <w:r>
        <w:t>数字基础设施支撑达到全市领先水平。全面融入全市新型基础设施网络布局，高标准建设和优化升级区内</w:t>
      </w:r>
      <w:r>
        <w:rPr>
          <w:rFonts w:ascii="仿宋_GB2312" w:hint="eastAsia"/>
        </w:rPr>
        <w:t>政务网络</w:t>
      </w:r>
      <w:r>
        <w:t>、</w:t>
      </w:r>
      <w:r>
        <w:rPr>
          <w:rFonts w:hint="eastAsia"/>
        </w:rPr>
        <w:t>数据中心</w:t>
      </w:r>
      <w:r>
        <w:t>、物联网、</w:t>
      </w:r>
      <w:proofErr w:type="gramStart"/>
      <w:r>
        <w:t>算力中心</w:t>
      </w:r>
      <w:proofErr w:type="gramEnd"/>
      <w:r>
        <w:t>等数字基础设施，实现与全市乃至大湾区基础设施的高效联通与智能调度。强化对数字经济、智慧城市等重点领域</w:t>
      </w:r>
      <w:proofErr w:type="gramStart"/>
      <w:r>
        <w:t>的算力算法</w:t>
      </w:r>
      <w:proofErr w:type="gramEnd"/>
      <w:r>
        <w:t>支撑能力，为</w:t>
      </w:r>
      <w:proofErr w:type="gramStart"/>
      <w:r>
        <w:t>龙华区</w:t>
      </w:r>
      <w:proofErr w:type="gramEnd"/>
      <w:r>
        <w:t>高质量发展奠定坚实</w:t>
      </w:r>
      <w:proofErr w:type="gramStart"/>
      <w:r>
        <w:t>的数</w:t>
      </w:r>
      <w:r>
        <w:rPr>
          <w:rFonts w:hint="eastAsia"/>
        </w:rPr>
        <w:t>智</w:t>
      </w:r>
      <w:r>
        <w:t>底座</w:t>
      </w:r>
      <w:proofErr w:type="gramEnd"/>
      <w:r>
        <w:t>。</w:t>
      </w:r>
    </w:p>
    <w:p w14:paraId="7A023432" w14:textId="77777777" w:rsidR="009D5DEA" w:rsidRDefault="00000000">
      <w:pPr>
        <w:spacing w:after="0" w:line="560" w:lineRule="exact"/>
        <w:ind w:firstLineChars="200" w:firstLine="640"/>
      </w:pPr>
      <w:r>
        <w:t>数据要素市场化配置改革形成龙华特色。积极探索数据产权界定、价值评估、流通交易、安全治理等机制</w:t>
      </w:r>
      <w:r>
        <w:rPr>
          <w:rFonts w:hint="eastAsia"/>
        </w:rPr>
        <w:t>落地</w:t>
      </w:r>
      <w:r>
        <w:t>，健全区级数据管理和运营体系，推动公共数据与社会数据深度融合、有序开放与高效利用。充分释放数据要素潜能，赋能千行百业，在数据要素市场化配置改革领域贡献</w:t>
      </w:r>
      <w:r>
        <w:rPr>
          <w:rFonts w:hint="eastAsia"/>
        </w:rPr>
        <w:t>“</w:t>
      </w:r>
      <w:r>
        <w:t>龙华经验</w:t>
      </w:r>
      <w:r>
        <w:rPr>
          <w:rFonts w:hint="eastAsia"/>
        </w:rPr>
        <w:t>”</w:t>
      </w:r>
      <w:r>
        <w:t>，力争数据开发利用水平走在全市前列。</w:t>
      </w:r>
    </w:p>
    <w:p w14:paraId="4199599A" w14:textId="77777777" w:rsidR="009D5DEA" w:rsidRDefault="00000000">
      <w:pPr>
        <w:spacing w:after="0" w:line="560" w:lineRule="exact"/>
        <w:ind w:firstLineChars="200" w:firstLine="640"/>
      </w:pPr>
      <w:r>
        <w:t>数字经济发展能级实现新跃升。聚焦</w:t>
      </w:r>
      <w:r>
        <w:rPr>
          <w:rFonts w:hint="eastAsia"/>
        </w:rPr>
        <w:t>“</w:t>
      </w:r>
      <w:r>
        <w:t>数据要素</w:t>
      </w:r>
      <w:r>
        <w:rPr>
          <w:rFonts w:hint="eastAsia"/>
        </w:rPr>
        <w:t>×”</w:t>
      </w:r>
      <w:r>
        <w:t>核心场景，培育具备数据资产化、产品化与运营能力的龙头企业和</w:t>
      </w:r>
      <w:r>
        <w:rPr>
          <w:rFonts w:hint="eastAsia"/>
        </w:rPr>
        <w:t>“</w:t>
      </w:r>
      <w:r>
        <w:t>专精特新</w:t>
      </w:r>
      <w:r>
        <w:rPr>
          <w:rFonts w:hint="eastAsia"/>
        </w:rPr>
        <w:t>”</w:t>
      </w:r>
      <w:r>
        <w:t>企业，打造一批以数据要素驱动的特色产业集群，促进数据资产价值转化和规模化开发，带</w:t>
      </w:r>
      <w:r>
        <w:lastRenderedPageBreak/>
        <w:t>动数字经济规模与质量迈上新台阶。</w:t>
      </w:r>
    </w:p>
    <w:p w14:paraId="330F311A" w14:textId="77777777" w:rsidR="009D5DEA" w:rsidRDefault="00000000">
      <w:pPr>
        <w:spacing w:after="0" w:line="560" w:lineRule="exact"/>
        <w:ind w:firstLineChars="200" w:firstLine="640"/>
      </w:pPr>
      <w:r>
        <w:t>数字政府服务效能达到全市顶尖水平。持续深化</w:t>
      </w:r>
      <w:r>
        <w:rPr>
          <w:rFonts w:hint="eastAsia"/>
        </w:rPr>
        <w:t>“</w:t>
      </w:r>
      <w:r>
        <w:t>放管服</w:t>
      </w:r>
      <w:r>
        <w:rPr>
          <w:rFonts w:hint="eastAsia"/>
        </w:rPr>
        <w:t>”</w:t>
      </w:r>
      <w:r>
        <w:t>改革，以企业和个人需求为导向，全面推行</w:t>
      </w:r>
      <w:r>
        <w:rPr>
          <w:rFonts w:hint="eastAsia"/>
        </w:rPr>
        <w:t>“</w:t>
      </w:r>
      <w:r>
        <w:t>高效办成一件事</w:t>
      </w:r>
      <w:r>
        <w:rPr>
          <w:rFonts w:hint="eastAsia"/>
        </w:rPr>
        <w:t>”</w:t>
      </w:r>
      <w:r>
        <w:t>集成服务。</w:t>
      </w:r>
      <w:r>
        <w:rPr>
          <w:rFonts w:hint="eastAsia"/>
        </w:rPr>
        <w:t>引入</w:t>
      </w:r>
      <w:r>
        <w:t>人工智能、大数据等技术提升政务服务的数字化、智能化、个性化水平，打造便捷、高效、有温度的</w:t>
      </w:r>
      <w:r>
        <w:rPr>
          <w:rFonts w:hint="eastAsia"/>
        </w:rPr>
        <w:t>“</w:t>
      </w:r>
      <w:r>
        <w:t>龙华服务</w:t>
      </w:r>
      <w:r>
        <w:rPr>
          <w:rFonts w:hint="eastAsia"/>
        </w:rPr>
        <w:t>”</w:t>
      </w:r>
      <w:r>
        <w:t>品牌，实现更多政务服务事项</w:t>
      </w:r>
      <w:r>
        <w:rPr>
          <w:rFonts w:hint="eastAsia"/>
        </w:rPr>
        <w:t>“智能办”，提升企业群众办事便利度和满意度</w:t>
      </w:r>
      <w:r>
        <w:t>。</w:t>
      </w:r>
    </w:p>
    <w:p w14:paraId="68DB8936" w14:textId="77777777" w:rsidR="009D5DEA" w:rsidRDefault="00000000">
      <w:pPr>
        <w:spacing w:after="0" w:line="560" w:lineRule="exact"/>
        <w:ind w:firstLineChars="200" w:firstLine="640"/>
      </w:pPr>
      <w:r>
        <w:t>现代化智慧城市治理体系基本建成。依托</w:t>
      </w:r>
      <w:r>
        <w:rPr>
          <w:rFonts w:hint="eastAsia"/>
        </w:rPr>
        <w:t>“</w:t>
      </w:r>
      <w:r>
        <w:t>一网统管</w:t>
      </w:r>
      <w:r>
        <w:rPr>
          <w:rFonts w:hint="eastAsia"/>
        </w:rPr>
        <w:t>”城市运行监测管理平台</w:t>
      </w:r>
      <w:r>
        <w:t>，整合城市运行数据资源，实现对经济运行、生态环境、应急指挥、公共安全、基层治理等领域的实时监测、动态分析、统筹协调和智能决策。推动城市管理手段、管理模式、管理理念创新，全面提升城市治理的精细化、智能化、科学化水平，努力建成超大城市中心城区治理现代化的</w:t>
      </w:r>
      <w:r>
        <w:rPr>
          <w:rFonts w:hint="eastAsia"/>
        </w:rPr>
        <w:t>“</w:t>
      </w:r>
      <w:r>
        <w:t>龙华样板</w:t>
      </w:r>
      <w:r>
        <w:rPr>
          <w:rFonts w:hint="eastAsia"/>
        </w:rPr>
        <w:t>”</w:t>
      </w:r>
      <w:r>
        <w:t>。</w:t>
      </w:r>
    </w:p>
    <w:p w14:paraId="492BC37E" w14:textId="77777777" w:rsidR="009D5DEA" w:rsidRDefault="00000000">
      <w:pPr>
        <w:spacing w:after="0" w:line="560" w:lineRule="exact"/>
        <w:ind w:firstLineChars="200" w:firstLine="640"/>
      </w:pPr>
      <w:r>
        <w:t>国际一流数字化营商环境持续优化。充分运用数字化手段赋能营商环境改革，打造市场化、法治化、国际化、便利化的一流营商环境。为企业提供更加精准、高效、便捷的政策推送、诉求响应、要素对接等服务，切实降低企业制度性交易成本，充分激发各类市场主体活力和创造力，使龙华成为创新创业的热土和数字企业成长的沃土。</w:t>
      </w:r>
    </w:p>
    <w:p w14:paraId="2EF7A1AD" w14:textId="77777777" w:rsidR="009D5DEA" w:rsidRDefault="00000000">
      <w:pPr>
        <w:spacing w:after="0" w:line="560" w:lineRule="exact"/>
        <w:ind w:firstLineChars="200" w:firstLine="640"/>
      </w:pPr>
      <w:r>
        <w:t>数字化领域创新能力显著增强。构建开放协同的数字化创新生态体系，鼓励和支持企业、高校、科研机构围绕关键核心技术开展研发攻关和应用创新。促进产学研用深度融合，加速数字化创新成果的转化和产业化应用。积极</w:t>
      </w:r>
      <w:r>
        <w:lastRenderedPageBreak/>
        <w:t>参与和承办国内外高水平数字领域交流活动，提升龙华在数字化创新领域的知名度和影响力。</w:t>
      </w:r>
    </w:p>
    <w:p w14:paraId="6D0228B6" w14:textId="77777777" w:rsidR="009D5DEA" w:rsidRDefault="00000000">
      <w:pPr>
        <w:spacing w:after="0" w:line="560" w:lineRule="exact"/>
        <w:ind w:firstLineChars="200" w:firstLine="640"/>
      </w:pPr>
      <w:r>
        <w:t>人民群众数字化生活品质全面提升。推动数字化技术在教育、医疗、养老、文体、社区服务等民生领域的普惠应用，提供更加智慧、便捷、公平、可及的公共服务。丰富数字消费场景，拓展数字娱乐体验，弥合数字鸿沟，让全体居民共享数字化发展成果，使人民群众的数字化获得感、幸福感、安全感更加充实、更有保障、更可持续。</w:t>
      </w:r>
    </w:p>
    <w:p w14:paraId="06E0B72C" w14:textId="77777777" w:rsidR="009D5DEA" w:rsidRDefault="00000000">
      <w:pPr>
        <w:spacing w:after="0" w:line="560" w:lineRule="exact"/>
        <w:ind w:firstLineChars="200" w:firstLine="640"/>
      </w:pPr>
      <w:r>
        <w:t>到</w:t>
      </w:r>
      <w:r>
        <w:rPr>
          <w:rFonts w:ascii="仿宋_GB2312" w:hint="eastAsia"/>
        </w:rPr>
        <w:t>2035</w:t>
      </w:r>
      <w:r>
        <w:t>年，</w:t>
      </w:r>
      <w:proofErr w:type="gramStart"/>
      <w:r>
        <w:t>龙华区</w:t>
      </w:r>
      <w:proofErr w:type="gramEnd"/>
      <w:r>
        <w:t>将努力建成</w:t>
      </w:r>
      <w:proofErr w:type="gramStart"/>
      <w:r>
        <w:t>践行</w:t>
      </w:r>
      <w:proofErr w:type="gramEnd"/>
      <w:r>
        <w:t>数字中国战略的区域典范和深圳建设具有世界影响力的数字先锋城市的核心承载区。数字经济、数字</w:t>
      </w:r>
      <w:r>
        <w:rPr>
          <w:rFonts w:hint="eastAsia"/>
        </w:rPr>
        <w:t>治理</w:t>
      </w:r>
      <w:r>
        <w:t>、数字</w:t>
      </w:r>
      <w:r>
        <w:rPr>
          <w:rFonts w:hint="eastAsia"/>
        </w:rPr>
        <w:t>城区</w:t>
      </w:r>
      <w:r>
        <w:t>建设实现更高水平的协调发展和深度融合，全面数字化和智能化高质量支撑新时代</w:t>
      </w:r>
      <w:r>
        <w:rPr>
          <w:rFonts w:hint="eastAsia"/>
        </w:rPr>
        <w:t>“</w:t>
      </w:r>
      <w:r>
        <w:t>双区</w:t>
      </w:r>
      <w:r>
        <w:rPr>
          <w:rFonts w:hint="eastAsia"/>
        </w:rPr>
        <w:t>”</w:t>
      </w:r>
      <w:r>
        <w:t>建设和新征程</w:t>
      </w:r>
      <w:r>
        <w:rPr>
          <w:rFonts w:hint="eastAsia"/>
        </w:rPr>
        <w:t>“</w:t>
      </w:r>
      <w:r>
        <w:t>双区</w:t>
      </w:r>
      <w:r>
        <w:rPr>
          <w:rFonts w:hint="eastAsia"/>
        </w:rPr>
        <w:t>”</w:t>
      </w:r>
      <w:r>
        <w:t>驱动取得更加辉煌的成就，为深圳乃至全国的数字化发展贡献卓越的</w:t>
      </w:r>
      <w:r>
        <w:rPr>
          <w:rFonts w:hint="eastAsia"/>
        </w:rPr>
        <w:t>“</w:t>
      </w:r>
      <w:r>
        <w:t>龙华方案</w:t>
      </w:r>
      <w:r>
        <w:rPr>
          <w:rFonts w:hint="eastAsia"/>
        </w:rPr>
        <w:t>”</w:t>
      </w:r>
      <w:r>
        <w:t>和</w:t>
      </w:r>
      <w:r>
        <w:rPr>
          <w:rFonts w:hint="eastAsia"/>
        </w:rPr>
        <w:t>“</w:t>
      </w:r>
      <w:r>
        <w:t>龙华智慧</w:t>
      </w:r>
      <w:r>
        <w:rPr>
          <w:rFonts w:hint="eastAsia"/>
        </w:rPr>
        <w:t>”</w:t>
      </w:r>
      <w:r>
        <w:t>。</w:t>
      </w:r>
    </w:p>
    <w:p w14:paraId="75DFB992" w14:textId="77777777" w:rsidR="009D5DEA" w:rsidRDefault="00000000">
      <w:pPr>
        <w:widowControl/>
        <w:spacing w:line="56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表1：数字政府“十五五”发展指标</w:t>
      </w:r>
    </w:p>
    <w:tbl>
      <w:tblPr>
        <w:tblStyle w:val="af3"/>
        <w:tblpPr w:leftFromText="180" w:rightFromText="180" w:vertAnchor="text" w:horzAnchor="margin" w:tblpY="41"/>
        <w:tblW w:w="8217" w:type="dxa"/>
        <w:tblLayout w:type="fixed"/>
        <w:tblLook w:val="04A0" w:firstRow="1" w:lastRow="0" w:firstColumn="1" w:lastColumn="0" w:noHBand="0" w:noVBand="1"/>
      </w:tblPr>
      <w:tblGrid>
        <w:gridCol w:w="704"/>
        <w:gridCol w:w="4394"/>
        <w:gridCol w:w="1039"/>
        <w:gridCol w:w="1040"/>
        <w:gridCol w:w="1040"/>
      </w:tblGrid>
      <w:tr w:rsidR="009D5DEA" w14:paraId="7E8BDDF0" w14:textId="77777777">
        <w:trPr>
          <w:tblHeader/>
        </w:trPr>
        <w:tc>
          <w:tcPr>
            <w:tcW w:w="704" w:type="dxa"/>
            <w:vAlign w:val="center"/>
          </w:tcPr>
          <w:p w14:paraId="22DF04C9" w14:textId="77777777" w:rsidR="009D5DEA" w:rsidRDefault="00000000">
            <w:pPr>
              <w:widowControl/>
              <w:adjustRightInd w:val="0"/>
              <w:snapToGrid w:val="0"/>
              <w:spacing w:after="0" w:line="276" w:lineRule="auto"/>
              <w:rPr>
                <w:rFonts w:ascii="黑体" w:eastAsia="黑体" w:hAnsi="黑体" w:cs="黑体" w:hint="eastAsia"/>
                <w:kern w:val="0"/>
                <w:sz w:val="24"/>
                <w:szCs w:val="24"/>
              </w:rPr>
            </w:pPr>
            <w:bookmarkStart w:id="9" w:name="_Hlk208267147"/>
            <w:r>
              <w:rPr>
                <w:rFonts w:ascii="黑体" w:eastAsia="黑体" w:hAnsi="黑体" w:cs="黑体" w:hint="eastAsia"/>
                <w:kern w:val="0"/>
                <w:sz w:val="24"/>
                <w:szCs w:val="24"/>
              </w:rPr>
              <w:t>序号</w:t>
            </w:r>
          </w:p>
        </w:tc>
        <w:tc>
          <w:tcPr>
            <w:tcW w:w="4394" w:type="dxa"/>
            <w:vAlign w:val="center"/>
          </w:tcPr>
          <w:p w14:paraId="60C7587A" w14:textId="77777777" w:rsidR="009D5DEA" w:rsidRDefault="00000000">
            <w:pPr>
              <w:widowControl/>
              <w:adjustRightInd w:val="0"/>
              <w:snapToGrid w:val="0"/>
              <w:spacing w:after="0" w:line="276" w:lineRule="auto"/>
              <w:jc w:val="center"/>
              <w:rPr>
                <w:rFonts w:ascii="黑体" w:eastAsia="黑体" w:hAnsi="黑体" w:cs="黑体" w:hint="eastAsia"/>
                <w:kern w:val="0"/>
                <w:sz w:val="24"/>
                <w:szCs w:val="24"/>
              </w:rPr>
            </w:pPr>
            <w:r>
              <w:rPr>
                <w:rFonts w:ascii="黑体" w:eastAsia="黑体" w:hAnsi="黑体" w:cs="黑体" w:hint="eastAsia"/>
                <w:kern w:val="0"/>
                <w:sz w:val="24"/>
                <w:szCs w:val="24"/>
              </w:rPr>
              <w:t>指标</w:t>
            </w:r>
          </w:p>
        </w:tc>
        <w:tc>
          <w:tcPr>
            <w:tcW w:w="1039" w:type="dxa"/>
            <w:vAlign w:val="center"/>
          </w:tcPr>
          <w:p w14:paraId="5A9A28C5" w14:textId="77777777" w:rsidR="009D5DEA" w:rsidRDefault="00000000">
            <w:pPr>
              <w:widowControl/>
              <w:adjustRightInd w:val="0"/>
              <w:snapToGrid w:val="0"/>
              <w:spacing w:after="0" w:line="276" w:lineRule="auto"/>
              <w:jc w:val="center"/>
              <w:rPr>
                <w:rFonts w:ascii="黑体" w:eastAsia="黑体" w:hAnsi="黑体" w:cs="黑体" w:hint="eastAsia"/>
                <w:kern w:val="0"/>
                <w:sz w:val="24"/>
                <w:szCs w:val="24"/>
              </w:rPr>
            </w:pPr>
            <w:r>
              <w:rPr>
                <w:rFonts w:ascii="黑体" w:eastAsia="黑体" w:hAnsi="黑体" w:cs="黑体" w:hint="eastAsia"/>
                <w:kern w:val="0"/>
                <w:sz w:val="24"/>
                <w:szCs w:val="24"/>
              </w:rPr>
              <w:t>现状值</w:t>
            </w:r>
          </w:p>
        </w:tc>
        <w:tc>
          <w:tcPr>
            <w:tcW w:w="1040" w:type="dxa"/>
            <w:vAlign w:val="center"/>
          </w:tcPr>
          <w:p w14:paraId="671AEF59" w14:textId="77777777" w:rsidR="009D5DEA" w:rsidRDefault="00000000">
            <w:pPr>
              <w:widowControl/>
              <w:adjustRightInd w:val="0"/>
              <w:snapToGrid w:val="0"/>
              <w:spacing w:after="0" w:line="276" w:lineRule="auto"/>
              <w:jc w:val="center"/>
              <w:rPr>
                <w:rFonts w:ascii="黑体" w:eastAsia="黑体" w:hAnsi="黑体" w:cs="黑体" w:hint="eastAsia"/>
                <w:kern w:val="0"/>
                <w:sz w:val="24"/>
                <w:szCs w:val="24"/>
              </w:rPr>
            </w:pPr>
            <w:r>
              <w:rPr>
                <w:rFonts w:ascii="黑体" w:eastAsia="黑体" w:hAnsi="黑体" w:cs="黑体" w:hint="eastAsia"/>
                <w:kern w:val="0"/>
                <w:sz w:val="24"/>
                <w:szCs w:val="24"/>
              </w:rPr>
              <w:t>目标值</w:t>
            </w:r>
          </w:p>
        </w:tc>
        <w:tc>
          <w:tcPr>
            <w:tcW w:w="1040" w:type="dxa"/>
            <w:vAlign w:val="center"/>
          </w:tcPr>
          <w:p w14:paraId="0F5D04BF" w14:textId="77777777" w:rsidR="009D5DEA" w:rsidRDefault="00000000">
            <w:pPr>
              <w:widowControl/>
              <w:adjustRightInd w:val="0"/>
              <w:snapToGrid w:val="0"/>
              <w:spacing w:after="0" w:line="276" w:lineRule="auto"/>
              <w:jc w:val="center"/>
              <w:rPr>
                <w:rFonts w:ascii="黑体" w:eastAsia="黑体" w:hAnsi="黑体" w:cs="黑体" w:hint="eastAsia"/>
                <w:kern w:val="0"/>
                <w:sz w:val="24"/>
                <w:szCs w:val="24"/>
              </w:rPr>
            </w:pPr>
            <w:r>
              <w:rPr>
                <w:rFonts w:ascii="黑体" w:eastAsia="黑体" w:hAnsi="黑体" w:cs="黑体" w:hint="eastAsia"/>
                <w:kern w:val="0"/>
                <w:sz w:val="24"/>
                <w:szCs w:val="24"/>
              </w:rPr>
              <w:t>属性</w:t>
            </w:r>
          </w:p>
        </w:tc>
      </w:tr>
      <w:tr w:rsidR="009D5DEA" w14:paraId="3FFF3FDE" w14:textId="77777777">
        <w:tc>
          <w:tcPr>
            <w:tcW w:w="8217" w:type="dxa"/>
            <w:gridSpan w:val="5"/>
          </w:tcPr>
          <w:p w14:paraId="56CE3620" w14:textId="77777777" w:rsidR="009D5DEA" w:rsidRDefault="00000000">
            <w:pPr>
              <w:widowControl/>
              <w:adjustRightInd w:val="0"/>
              <w:snapToGrid w:val="0"/>
              <w:spacing w:after="0" w:line="276" w:lineRule="auto"/>
              <w:rPr>
                <w:rFonts w:ascii="仿宋_GB2312" w:hAnsi="仿宋_GB2312" w:cs="仿宋_GB2312" w:hint="eastAsia"/>
                <w:b/>
                <w:bCs/>
                <w:kern w:val="0"/>
                <w:sz w:val="21"/>
                <w:szCs w:val="21"/>
              </w:rPr>
            </w:pPr>
            <w:proofErr w:type="gramStart"/>
            <w:r>
              <w:rPr>
                <w:rFonts w:ascii="仿宋_GB2312" w:hAnsi="仿宋_GB2312" w:cs="仿宋_GB2312" w:hint="eastAsia"/>
                <w:b/>
                <w:bCs/>
                <w:kern w:val="0"/>
                <w:sz w:val="21"/>
                <w:szCs w:val="21"/>
              </w:rPr>
              <w:t>数智化</w:t>
            </w:r>
            <w:proofErr w:type="gramEnd"/>
            <w:r>
              <w:rPr>
                <w:rFonts w:ascii="仿宋_GB2312" w:hAnsi="仿宋_GB2312" w:cs="仿宋_GB2312" w:hint="eastAsia"/>
                <w:b/>
                <w:bCs/>
                <w:kern w:val="0"/>
                <w:sz w:val="21"/>
                <w:szCs w:val="21"/>
              </w:rPr>
              <w:t>发展基础</w:t>
            </w:r>
          </w:p>
        </w:tc>
        <w:bookmarkStart w:id="10" w:name="_Hlk207911694"/>
      </w:tr>
      <w:tr w:rsidR="009D5DEA" w14:paraId="1F804774" w14:textId="77777777">
        <w:tc>
          <w:tcPr>
            <w:tcW w:w="704" w:type="dxa"/>
            <w:vAlign w:val="center"/>
          </w:tcPr>
          <w:p w14:paraId="3E42041C"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1</w:t>
            </w:r>
          </w:p>
        </w:tc>
        <w:tc>
          <w:tcPr>
            <w:tcW w:w="4394" w:type="dxa"/>
            <w:vAlign w:val="center"/>
          </w:tcPr>
          <w:p w14:paraId="05A4858F" w14:textId="77777777" w:rsidR="009D5DEA" w:rsidRDefault="00000000">
            <w:pPr>
              <w:widowControl/>
              <w:adjustRightInd w:val="0"/>
              <w:snapToGrid w:val="0"/>
              <w:spacing w:after="0" w:line="276" w:lineRule="auto"/>
              <w:rPr>
                <w:rFonts w:ascii="仿宋_GB2312" w:hAnsi="仿宋_GB2312" w:cs="仿宋_GB2312" w:hint="eastAsia"/>
                <w:kern w:val="0"/>
                <w:sz w:val="21"/>
                <w:szCs w:val="21"/>
                <w:highlight w:val="yellow"/>
              </w:rPr>
            </w:pPr>
            <w:r>
              <w:rPr>
                <w:rFonts w:ascii="仿宋_GB2312" w:hAnsi="仿宋_GB2312" w:cs="仿宋_GB2312" w:hint="eastAsia"/>
                <w:kern w:val="0"/>
                <w:sz w:val="21"/>
                <w:szCs w:val="21"/>
              </w:rPr>
              <w:t>政务</w:t>
            </w:r>
            <w:proofErr w:type="gramStart"/>
            <w:r>
              <w:rPr>
                <w:rFonts w:ascii="仿宋_GB2312" w:hAnsi="仿宋_GB2312" w:cs="仿宋_GB2312" w:hint="eastAsia"/>
                <w:kern w:val="0"/>
                <w:sz w:val="21"/>
                <w:szCs w:val="21"/>
              </w:rPr>
              <w:t>智能算力规模</w:t>
            </w:r>
            <w:proofErr w:type="gramEnd"/>
            <w:r>
              <w:rPr>
                <w:rFonts w:ascii="仿宋_GB2312" w:hAnsi="仿宋_GB2312" w:cs="仿宋_GB2312" w:hint="eastAsia"/>
                <w:kern w:val="0"/>
                <w:sz w:val="21"/>
                <w:szCs w:val="21"/>
              </w:rPr>
              <w:t>（PFLOPS）</w:t>
            </w:r>
          </w:p>
        </w:tc>
        <w:tc>
          <w:tcPr>
            <w:tcW w:w="1039" w:type="dxa"/>
            <w:vAlign w:val="center"/>
          </w:tcPr>
          <w:p w14:paraId="13A47B32"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&lt;40</w:t>
            </w:r>
          </w:p>
        </w:tc>
        <w:tc>
          <w:tcPr>
            <w:tcW w:w="1040" w:type="dxa"/>
            <w:vAlign w:val="center"/>
          </w:tcPr>
          <w:p w14:paraId="2816E224"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&gt;100</w:t>
            </w:r>
          </w:p>
        </w:tc>
        <w:tc>
          <w:tcPr>
            <w:tcW w:w="1040" w:type="dxa"/>
            <w:vAlign w:val="center"/>
          </w:tcPr>
          <w:p w14:paraId="10EE42AB"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预期性</w:t>
            </w:r>
          </w:p>
        </w:tc>
      </w:tr>
      <w:bookmarkEnd w:id="9"/>
      <w:bookmarkEnd w:id="10"/>
      <w:tr w:rsidR="009D5DEA" w14:paraId="5A7483F8" w14:textId="77777777">
        <w:tc>
          <w:tcPr>
            <w:tcW w:w="8217" w:type="dxa"/>
            <w:gridSpan w:val="5"/>
          </w:tcPr>
          <w:p w14:paraId="174202DD" w14:textId="77777777" w:rsidR="009D5DEA" w:rsidRDefault="00000000">
            <w:pPr>
              <w:widowControl/>
              <w:adjustRightInd w:val="0"/>
              <w:snapToGrid w:val="0"/>
              <w:spacing w:after="0" w:line="276" w:lineRule="auto"/>
              <w:rPr>
                <w:rFonts w:ascii="仿宋_GB2312" w:hAnsi="仿宋_GB2312" w:cs="仿宋_GB2312" w:hint="eastAsia"/>
                <w:b/>
                <w:bCs/>
                <w:kern w:val="0"/>
                <w:sz w:val="21"/>
                <w:szCs w:val="21"/>
              </w:rPr>
            </w:pPr>
            <w:proofErr w:type="gramStart"/>
            <w:r>
              <w:rPr>
                <w:rFonts w:ascii="仿宋_GB2312" w:hAnsi="仿宋_GB2312" w:cs="仿宋_GB2312" w:hint="eastAsia"/>
                <w:b/>
                <w:bCs/>
                <w:kern w:val="0"/>
                <w:sz w:val="21"/>
                <w:szCs w:val="21"/>
              </w:rPr>
              <w:t>数智化</w:t>
            </w:r>
            <w:proofErr w:type="gramEnd"/>
            <w:r>
              <w:rPr>
                <w:rFonts w:ascii="仿宋_GB2312" w:hAnsi="仿宋_GB2312" w:cs="仿宋_GB2312" w:hint="eastAsia"/>
                <w:b/>
                <w:bCs/>
                <w:kern w:val="0"/>
                <w:sz w:val="21"/>
                <w:szCs w:val="21"/>
              </w:rPr>
              <w:t>升级动能</w:t>
            </w:r>
          </w:p>
        </w:tc>
      </w:tr>
      <w:tr w:rsidR="009D5DEA" w14:paraId="32A40E3A" w14:textId="77777777">
        <w:tc>
          <w:tcPr>
            <w:tcW w:w="704" w:type="dxa"/>
            <w:vAlign w:val="center"/>
          </w:tcPr>
          <w:p w14:paraId="42F796F6"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2</w:t>
            </w:r>
          </w:p>
        </w:tc>
        <w:tc>
          <w:tcPr>
            <w:tcW w:w="4394" w:type="dxa"/>
            <w:vAlign w:val="center"/>
          </w:tcPr>
          <w:p w14:paraId="2F673B5A" w14:textId="77777777" w:rsidR="009D5DEA" w:rsidRDefault="00000000">
            <w:pPr>
              <w:widowControl/>
              <w:adjustRightInd w:val="0"/>
              <w:snapToGrid w:val="0"/>
              <w:spacing w:after="0" w:line="276" w:lineRule="auto"/>
              <w:rPr>
                <w:rFonts w:ascii="仿宋_GB2312" w:hAnsi="仿宋_GB2312" w:cs="仿宋_GB2312" w:hint="eastAsia"/>
                <w:kern w:val="0"/>
                <w:sz w:val="21"/>
                <w:szCs w:val="21"/>
              </w:rPr>
            </w:pPr>
            <w:r>
              <w:rPr>
                <w:rFonts w:ascii="仿宋_GB2312" w:hAnsi="仿宋_GB2312" w:cs="仿宋_GB2312" w:hint="eastAsia"/>
                <w:kern w:val="0"/>
                <w:sz w:val="21"/>
                <w:szCs w:val="21"/>
              </w:rPr>
              <w:t>数字孪生底座数据服务数量（</w:t>
            </w:r>
            <w:proofErr w:type="gramStart"/>
            <w:r>
              <w:rPr>
                <w:rFonts w:ascii="仿宋_GB2312" w:hAnsi="仿宋_GB2312" w:cs="仿宋_GB2312" w:hint="eastAsia"/>
                <w:kern w:val="0"/>
                <w:sz w:val="21"/>
                <w:szCs w:val="21"/>
              </w:rPr>
              <w:t>个</w:t>
            </w:r>
            <w:proofErr w:type="gramEnd"/>
            <w:r>
              <w:rPr>
                <w:rFonts w:ascii="仿宋_GB2312" w:hAnsi="仿宋_GB2312" w:cs="仿宋_GB2312" w:hint="eastAsia"/>
                <w:kern w:val="0"/>
                <w:sz w:val="21"/>
                <w:szCs w:val="21"/>
              </w:rPr>
              <w:t>）</w:t>
            </w:r>
          </w:p>
        </w:tc>
        <w:tc>
          <w:tcPr>
            <w:tcW w:w="1039" w:type="dxa"/>
            <w:vAlign w:val="center"/>
          </w:tcPr>
          <w:p w14:paraId="265CB953"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&lt;1700</w:t>
            </w:r>
          </w:p>
        </w:tc>
        <w:tc>
          <w:tcPr>
            <w:tcW w:w="1040" w:type="dxa"/>
            <w:vAlign w:val="center"/>
          </w:tcPr>
          <w:p w14:paraId="4E3E5F85"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&gt;3000</w:t>
            </w:r>
          </w:p>
        </w:tc>
        <w:tc>
          <w:tcPr>
            <w:tcW w:w="1040" w:type="dxa"/>
            <w:vAlign w:val="center"/>
          </w:tcPr>
          <w:p w14:paraId="49E35E43"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预期性</w:t>
            </w:r>
          </w:p>
        </w:tc>
      </w:tr>
      <w:tr w:rsidR="009D5DEA" w14:paraId="2AF0C2DD" w14:textId="77777777">
        <w:tc>
          <w:tcPr>
            <w:tcW w:w="704" w:type="dxa"/>
            <w:vAlign w:val="center"/>
          </w:tcPr>
          <w:p w14:paraId="5AC29166"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3</w:t>
            </w:r>
          </w:p>
        </w:tc>
        <w:tc>
          <w:tcPr>
            <w:tcW w:w="4394" w:type="dxa"/>
            <w:vAlign w:val="center"/>
          </w:tcPr>
          <w:p w14:paraId="7550D715" w14:textId="77777777" w:rsidR="009D5DEA" w:rsidRDefault="00000000">
            <w:pPr>
              <w:widowControl/>
              <w:adjustRightInd w:val="0"/>
              <w:snapToGrid w:val="0"/>
              <w:spacing w:after="0" w:line="276" w:lineRule="auto"/>
              <w:rPr>
                <w:rFonts w:ascii="仿宋_GB2312" w:hAnsi="仿宋_GB2312" w:cs="仿宋_GB2312" w:hint="eastAsia"/>
                <w:kern w:val="0"/>
                <w:sz w:val="21"/>
                <w:szCs w:val="21"/>
              </w:rPr>
            </w:pPr>
            <w:r>
              <w:rPr>
                <w:rFonts w:ascii="仿宋_GB2312" w:hAnsi="仿宋_GB2312" w:cs="仿宋_GB2312" w:hint="eastAsia"/>
                <w:kern w:val="0"/>
                <w:sz w:val="21"/>
                <w:szCs w:val="21"/>
              </w:rPr>
              <w:t>智能中枢共性组件数量（</w:t>
            </w:r>
            <w:proofErr w:type="gramStart"/>
            <w:r>
              <w:rPr>
                <w:rFonts w:ascii="仿宋_GB2312" w:hAnsi="仿宋_GB2312" w:cs="仿宋_GB2312" w:hint="eastAsia"/>
                <w:kern w:val="0"/>
                <w:sz w:val="21"/>
                <w:szCs w:val="21"/>
              </w:rPr>
              <w:t>个</w:t>
            </w:r>
            <w:proofErr w:type="gramEnd"/>
            <w:r>
              <w:rPr>
                <w:rFonts w:ascii="仿宋_GB2312" w:hAnsi="仿宋_GB2312" w:cs="仿宋_GB2312" w:hint="eastAsia"/>
                <w:kern w:val="0"/>
                <w:sz w:val="21"/>
                <w:szCs w:val="21"/>
              </w:rPr>
              <w:t>）</w:t>
            </w:r>
          </w:p>
        </w:tc>
        <w:tc>
          <w:tcPr>
            <w:tcW w:w="1039" w:type="dxa"/>
            <w:vAlign w:val="center"/>
          </w:tcPr>
          <w:p w14:paraId="39584973"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&lt;10</w:t>
            </w:r>
          </w:p>
        </w:tc>
        <w:tc>
          <w:tcPr>
            <w:tcW w:w="1040" w:type="dxa"/>
            <w:vAlign w:val="center"/>
          </w:tcPr>
          <w:p w14:paraId="0B068E55"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&gt;30</w:t>
            </w:r>
          </w:p>
        </w:tc>
        <w:tc>
          <w:tcPr>
            <w:tcW w:w="1040" w:type="dxa"/>
            <w:vAlign w:val="center"/>
          </w:tcPr>
          <w:p w14:paraId="158F0648"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预期性</w:t>
            </w:r>
          </w:p>
        </w:tc>
      </w:tr>
      <w:tr w:rsidR="009D5DEA" w14:paraId="28A4D531" w14:textId="77777777">
        <w:tc>
          <w:tcPr>
            <w:tcW w:w="704" w:type="dxa"/>
            <w:vAlign w:val="center"/>
          </w:tcPr>
          <w:p w14:paraId="71704F6E"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4</w:t>
            </w:r>
          </w:p>
        </w:tc>
        <w:tc>
          <w:tcPr>
            <w:tcW w:w="4394" w:type="dxa"/>
            <w:vAlign w:val="center"/>
          </w:tcPr>
          <w:p w14:paraId="7CA4232C" w14:textId="77777777" w:rsidR="009D5DEA" w:rsidRDefault="00000000">
            <w:pPr>
              <w:widowControl/>
              <w:adjustRightInd w:val="0"/>
              <w:snapToGrid w:val="0"/>
              <w:spacing w:after="0" w:line="276" w:lineRule="auto"/>
              <w:rPr>
                <w:rFonts w:ascii="仿宋_GB2312" w:hAnsi="仿宋_GB2312" w:cs="仿宋_GB2312" w:hint="eastAsia"/>
                <w:kern w:val="0"/>
                <w:sz w:val="21"/>
                <w:szCs w:val="21"/>
              </w:rPr>
            </w:pPr>
            <w:r>
              <w:rPr>
                <w:rFonts w:ascii="仿宋_GB2312" w:hAnsi="仿宋_GB2312" w:cs="仿宋_GB2312" w:hint="eastAsia"/>
                <w:kern w:val="0"/>
                <w:sz w:val="21"/>
                <w:szCs w:val="21"/>
              </w:rPr>
              <w:t>人工智能政务应用场景（</w:t>
            </w:r>
            <w:proofErr w:type="gramStart"/>
            <w:r>
              <w:rPr>
                <w:rFonts w:ascii="仿宋_GB2312" w:hAnsi="仿宋_GB2312" w:cs="仿宋_GB2312" w:hint="eastAsia"/>
                <w:kern w:val="0"/>
                <w:sz w:val="21"/>
                <w:szCs w:val="21"/>
              </w:rPr>
              <w:t>个</w:t>
            </w:r>
            <w:proofErr w:type="gramEnd"/>
            <w:r>
              <w:rPr>
                <w:rFonts w:ascii="仿宋_GB2312" w:hAnsi="仿宋_GB2312" w:cs="仿宋_GB2312" w:hint="eastAsia"/>
                <w:kern w:val="0"/>
                <w:sz w:val="21"/>
                <w:szCs w:val="21"/>
              </w:rPr>
              <w:t>）</w:t>
            </w:r>
          </w:p>
        </w:tc>
        <w:tc>
          <w:tcPr>
            <w:tcW w:w="1039" w:type="dxa"/>
            <w:vAlign w:val="center"/>
          </w:tcPr>
          <w:p w14:paraId="3FE644B2"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&lt;10</w:t>
            </w:r>
          </w:p>
        </w:tc>
        <w:tc>
          <w:tcPr>
            <w:tcW w:w="1040" w:type="dxa"/>
            <w:vAlign w:val="center"/>
          </w:tcPr>
          <w:p w14:paraId="7FE64849"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&gt;30</w:t>
            </w:r>
          </w:p>
        </w:tc>
        <w:tc>
          <w:tcPr>
            <w:tcW w:w="1040" w:type="dxa"/>
            <w:vAlign w:val="center"/>
          </w:tcPr>
          <w:p w14:paraId="407020BD"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约束性</w:t>
            </w:r>
          </w:p>
        </w:tc>
      </w:tr>
      <w:tr w:rsidR="009D5DEA" w14:paraId="759B98B0" w14:textId="77777777">
        <w:tc>
          <w:tcPr>
            <w:tcW w:w="8217" w:type="dxa"/>
            <w:gridSpan w:val="5"/>
          </w:tcPr>
          <w:p w14:paraId="56938D2B" w14:textId="77777777" w:rsidR="009D5DEA" w:rsidRDefault="00000000">
            <w:pPr>
              <w:widowControl/>
              <w:adjustRightInd w:val="0"/>
              <w:snapToGrid w:val="0"/>
              <w:spacing w:after="0" w:line="276" w:lineRule="auto"/>
              <w:rPr>
                <w:rFonts w:ascii="仿宋_GB2312" w:hAnsi="仿宋_GB2312" w:cs="仿宋_GB2312" w:hint="eastAsia"/>
                <w:b/>
                <w:bCs/>
                <w:kern w:val="0"/>
                <w:sz w:val="21"/>
                <w:szCs w:val="21"/>
              </w:rPr>
            </w:pPr>
            <w:proofErr w:type="gramStart"/>
            <w:r>
              <w:rPr>
                <w:rFonts w:ascii="仿宋_GB2312" w:hAnsi="仿宋_GB2312" w:cs="仿宋_GB2312" w:hint="eastAsia"/>
                <w:b/>
                <w:bCs/>
                <w:kern w:val="0"/>
                <w:sz w:val="21"/>
                <w:szCs w:val="21"/>
              </w:rPr>
              <w:t>数智化</w:t>
            </w:r>
            <w:proofErr w:type="gramEnd"/>
            <w:r>
              <w:rPr>
                <w:rFonts w:ascii="仿宋_GB2312" w:hAnsi="仿宋_GB2312" w:cs="仿宋_GB2312" w:hint="eastAsia"/>
                <w:b/>
                <w:bCs/>
                <w:kern w:val="0"/>
                <w:sz w:val="21"/>
                <w:szCs w:val="21"/>
              </w:rPr>
              <w:t>赋能发展</w:t>
            </w:r>
          </w:p>
        </w:tc>
      </w:tr>
      <w:tr w:rsidR="009D5DEA" w14:paraId="1E663B91" w14:textId="77777777">
        <w:tc>
          <w:tcPr>
            <w:tcW w:w="704" w:type="dxa"/>
            <w:vAlign w:val="center"/>
          </w:tcPr>
          <w:p w14:paraId="6D3D919E"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5</w:t>
            </w:r>
          </w:p>
        </w:tc>
        <w:tc>
          <w:tcPr>
            <w:tcW w:w="4394" w:type="dxa"/>
            <w:vAlign w:val="center"/>
          </w:tcPr>
          <w:p w14:paraId="6E085A00" w14:textId="77777777" w:rsidR="009D5DEA" w:rsidRDefault="00000000">
            <w:pPr>
              <w:widowControl/>
              <w:adjustRightInd w:val="0"/>
              <w:snapToGrid w:val="0"/>
              <w:spacing w:after="0" w:line="276" w:lineRule="auto"/>
              <w:rPr>
                <w:rFonts w:ascii="仿宋_GB2312" w:hAnsi="仿宋_GB2312" w:cs="仿宋_GB2312" w:hint="eastAsia"/>
                <w:kern w:val="0"/>
                <w:sz w:val="21"/>
                <w:szCs w:val="21"/>
              </w:rPr>
            </w:pPr>
            <w:r>
              <w:rPr>
                <w:rFonts w:ascii="仿宋_GB2312" w:hAnsi="仿宋_GB2312" w:cs="仿宋_GB2312" w:hint="eastAsia"/>
                <w:kern w:val="0"/>
                <w:sz w:val="21"/>
                <w:szCs w:val="21"/>
              </w:rPr>
              <w:t>“数据要素×”典型应用场景（</w:t>
            </w:r>
            <w:proofErr w:type="gramStart"/>
            <w:r>
              <w:rPr>
                <w:rFonts w:ascii="仿宋_GB2312" w:hAnsi="仿宋_GB2312" w:cs="仿宋_GB2312" w:hint="eastAsia"/>
                <w:kern w:val="0"/>
                <w:sz w:val="21"/>
                <w:szCs w:val="21"/>
              </w:rPr>
              <w:t>个</w:t>
            </w:r>
            <w:proofErr w:type="gramEnd"/>
            <w:r>
              <w:rPr>
                <w:rFonts w:ascii="仿宋_GB2312" w:hAnsi="仿宋_GB2312" w:cs="仿宋_GB2312" w:hint="eastAsia"/>
                <w:kern w:val="0"/>
                <w:sz w:val="21"/>
                <w:szCs w:val="21"/>
              </w:rPr>
              <w:t>）</w:t>
            </w:r>
          </w:p>
        </w:tc>
        <w:tc>
          <w:tcPr>
            <w:tcW w:w="1039" w:type="dxa"/>
            <w:vAlign w:val="center"/>
          </w:tcPr>
          <w:p w14:paraId="517198BA"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&lt;10</w:t>
            </w:r>
          </w:p>
        </w:tc>
        <w:tc>
          <w:tcPr>
            <w:tcW w:w="1040" w:type="dxa"/>
            <w:vAlign w:val="center"/>
          </w:tcPr>
          <w:p w14:paraId="0DFCF29D"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&gt;30</w:t>
            </w:r>
          </w:p>
        </w:tc>
        <w:tc>
          <w:tcPr>
            <w:tcW w:w="1040" w:type="dxa"/>
            <w:vAlign w:val="center"/>
          </w:tcPr>
          <w:p w14:paraId="3BF418BF"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预期性</w:t>
            </w:r>
          </w:p>
        </w:tc>
      </w:tr>
      <w:tr w:rsidR="009D5DEA" w14:paraId="2CAB6002" w14:textId="77777777">
        <w:tc>
          <w:tcPr>
            <w:tcW w:w="704" w:type="dxa"/>
            <w:vAlign w:val="center"/>
          </w:tcPr>
          <w:p w14:paraId="5307FDE5"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6</w:t>
            </w:r>
          </w:p>
        </w:tc>
        <w:tc>
          <w:tcPr>
            <w:tcW w:w="4394" w:type="dxa"/>
            <w:vAlign w:val="center"/>
          </w:tcPr>
          <w:p w14:paraId="74A41A52" w14:textId="77777777" w:rsidR="009D5DEA" w:rsidRDefault="00000000">
            <w:pPr>
              <w:widowControl/>
              <w:adjustRightInd w:val="0"/>
              <w:snapToGrid w:val="0"/>
              <w:spacing w:after="0" w:line="276" w:lineRule="auto"/>
              <w:rPr>
                <w:rFonts w:ascii="仿宋_GB2312" w:hAnsi="仿宋_GB2312" w:cs="仿宋_GB2312" w:hint="eastAsia"/>
                <w:kern w:val="0"/>
                <w:sz w:val="21"/>
                <w:szCs w:val="21"/>
              </w:rPr>
            </w:pPr>
            <w:r>
              <w:rPr>
                <w:rFonts w:ascii="仿宋_GB2312" w:hAnsi="仿宋_GB2312" w:cs="仿宋_GB2312" w:hint="eastAsia"/>
                <w:kern w:val="0"/>
                <w:sz w:val="21"/>
                <w:szCs w:val="21"/>
              </w:rPr>
              <w:t>高效办成一件事场景数（%）</w:t>
            </w:r>
          </w:p>
        </w:tc>
        <w:tc>
          <w:tcPr>
            <w:tcW w:w="1039" w:type="dxa"/>
            <w:vAlign w:val="center"/>
          </w:tcPr>
          <w:p w14:paraId="5692BDB7"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&lt;30</w:t>
            </w:r>
          </w:p>
        </w:tc>
        <w:tc>
          <w:tcPr>
            <w:tcW w:w="1040" w:type="dxa"/>
            <w:vAlign w:val="center"/>
          </w:tcPr>
          <w:p w14:paraId="5684EE1F"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&gt;60</w:t>
            </w:r>
          </w:p>
        </w:tc>
        <w:tc>
          <w:tcPr>
            <w:tcW w:w="1040" w:type="dxa"/>
            <w:vAlign w:val="center"/>
          </w:tcPr>
          <w:p w14:paraId="44AFF088"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约束性</w:t>
            </w:r>
          </w:p>
        </w:tc>
      </w:tr>
      <w:tr w:rsidR="009D5DEA" w14:paraId="1D461A3B" w14:textId="77777777">
        <w:tc>
          <w:tcPr>
            <w:tcW w:w="704" w:type="dxa"/>
            <w:vAlign w:val="center"/>
          </w:tcPr>
          <w:p w14:paraId="458EF4F5"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7</w:t>
            </w:r>
          </w:p>
        </w:tc>
        <w:tc>
          <w:tcPr>
            <w:tcW w:w="4394" w:type="dxa"/>
            <w:vAlign w:val="center"/>
          </w:tcPr>
          <w:p w14:paraId="185838BE" w14:textId="77777777" w:rsidR="009D5DEA" w:rsidRDefault="00000000">
            <w:pPr>
              <w:widowControl/>
              <w:adjustRightInd w:val="0"/>
              <w:snapToGrid w:val="0"/>
              <w:spacing w:after="0" w:line="276" w:lineRule="auto"/>
              <w:rPr>
                <w:rFonts w:ascii="仿宋_GB2312" w:hAnsi="仿宋_GB2312" w:cs="仿宋_GB2312" w:hint="eastAsia"/>
                <w:kern w:val="0"/>
                <w:sz w:val="21"/>
                <w:szCs w:val="21"/>
              </w:rPr>
            </w:pPr>
            <w:r>
              <w:rPr>
                <w:rFonts w:ascii="仿宋_GB2312" w:hAnsi="仿宋_GB2312" w:cs="仿宋_GB2312" w:hint="eastAsia"/>
                <w:kern w:val="0"/>
                <w:sz w:val="21"/>
                <w:szCs w:val="21"/>
              </w:rPr>
              <w:t>全市</w:t>
            </w:r>
            <w:proofErr w:type="gramStart"/>
            <w:r>
              <w:rPr>
                <w:rFonts w:ascii="仿宋_GB2312" w:hAnsi="仿宋_GB2312" w:cs="仿宋_GB2312" w:hint="eastAsia"/>
                <w:kern w:val="0"/>
                <w:sz w:val="21"/>
                <w:szCs w:val="21"/>
              </w:rPr>
              <w:t>域通办</w:t>
            </w:r>
            <w:proofErr w:type="gramEnd"/>
            <w:r>
              <w:rPr>
                <w:rFonts w:ascii="仿宋_GB2312" w:hAnsi="仿宋_GB2312" w:cs="仿宋_GB2312" w:hint="eastAsia"/>
                <w:kern w:val="0"/>
                <w:sz w:val="21"/>
                <w:szCs w:val="21"/>
              </w:rPr>
              <w:t>率（%）</w:t>
            </w:r>
          </w:p>
        </w:tc>
        <w:tc>
          <w:tcPr>
            <w:tcW w:w="1039" w:type="dxa"/>
            <w:vAlign w:val="center"/>
          </w:tcPr>
          <w:p w14:paraId="0B858D6B"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&lt;85</w:t>
            </w:r>
          </w:p>
        </w:tc>
        <w:tc>
          <w:tcPr>
            <w:tcW w:w="1040" w:type="dxa"/>
            <w:vAlign w:val="center"/>
          </w:tcPr>
          <w:p w14:paraId="1D8F04C9"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&gt;90</w:t>
            </w:r>
          </w:p>
        </w:tc>
        <w:tc>
          <w:tcPr>
            <w:tcW w:w="1040" w:type="dxa"/>
            <w:vAlign w:val="center"/>
          </w:tcPr>
          <w:p w14:paraId="12B74E5E"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预期性</w:t>
            </w:r>
          </w:p>
        </w:tc>
      </w:tr>
      <w:tr w:rsidR="009D5DEA" w14:paraId="4BCEB95F" w14:textId="77777777">
        <w:tc>
          <w:tcPr>
            <w:tcW w:w="8217" w:type="dxa"/>
            <w:gridSpan w:val="5"/>
          </w:tcPr>
          <w:p w14:paraId="2569181C" w14:textId="77777777" w:rsidR="009D5DEA" w:rsidRDefault="00000000">
            <w:pPr>
              <w:widowControl/>
              <w:adjustRightInd w:val="0"/>
              <w:snapToGrid w:val="0"/>
              <w:spacing w:after="0" w:line="276" w:lineRule="auto"/>
              <w:rPr>
                <w:rFonts w:ascii="仿宋_GB2312" w:hAnsi="仿宋_GB2312" w:cs="仿宋_GB2312" w:hint="eastAsia"/>
                <w:b/>
                <w:bCs/>
                <w:kern w:val="0"/>
                <w:sz w:val="21"/>
                <w:szCs w:val="21"/>
              </w:rPr>
            </w:pPr>
            <w:proofErr w:type="gramStart"/>
            <w:r>
              <w:rPr>
                <w:rFonts w:ascii="仿宋_GB2312" w:hAnsi="仿宋_GB2312" w:cs="仿宋_GB2312" w:hint="eastAsia"/>
                <w:b/>
                <w:bCs/>
                <w:kern w:val="0"/>
                <w:sz w:val="21"/>
                <w:szCs w:val="21"/>
              </w:rPr>
              <w:t>数智化</w:t>
            </w:r>
            <w:proofErr w:type="gramEnd"/>
            <w:r>
              <w:rPr>
                <w:rFonts w:ascii="仿宋_GB2312" w:hAnsi="仿宋_GB2312" w:cs="仿宋_GB2312" w:hint="eastAsia"/>
                <w:b/>
                <w:bCs/>
                <w:kern w:val="0"/>
                <w:sz w:val="21"/>
                <w:szCs w:val="21"/>
              </w:rPr>
              <w:t>发展环境</w:t>
            </w:r>
          </w:p>
        </w:tc>
      </w:tr>
      <w:tr w:rsidR="009D5DEA" w14:paraId="0653069C" w14:textId="77777777">
        <w:tc>
          <w:tcPr>
            <w:tcW w:w="704" w:type="dxa"/>
            <w:vAlign w:val="center"/>
          </w:tcPr>
          <w:p w14:paraId="54AA4B20"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8</w:t>
            </w:r>
          </w:p>
        </w:tc>
        <w:tc>
          <w:tcPr>
            <w:tcW w:w="4394" w:type="dxa"/>
            <w:vAlign w:val="center"/>
          </w:tcPr>
          <w:p w14:paraId="2410EDC2" w14:textId="77777777" w:rsidR="009D5DEA" w:rsidRDefault="00000000">
            <w:pPr>
              <w:widowControl/>
              <w:adjustRightInd w:val="0"/>
              <w:snapToGrid w:val="0"/>
              <w:spacing w:after="0" w:line="276" w:lineRule="auto"/>
              <w:rPr>
                <w:rFonts w:ascii="仿宋_GB2312" w:hAnsi="仿宋_GB2312" w:cs="仿宋_GB2312" w:hint="eastAsia"/>
                <w:kern w:val="0"/>
                <w:sz w:val="21"/>
                <w:szCs w:val="21"/>
              </w:rPr>
            </w:pPr>
            <w:r>
              <w:rPr>
                <w:rFonts w:ascii="仿宋_GB2312" w:hAnsi="仿宋_GB2312" w:cs="仿宋_GB2312" w:hint="eastAsia"/>
                <w:kern w:val="0"/>
                <w:sz w:val="21"/>
                <w:szCs w:val="21"/>
              </w:rPr>
              <w:t>联合创新中心产品孵化数量（</w:t>
            </w:r>
            <w:proofErr w:type="gramStart"/>
            <w:r>
              <w:rPr>
                <w:rFonts w:ascii="仿宋_GB2312" w:hAnsi="仿宋_GB2312" w:cs="仿宋_GB2312" w:hint="eastAsia"/>
                <w:kern w:val="0"/>
                <w:sz w:val="21"/>
                <w:szCs w:val="21"/>
              </w:rPr>
              <w:t>个</w:t>
            </w:r>
            <w:proofErr w:type="gramEnd"/>
            <w:r>
              <w:rPr>
                <w:rFonts w:ascii="仿宋_GB2312" w:hAnsi="仿宋_GB2312" w:cs="仿宋_GB2312" w:hint="eastAsia"/>
                <w:kern w:val="0"/>
                <w:sz w:val="21"/>
                <w:szCs w:val="21"/>
              </w:rPr>
              <w:t>）</w:t>
            </w:r>
          </w:p>
        </w:tc>
        <w:tc>
          <w:tcPr>
            <w:tcW w:w="1039" w:type="dxa"/>
            <w:vAlign w:val="center"/>
          </w:tcPr>
          <w:p w14:paraId="387DEADE"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w:t>
            </w:r>
          </w:p>
        </w:tc>
        <w:tc>
          <w:tcPr>
            <w:tcW w:w="1040" w:type="dxa"/>
            <w:vAlign w:val="center"/>
          </w:tcPr>
          <w:p w14:paraId="51A813C0"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kern w:val="0"/>
                <w:sz w:val="21"/>
                <w:szCs w:val="21"/>
              </w:rPr>
              <w:t>3</w:t>
            </w:r>
          </w:p>
        </w:tc>
        <w:tc>
          <w:tcPr>
            <w:tcW w:w="1040" w:type="dxa"/>
            <w:vAlign w:val="center"/>
          </w:tcPr>
          <w:p w14:paraId="380A8311" w14:textId="77777777" w:rsidR="009D5DEA" w:rsidRDefault="00000000">
            <w:pPr>
              <w:widowControl/>
              <w:adjustRightInd w:val="0"/>
              <w:snapToGrid w:val="0"/>
              <w:spacing w:after="0" w:line="276" w:lineRule="auto"/>
              <w:jc w:val="center"/>
              <w:rPr>
                <w:rFonts w:ascii="仿宋_GB2312" w:hAnsi="仿宋_GB2312" w:cs="仿宋_GB2312" w:hint="eastAsia"/>
                <w:kern w:val="0"/>
                <w:sz w:val="21"/>
                <w:szCs w:val="21"/>
              </w:rPr>
            </w:pPr>
            <w:r>
              <w:rPr>
                <w:rFonts w:ascii="仿宋_GB2312" w:hAnsi="仿宋_GB2312" w:cs="仿宋_GB2312" w:hint="eastAsia"/>
                <w:kern w:val="0"/>
                <w:sz w:val="21"/>
                <w:szCs w:val="21"/>
              </w:rPr>
              <w:t>预期性</w:t>
            </w:r>
          </w:p>
        </w:tc>
      </w:tr>
    </w:tbl>
    <w:p w14:paraId="3A314392" w14:textId="77777777" w:rsidR="009D5DEA" w:rsidRDefault="00000000">
      <w:pPr>
        <w:pStyle w:val="2"/>
        <w:numPr>
          <w:ilvl w:val="0"/>
          <w:numId w:val="5"/>
        </w:numPr>
        <w:spacing w:before="0" w:after="0" w:line="560" w:lineRule="exact"/>
        <w:rPr>
          <w:rFonts w:ascii="楷体_GB2312" w:eastAsia="楷体_GB2312" w:hAnsi="黑体" w:hint="eastAsia"/>
          <w:color w:val="000000" w:themeColor="text1"/>
          <w:sz w:val="32"/>
          <w:szCs w:val="32"/>
        </w:rPr>
      </w:pPr>
      <w:bookmarkStart w:id="11" w:name="_Toc220337763"/>
      <w:r>
        <w:rPr>
          <w:rFonts w:ascii="楷体_GB2312" w:eastAsia="楷体_GB2312" w:hAnsi="黑体" w:hint="eastAsia"/>
          <w:color w:val="000000" w:themeColor="text1"/>
          <w:sz w:val="32"/>
          <w:szCs w:val="32"/>
        </w:rPr>
        <w:lastRenderedPageBreak/>
        <w:t>框架体系</w:t>
      </w:r>
      <w:bookmarkEnd w:id="11"/>
    </w:p>
    <w:p w14:paraId="0EFA1B06" w14:textId="77777777" w:rsidR="009D5DEA" w:rsidRDefault="00000000">
      <w:pPr>
        <w:spacing w:after="0" w:line="560" w:lineRule="exact"/>
        <w:ind w:firstLineChars="200" w:firstLine="643"/>
        <w:rPr>
          <w:rFonts w:ascii="仿宋_GB2312"/>
          <w:b/>
          <w:bCs/>
        </w:rPr>
      </w:pPr>
      <w:proofErr w:type="gramStart"/>
      <w:r>
        <w:rPr>
          <w:rFonts w:ascii="仿宋_GB2312" w:hint="eastAsia"/>
          <w:b/>
          <w:bCs/>
        </w:rPr>
        <w:t>龙华区数字</w:t>
      </w:r>
      <w:proofErr w:type="gramEnd"/>
      <w:r>
        <w:rPr>
          <w:rFonts w:ascii="仿宋_GB2312" w:hint="eastAsia"/>
          <w:b/>
          <w:bCs/>
        </w:rPr>
        <w:t>政府建设围绕“1+3+4+N”总体发展体系展开，</w:t>
      </w:r>
      <w:r>
        <w:rPr>
          <w:rFonts w:ascii="仿宋_GB2312" w:hint="eastAsia"/>
        </w:rPr>
        <w:t>锚定一个总目标，即全面推进全域数字化、智能化，建设更加智慧高效的数字政府。加快推进三个发展，即数字建设一体化发展、城市管理智能化发展、公共服务精细化发展。</w:t>
      </w:r>
      <w:proofErr w:type="gramStart"/>
      <w:r>
        <w:rPr>
          <w:rFonts w:ascii="仿宋_GB2312" w:hint="eastAsia"/>
        </w:rPr>
        <w:t>依托四</w:t>
      </w:r>
      <w:proofErr w:type="gramEnd"/>
      <w:r>
        <w:rPr>
          <w:rFonts w:ascii="仿宋_GB2312" w:hint="eastAsia"/>
        </w:rPr>
        <w:t>大支柱方向，夯实数字基底、</w:t>
      </w:r>
      <w:proofErr w:type="gramStart"/>
      <w:r>
        <w:rPr>
          <w:rFonts w:ascii="仿宋_GB2312" w:hint="eastAsia"/>
        </w:rPr>
        <w:t>打造数智中枢</w:t>
      </w:r>
      <w:proofErr w:type="gramEnd"/>
      <w:r>
        <w:rPr>
          <w:rFonts w:ascii="仿宋_GB2312" w:hint="eastAsia"/>
        </w:rPr>
        <w:t>、</w:t>
      </w:r>
      <w:proofErr w:type="gramStart"/>
      <w:r>
        <w:rPr>
          <w:rFonts w:ascii="仿宋_GB2312" w:hint="eastAsia"/>
        </w:rPr>
        <w:t>丰富数智</w:t>
      </w:r>
      <w:proofErr w:type="gramEnd"/>
      <w:r>
        <w:rPr>
          <w:rFonts w:ascii="仿宋_GB2312" w:hint="eastAsia"/>
        </w:rPr>
        <w:t>应用、培育数字生态，最终推动“N”</w:t>
      </w:r>
      <w:proofErr w:type="gramStart"/>
      <w:r>
        <w:rPr>
          <w:rFonts w:ascii="仿宋_GB2312" w:hint="eastAsia"/>
        </w:rPr>
        <w:t>个</w:t>
      </w:r>
      <w:proofErr w:type="gramEnd"/>
      <w:r>
        <w:rPr>
          <w:rFonts w:ascii="仿宋_GB2312" w:hint="eastAsia"/>
        </w:rPr>
        <w:t>具体场景创新实践，使数字政府建设成果可知可感。</w:t>
      </w:r>
    </w:p>
    <w:p w14:paraId="2BEB66A2" w14:textId="77777777" w:rsidR="009D5DEA" w:rsidRDefault="00000000">
      <w:pPr>
        <w:spacing w:after="0" w:line="560" w:lineRule="exact"/>
        <w:ind w:firstLineChars="200" w:firstLine="640"/>
      </w:pPr>
      <w:r>
        <w:rPr>
          <w:rFonts w:ascii="仿宋_GB2312" w:hint="eastAsia"/>
        </w:rPr>
        <w:t>“十五五”</w:t>
      </w:r>
      <w:r>
        <w:rPr>
          <w:rFonts w:ascii="仿宋_GB2312"/>
        </w:rPr>
        <w:t>期间，</w:t>
      </w:r>
      <w:proofErr w:type="gramStart"/>
      <w:r>
        <w:rPr>
          <w:rFonts w:ascii="仿宋_GB2312"/>
        </w:rPr>
        <w:t>龙华区数字</w:t>
      </w:r>
      <w:proofErr w:type="gramEnd"/>
      <w:r>
        <w:rPr>
          <w:rFonts w:ascii="仿宋_GB2312"/>
        </w:rPr>
        <w:t>建设在面向时代需求与区域特色统筹谋划，</w:t>
      </w:r>
      <w:r>
        <w:rPr>
          <w:rFonts w:ascii="仿宋_GB2312" w:hint="eastAsia"/>
        </w:rPr>
        <w:t>以数字基底、</w:t>
      </w:r>
      <w:proofErr w:type="gramStart"/>
      <w:r>
        <w:rPr>
          <w:rFonts w:ascii="仿宋_GB2312" w:hint="eastAsia"/>
        </w:rPr>
        <w:t>数智中枢</w:t>
      </w:r>
      <w:proofErr w:type="gramEnd"/>
      <w:r>
        <w:rPr>
          <w:rFonts w:ascii="仿宋_GB2312" w:hint="eastAsia"/>
        </w:rPr>
        <w:t>、</w:t>
      </w:r>
      <w:proofErr w:type="gramStart"/>
      <w:r>
        <w:rPr>
          <w:rFonts w:ascii="仿宋_GB2312" w:hint="eastAsia"/>
        </w:rPr>
        <w:t>数智应用</w:t>
      </w:r>
      <w:proofErr w:type="gramEnd"/>
      <w:r>
        <w:rPr>
          <w:rFonts w:ascii="仿宋_GB2312" w:hint="eastAsia"/>
        </w:rPr>
        <w:t>、数字生态为主要方向</w:t>
      </w:r>
      <w:r>
        <w:rPr>
          <w:rFonts w:ascii="仿宋_GB2312"/>
        </w:rPr>
        <w:t>，</w:t>
      </w:r>
      <w:bookmarkStart w:id="12" w:name="_Hlk216187777"/>
      <w:r>
        <w:rPr>
          <w:rFonts w:ascii="仿宋_GB2312" w:hint="eastAsia"/>
          <w:b/>
          <w:bCs/>
        </w:rPr>
        <w:t>构建“3243”</w:t>
      </w:r>
      <w:r>
        <w:rPr>
          <w:rFonts w:ascii="仿宋_GB2312"/>
          <w:b/>
          <w:bCs/>
        </w:rPr>
        <w:t>实施体系</w:t>
      </w:r>
      <w:bookmarkEnd w:id="12"/>
      <w:r>
        <w:rPr>
          <w:rFonts w:ascii="仿宋_GB2312" w:hint="eastAsia"/>
        </w:rPr>
        <w:t>，聚焦数字基础设施、数据要素、数字安全三大基础建设，打造数字</w:t>
      </w:r>
      <w:proofErr w:type="gramStart"/>
      <w:r>
        <w:rPr>
          <w:rFonts w:ascii="仿宋_GB2312" w:hint="eastAsia"/>
        </w:rPr>
        <w:t>孪生与</w:t>
      </w:r>
      <w:proofErr w:type="gramEnd"/>
      <w:r>
        <w:rPr>
          <w:rFonts w:ascii="仿宋_GB2312" w:hint="eastAsia"/>
        </w:rPr>
        <w:t>人工智能“一体两翼”</w:t>
      </w:r>
      <w:r>
        <w:rPr>
          <w:rFonts w:ascii="仿宋_GB2312"/>
        </w:rPr>
        <w:t>智能中枢，赋能</w:t>
      </w:r>
      <w:r>
        <w:rPr>
          <w:rFonts w:ascii="仿宋_GB2312" w:hint="eastAsia"/>
        </w:rPr>
        <w:t>经济发展、基层治理、城区建设、普惠服务</w:t>
      </w:r>
      <w:r>
        <w:rPr>
          <w:rFonts w:ascii="仿宋_GB2312"/>
        </w:rPr>
        <w:t>四大领域，并持续完善</w:t>
      </w:r>
      <w:r>
        <w:rPr>
          <w:rFonts w:ascii="仿宋_GB2312" w:hint="eastAsia"/>
        </w:rPr>
        <w:t>制度、创新、人才</w:t>
      </w:r>
      <w:r>
        <w:rPr>
          <w:rFonts w:ascii="仿宋_GB2312"/>
        </w:rPr>
        <w:t>三大环境，</w:t>
      </w:r>
      <w:r>
        <w:rPr>
          <w:rFonts w:ascii="仿宋_GB2312" w:hint="eastAsia"/>
        </w:rPr>
        <w:t>着力培育具有全球竞争力的</w:t>
      </w:r>
      <w:proofErr w:type="gramStart"/>
      <w:r>
        <w:rPr>
          <w:rFonts w:ascii="仿宋_GB2312" w:hint="eastAsia"/>
        </w:rPr>
        <w:t>一流数智化</w:t>
      </w:r>
      <w:proofErr w:type="gramEnd"/>
      <w:r>
        <w:rPr>
          <w:rFonts w:ascii="仿宋_GB2312" w:hint="eastAsia"/>
        </w:rPr>
        <w:t>发展生态</w:t>
      </w:r>
      <w:r>
        <w:rPr>
          <w:rFonts w:ascii="仿宋_GB2312"/>
        </w:rPr>
        <w:t>。</w:t>
      </w:r>
    </w:p>
    <w:p w14:paraId="00CD2A33" w14:textId="77777777" w:rsidR="009D5DEA" w:rsidRDefault="00000000">
      <w:pPr>
        <w:pStyle w:val="1"/>
        <w:numPr>
          <w:ilvl w:val="0"/>
          <w:numId w:val="1"/>
        </w:numPr>
        <w:spacing w:before="0" w:after="0" w:line="560" w:lineRule="exact"/>
        <w:rPr>
          <w:rFonts w:ascii="黑体" w:eastAsia="黑体" w:hAnsi="黑体" w:hint="eastAsia"/>
          <w:color w:val="000000" w:themeColor="text1"/>
          <w:sz w:val="32"/>
          <w:szCs w:val="32"/>
        </w:rPr>
      </w:pPr>
      <w:bookmarkStart w:id="13" w:name="_Toc220337764"/>
      <w:r>
        <w:rPr>
          <w:rFonts w:ascii="黑体" w:eastAsia="黑体" w:hAnsi="黑体" w:hint="eastAsia"/>
          <w:color w:val="000000" w:themeColor="text1"/>
          <w:sz w:val="32"/>
          <w:szCs w:val="32"/>
        </w:rPr>
        <w:t>加强新型数字基建，筑牢智慧城市底座</w:t>
      </w:r>
      <w:bookmarkEnd w:id="13"/>
    </w:p>
    <w:p w14:paraId="59D895BB" w14:textId="77777777" w:rsidR="009D5DEA" w:rsidRDefault="00000000">
      <w:pPr>
        <w:pStyle w:val="2"/>
        <w:numPr>
          <w:ilvl w:val="0"/>
          <w:numId w:val="6"/>
        </w:numPr>
        <w:spacing w:before="0" w:after="0" w:line="560" w:lineRule="exact"/>
        <w:rPr>
          <w:rFonts w:ascii="楷体_GB2312" w:eastAsia="楷体_GB2312" w:hAnsi="黑体" w:hint="eastAsia"/>
          <w:color w:val="000000" w:themeColor="text1"/>
          <w:sz w:val="32"/>
          <w:szCs w:val="32"/>
        </w:rPr>
      </w:pPr>
      <w:bookmarkStart w:id="14" w:name="_Toc220337765"/>
      <w:r>
        <w:rPr>
          <w:rFonts w:ascii="楷体_GB2312" w:eastAsia="楷体_GB2312" w:hAnsi="黑体" w:hint="eastAsia"/>
          <w:color w:val="000000" w:themeColor="text1"/>
          <w:sz w:val="32"/>
          <w:szCs w:val="32"/>
        </w:rPr>
        <w:t>完善新型数字基础设施</w:t>
      </w:r>
      <w:bookmarkEnd w:id="14"/>
    </w:p>
    <w:p w14:paraId="64F51168" w14:textId="77777777" w:rsidR="009D5DEA" w:rsidRDefault="00000000">
      <w:pPr>
        <w:pStyle w:val="3"/>
        <w:widowControl/>
        <w:numPr>
          <w:ilvl w:val="0"/>
          <w:numId w:val="7"/>
        </w:numPr>
        <w:spacing w:before="0" w:after="0" w:line="560" w:lineRule="exact"/>
        <w:rPr>
          <w:rFonts w:ascii="仿宋" w:eastAsia="仿宋_GB2312" w:hAnsi="仿宋" w:cs="宋体" w:hint="eastAsia"/>
          <w:b/>
          <w:bCs/>
          <w:color w:val="auto"/>
          <w:kern w:val="0"/>
        </w:rPr>
      </w:pPr>
      <w:bookmarkStart w:id="15" w:name="_Toc220337766"/>
      <w:r>
        <w:rPr>
          <w:rFonts w:ascii="仿宋" w:eastAsia="仿宋_GB2312" w:hAnsi="仿宋" w:cs="宋体" w:hint="eastAsia"/>
          <w:b/>
          <w:bCs/>
          <w:color w:val="auto"/>
          <w:kern w:val="0"/>
        </w:rPr>
        <w:t>建设数字城市“一张网”</w:t>
      </w:r>
      <w:bookmarkEnd w:id="15"/>
    </w:p>
    <w:p w14:paraId="28A9AC5B" w14:textId="77777777" w:rsidR="009D5DEA" w:rsidRDefault="00000000">
      <w:pPr>
        <w:spacing w:after="0" w:line="560" w:lineRule="exact"/>
        <w:ind w:firstLineChars="200" w:firstLine="643"/>
        <w:rPr>
          <w:rFonts w:ascii="仿宋_GB2312"/>
        </w:rPr>
      </w:pPr>
      <w:r>
        <w:rPr>
          <w:rFonts w:ascii="仿宋_GB2312" w:hint="eastAsia"/>
          <w:b/>
          <w:bCs/>
        </w:rPr>
        <w:t>推动数据中心效能提升。</w:t>
      </w:r>
      <w:r>
        <w:rPr>
          <w:rFonts w:ascii="仿宋_GB2312"/>
        </w:rPr>
        <w:t>统筹推进政务数据中心资源整合与升级改造，重点优化传统基础设施资源配置模式。积极探索引入先进技术手段，提升数据中心整体承载能力和运行效率，适应未来业务演进方向。着力构建支撑大规模、复杂应用需求的计算资源平台，强化资源统筹调度与</w:t>
      </w:r>
      <w:r>
        <w:rPr>
          <w:rFonts w:ascii="仿宋_GB2312"/>
        </w:rPr>
        <w:lastRenderedPageBreak/>
        <w:t>管理能力，为</w:t>
      </w:r>
      <w:r>
        <w:rPr>
          <w:rFonts w:ascii="仿宋_GB2312" w:hint="eastAsia"/>
        </w:rPr>
        <w:t>大</w:t>
      </w:r>
      <w:proofErr w:type="gramStart"/>
      <w:r>
        <w:rPr>
          <w:rFonts w:ascii="仿宋_GB2312" w:hint="eastAsia"/>
        </w:rPr>
        <w:t>算力应用</w:t>
      </w:r>
      <w:proofErr w:type="gramEnd"/>
      <w:r>
        <w:rPr>
          <w:rFonts w:ascii="仿宋_GB2312" w:hint="eastAsia"/>
        </w:rPr>
        <w:t>与综合性平台</w:t>
      </w:r>
      <w:r>
        <w:rPr>
          <w:rFonts w:ascii="仿宋_GB2312"/>
        </w:rPr>
        <w:t>提供坚实支撑，满足未来业务发展对高性能计算的弹性需求</w:t>
      </w:r>
      <w:r>
        <w:rPr>
          <w:rFonts w:ascii="仿宋_GB2312" w:hint="eastAsia"/>
        </w:rPr>
        <w:t>。</w:t>
      </w:r>
    </w:p>
    <w:p w14:paraId="1045F647" w14:textId="77777777" w:rsidR="009D5DEA" w:rsidRDefault="00000000">
      <w:pPr>
        <w:spacing w:after="0" w:line="560" w:lineRule="exact"/>
        <w:ind w:firstLineChars="200" w:firstLine="643"/>
        <w:rPr>
          <w:rFonts w:ascii="仿宋_GB2312"/>
        </w:rPr>
      </w:pPr>
      <w:r>
        <w:rPr>
          <w:rFonts w:ascii="仿宋_GB2312" w:hint="eastAsia"/>
          <w:b/>
          <w:bCs/>
        </w:rPr>
        <w:t>推进IPv6网络更新迭代。</w:t>
      </w:r>
      <w:r>
        <w:rPr>
          <w:rFonts w:ascii="仿宋_GB2312" w:hint="eastAsia"/>
        </w:rPr>
        <w:t>积极探索IPv6等下一代互联网技术在政务服务领域的广泛应用。持续完善网络基础设施支撑能力，落实</w:t>
      </w:r>
      <w:proofErr w:type="gramStart"/>
      <w:r>
        <w:rPr>
          <w:rFonts w:ascii="仿宋_GB2312" w:hint="eastAsia"/>
        </w:rPr>
        <w:t>区电子</w:t>
      </w:r>
      <w:proofErr w:type="gramEnd"/>
      <w:r>
        <w:rPr>
          <w:rFonts w:ascii="仿宋_GB2312" w:hint="eastAsia"/>
        </w:rPr>
        <w:t>政务网络IPv6流量提升计划，提升整体网络使用体验。稳步推进IPv6+技术创新实践，引入SRv6、网络切片等关键技术，为构建“一网多平面”的政务网络体系奠定坚实基础，实现对不同业务需求的精细化承载。</w:t>
      </w:r>
    </w:p>
    <w:p w14:paraId="6705C5C0" w14:textId="77777777" w:rsidR="009D5DEA" w:rsidRDefault="00000000">
      <w:pPr>
        <w:spacing w:after="0" w:line="560" w:lineRule="exact"/>
        <w:ind w:firstLineChars="200" w:firstLine="643"/>
        <w:rPr>
          <w:rFonts w:ascii="仿宋_GB2312"/>
        </w:rPr>
      </w:pPr>
      <w:r>
        <w:rPr>
          <w:rFonts w:ascii="仿宋_GB2312" w:hint="eastAsia"/>
          <w:b/>
          <w:bCs/>
        </w:rPr>
        <w:t>深化政务网络赋能。</w:t>
      </w:r>
      <w:r>
        <w:rPr>
          <w:rFonts w:ascii="仿宋_GB2312" w:hint="eastAsia"/>
        </w:rPr>
        <w:t>稳步推进新型政务网络规划建设与应用创新，积极探索“一网多平面”等先进架构，统筹规划政务网络资源，聚焦支撑政务服务、移动政务、</w:t>
      </w:r>
      <w:proofErr w:type="gramStart"/>
      <w:r>
        <w:rPr>
          <w:rFonts w:ascii="仿宋_GB2312" w:hint="eastAsia"/>
        </w:rPr>
        <w:t>物联感知</w:t>
      </w:r>
      <w:proofErr w:type="gramEnd"/>
      <w:r>
        <w:rPr>
          <w:rFonts w:ascii="仿宋_GB2312"/>
        </w:rPr>
        <w:t>及应急指挥等差异化业务场景需求</w:t>
      </w:r>
      <w:r>
        <w:rPr>
          <w:rFonts w:ascii="仿宋_GB2312" w:hint="eastAsia"/>
        </w:rPr>
        <w:t>，通过逻辑隔离或物理专享等方式，构建安全可靠、按需定制的</w:t>
      </w:r>
      <w:r>
        <w:rPr>
          <w:rFonts w:ascii="仿宋_GB2312"/>
        </w:rPr>
        <w:t>有线无线</w:t>
      </w:r>
      <w:r>
        <w:rPr>
          <w:rFonts w:ascii="仿宋_GB2312" w:hint="eastAsia"/>
        </w:rPr>
        <w:t>业务承载平面，深入评估不同技术路径的适用性，着力满足多样化政务业务对网络接入安全性、隔离性及服务质量保障的差异化要求。</w:t>
      </w:r>
      <w:r>
        <w:rPr>
          <w:rFonts w:ascii="仿宋_GB2312"/>
        </w:rPr>
        <w:t>积极开展5G-A网络</w:t>
      </w:r>
      <w:r>
        <w:rPr>
          <w:rFonts w:ascii="仿宋_GB2312" w:hint="eastAsia"/>
        </w:rPr>
        <w:t>在重点区域</w:t>
      </w:r>
      <w:r>
        <w:rPr>
          <w:rFonts w:ascii="仿宋_GB2312"/>
        </w:rPr>
        <w:t>的场景化部署，推动</w:t>
      </w:r>
      <w:proofErr w:type="spellStart"/>
      <w:r>
        <w:rPr>
          <w:rFonts w:ascii="仿宋_GB2312"/>
        </w:rPr>
        <w:t>RedCap</w:t>
      </w:r>
      <w:proofErr w:type="spellEnd"/>
      <w:r>
        <w:rPr>
          <w:rFonts w:ascii="仿宋_GB2312"/>
        </w:rPr>
        <w:t>等中低速物联网技术在智慧城市感知体系建设中的规模化应用。探索构建天地一体的应急通信保障能力，作为地面网络的有效补充。依托</w:t>
      </w:r>
      <w:r>
        <w:rPr>
          <w:rFonts w:ascii="仿宋_GB2312" w:hint="eastAsia"/>
        </w:rPr>
        <w:t>“</w:t>
      </w:r>
      <w:r>
        <w:rPr>
          <w:rFonts w:ascii="仿宋_GB2312"/>
        </w:rPr>
        <w:t>多平面</w:t>
      </w:r>
      <w:r>
        <w:rPr>
          <w:rFonts w:ascii="仿宋_GB2312" w:hint="eastAsia"/>
        </w:rPr>
        <w:t>”</w:t>
      </w:r>
      <w:r>
        <w:rPr>
          <w:rFonts w:ascii="仿宋_GB2312"/>
        </w:rPr>
        <w:t>架构，全面提升网络资源的灵活调度与智能运维水平，确保关键业务的承载质量，深化</w:t>
      </w:r>
      <w:r>
        <w:rPr>
          <w:rFonts w:ascii="仿宋_GB2312" w:hint="eastAsia"/>
        </w:rPr>
        <w:t>政务网络</w:t>
      </w:r>
      <w:r>
        <w:rPr>
          <w:rFonts w:ascii="仿宋_GB2312"/>
        </w:rPr>
        <w:t>在优化政务服务模式、提升行政执行效能方面的支撑作用，赋能数字政府高效运行。前瞻</w:t>
      </w:r>
      <w:r>
        <w:rPr>
          <w:rFonts w:ascii="仿宋_GB2312" w:hint="eastAsia"/>
        </w:rPr>
        <w:t>布局</w:t>
      </w:r>
      <w:r>
        <w:rPr>
          <w:rFonts w:ascii="仿宋_GB2312"/>
        </w:rPr>
        <w:t>6G网络</w:t>
      </w:r>
      <w:r>
        <w:rPr>
          <w:rFonts w:ascii="仿宋_GB2312" w:hint="eastAsia"/>
        </w:rPr>
        <w:t>建设</w:t>
      </w:r>
      <w:r>
        <w:rPr>
          <w:rFonts w:ascii="仿宋_GB2312"/>
        </w:rPr>
        <w:t>与应用示范布局，谋划在重点区域探</w:t>
      </w:r>
      <w:r>
        <w:rPr>
          <w:rFonts w:ascii="仿宋_GB2312"/>
        </w:rPr>
        <w:lastRenderedPageBreak/>
        <w:t>索6G应用场景试点，增强网络底座面向未来业务的支撑能力。</w:t>
      </w:r>
    </w:p>
    <w:p w14:paraId="63804D49" w14:textId="77777777" w:rsidR="009D5DEA" w:rsidRDefault="00000000">
      <w:pPr>
        <w:spacing w:after="0" w:line="560" w:lineRule="exact"/>
        <w:ind w:firstLineChars="200" w:firstLine="643"/>
        <w:rPr>
          <w:rFonts w:ascii="仿宋_GB2312"/>
        </w:rPr>
      </w:pPr>
      <w:r>
        <w:rPr>
          <w:rFonts w:ascii="仿宋_GB2312" w:hint="eastAsia"/>
          <w:b/>
          <w:bCs/>
        </w:rPr>
        <w:t>深化市区网络互联建设。</w:t>
      </w:r>
      <w:r>
        <w:rPr>
          <w:rFonts w:ascii="仿宋_GB2312" w:hint="eastAsia"/>
        </w:rPr>
        <w:t>严格落实市级“统一标准、统建统管”原则，以“一网多平面”为技术架构核心，推进市区两级政务网络在架构、管理、安全与服务的全面融合。通过构建端到端可管可控的承载能力，实现对“市训区推、区数市算”等核心业务场景的精准网络支撑，全面服务于城市运行“一网统管”。</w:t>
      </w:r>
    </w:p>
    <w:p w14:paraId="4C21D0FF" w14:textId="77777777" w:rsidR="009D5DEA" w:rsidRDefault="00000000">
      <w:pPr>
        <w:spacing w:after="0" w:line="560" w:lineRule="exact"/>
        <w:ind w:firstLineChars="200" w:firstLine="643"/>
        <w:rPr>
          <w:rFonts w:ascii="仿宋_GB2312"/>
        </w:rPr>
      </w:pPr>
      <w:r>
        <w:rPr>
          <w:rFonts w:ascii="仿宋_GB2312" w:hint="eastAsia"/>
          <w:b/>
          <w:bCs/>
        </w:rPr>
        <w:t>开展万兆光</w:t>
      </w:r>
      <w:proofErr w:type="gramStart"/>
      <w:r>
        <w:rPr>
          <w:rFonts w:ascii="仿宋_GB2312" w:hint="eastAsia"/>
          <w:b/>
          <w:bCs/>
        </w:rPr>
        <w:t>网试点</w:t>
      </w:r>
      <w:proofErr w:type="gramEnd"/>
      <w:r>
        <w:rPr>
          <w:rFonts w:ascii="仿宋_GB2312" w:hint="eastAsia"/>
          <w:b/>
          <w:bCs/>
        </w:rPr>
        <w:t>示范。</w:t>
      </w:r>
      <w:r>
        <w:rPr>
          <w:rFonts w:ascii="仿宋_GB2312" w:hint="eastAsia"/>
        </w:rPr>
        <w:t>积极响应市级万兆光网行动计划，率先在学校、医院、深圳北站、重点产业园区、核心商务楼宇及示范性场景等开展万兆光</w:t>
      </w:r>
      <w:proofErr w:type="gramStart"/>
      <w:r>
        <w:rPr>
          <w:rFonts w:ascii="仿宋_GB2312" w:hint="eastAsia"/>
        </w:rPr>
        <w:t>网试点</w:t>
      </w:r>
      <w:proofErr w:type="gramEnd"/>
      <w:r>
        <w:rPr>
          <w:rFonts w:ascii="仿宋_GB2312" w:hint="eastAsia"/>
        </w:rPr>
        <w:t>建设。推动50G-PON超宽光接入与Wi-Fi 7无线局域网技术的协同部署，打造高品质接入体验，为高频政务协同、远程沉浸式</w:t>
      </w:r>
      <w:proofErr w:type="gramStart"/>
      <w:r>
        <w:rPr>
          <w:rFonts w:ascii="仿宋_GB2312" w:hint="eastAsia"/>
        </w:rPr>
        <w:t>交互等</w:t>
      </w:r>
      <w:proofErr w:type="gramEnd"/>
      <w:r>
        <w:rPr>
          <w:rFonts w:ascii="仿宋_GB2312" w:hint="eastAsia"/>
        </w:rPr>
        <w:t>创新应用提供超高速网络支撑。</w:t>
      </w:r>
    </w:p>
    <w:p w14:paraId="485B9A8E" w14:textId="77777777" w:rsidR="009D5DEA" w:rsidRDefault="00000000">
      <w:pPr>
        <w:pStyle w:val="3"/>
        <w:widowControl/>
        <w:numPr>
          <w:ilvl w:val="0"/>
          <w:numId w:val="7"/>
        </w:numPr>
        <w:spacing w:before="0" w:after="0" w:line="560" w:lineRule="exact"/>
        <w:rPr>
          <w:rFonts w:ascii="仿宋" w:eastAsia="仿宋_GB2312" w:hAnsi="仿宋" w:cs="宋体" w:hint="eastAsia"/>
          <w:b/>
          <w:bCs/>
          <w:color w:val="auto"/>
          <w:kern w:val="0"/>
        </w:rPr>
      </w:pPr>
      <w:bookmarkStart w:id="16" w:name="_Toc220337767"/>
      <w:proofErr w:type="gramStart"/>
      <w:r>
        <w:rPr>
          <w:rFonts w:ascii="仿宋" w:eastAsia="仿宋_GB2312" w:hAnsi="仿宋" w:cs="宋体" w:hint="eastAsia"/>
          <w:b/>
          <w:bCs/>
          <w:color w:val="auto"/>
          <w:kern w:val="0"/>
        </w:rPr>
        <w:t>构建智算调度</w:t>
      </w:r>
      <w:proofErr w:type="gramEnd"/>
      <w:r>
        <w:rPr>
          <w:rFonts w:ascii="仿宋" w:eastAsia="仿宋_GB2312" w:hAnsi="仿宋" w:cs="宋体" w:hint="eastAsia"/>
          <w:b/>
          <w:bCs/>
          <w:color w:val="auto"/>
          <w:kern w:val="0"/>
        </w:rPr>
        <w:t>供给体系</w:t>
      </w:r>
      <w:bookmarkEnd w:id="16"/>
    </w:p>
    <w:p w14:paraId="7D452435" w14:textId="77777777" w:rsidR="009D5DEA" w:rsidRDefault="00000000">
      <w:pPr>
        <w:spacing w:after="0" w:line="560" w:lineRule="exact"/>
        <w:ind w:firstLineChars="200" w:firstLine="643"/>
        <w:rPr>
          <w:b/>
          <w:bCs/>
        </w:rPr>
      </w:pPr>
      <w:r>
        <w:rPr>
          <w:b/>
          <w:bCs/>
        </w:rPr>
        <w:t>强化</w:t>
      </w:r>
      <w:proofErr w:type="gramStart"/>
      <w:r>
        <w:rPr>
          <w:b/>
          <w:bCs/>
        </w:rPr>
        <w:t>算力基础</w:t>
      </w:r>
      <w:proofErr w:type="gramEnd"/>
      <w:r>
        <w:rPr>
          <w:b/>
          <w:bCs/>
        </w:rPr>
        <w:t>设施。</w:t>
      </w:r>
      <w:r>
        <w:t>持续扩容升级人工智能云平台，引入先进的</w:t>
      </w:r>
      <w:r>
        <w:rPr>
          <w:rFonts w:ascii="仿宋_GB2312" w:hint="eastAsia"/>
        </w:rPr>
        <w:t>GPU、FPGA</w:t>
      </w:r>
      <w:r>
        <w:t>等异构计算设备，提高计算性能和能效比。探索建设边缘计算节点，满足低延迟、高带宽的应用需求。依托</w:t>
      </w:r>
      <w:proofErr w:type="gramStart"/>
      <w:r>
        <w:t>区级算力调度</w:t>
      </w:r>
      <w:proofErr w:type="gramEnd"/>
      <w:r>
        <w:t>中心和企业共建</w:t>
      </w:r>
      <w:proofErr w:type="gramStart"/>
      <w:r>
        <w:t>的算力资源</w:t>
      </w:r>
      <w:proofErr w:type="gramEnd"/>
      <w:r>
        <w:t>，搭建覆盖模型训练、评估、部署、</w:t>
      </w:r>
      <w:proofErr w:type="gramStart"/>
      <w:r>
        <w:t>迭代全</w:t>
      </w:r>
      <w:proofErr w:type="gramEnd"/>
      <w:r>
        <w:t>生命周期管理的算法资源调度平台</w:t>
      </w:r>
      <w:r>
        <w:rPr>
          <w:rFonts w:hint="eastAsia"/>
        </w:rPr>
        <w:t>，积极主动融入市级“城市算力高地</w:t>
      </w:r>
      <w:r>
        <w:rPr>
          <w:rFonts w:ascii="仿宋_GB2312" w:hint="eastAsia"/>
        </w:rPr>
        <w:t>+</w:t>
      </w:r>
      <w:r>
        <w:rPr>
          <w:rFonts w:hint="eastAsia"/>
        </w:rPr>
        <w:t>飞地协同</w:t>
      </w:r>
      <w:r>
        <w:rPr>
          <w:rFonts w:ascii="仿宋_GB2312" w:hint="eastAsia"/>
        </w:rPr>
        <w:t>+</w:t>
      </w:r>
      <w:r>
        <w:rPr>
          <w:rFonts w:hint="eastAsia"/>
        </w:rPr>
        <w:t>边缘融合”总体布局。</w:t>
      </w:r>
    </w:p>
    <w:p w14:paraId="608AF14D" w14:textId="77777777" w:rsidR="009D5DEA" w:rsidRDefault="00000000">
      <w:pPr>
        <w:spacing w:after="0" w:line="560" w:lineRule="exact"/>
        <w:ind w:firstLineChars="200" w:firstLine="643"/>
        <w:rPr>
          <w:b/>
          <w:bCs/>
        </w:rPr>
      </w:pPr>
      <w:r>
        <w:rPr>
          <w:rFonts w:hint="eastAsia"/>
          <w:b/>
          <w:bCs/>
        </w:rPr>
        <w:t>强化</w:t>
      </w:r>
      <w:proofErr w:type="gramStart"/>
      <w:r>
        <w:rPr>
          <w:rFonts w:hint="eastAsia"/>
          <w:b/>
          <w:bCs/>
        </w:rPr>
        <w:t>政务智算调度</w:t>
      </w:r>
      <w:proofErr w:type="gramEnd"/>
      <w:r>
        <w:rPr>
          <w:rFonts w:hint="eastAsia"/>
          <w:b/>
          <w:bCs/>
        </w:rPr>
        <w:t>能力。</w:t>
      </w:r>
      <w:r>
        <w:rPr>
          <w:rFonts w:ascii="仿宋_GB2312" w:hAnsi="仿宋_GB2312" w:cs="仿宋_GB2312" w:hint="eastAsia"/>
          <w:color w:val="000000" w:themeColor="text1"/>
        </w:rPr>
        <w:t>加强</w:t>
      </w:r>
      <w:r>
        <w:rPr>
          <w:rFonts w:ascii="仿宋_GB2312" w:hAnsi="仿宋_GB2312" w:cs="仿宋_GB2312"/>
          <w:color w:val="000000" w:themeColor="text1"/>
        </w:rPr>
        <w:t>对接</w:t>
      </w:r>
      <w:proofErr w:type="gramStart"/>
      <w:r>
        <w:rPr>
          <w:rFonts w:ascii="仿宋_GB2312" w:hAnsi="仿宋_GB2312" w:cs="仿宋_GB2312"/>
          <w:color w:val="000000" w:themeColor="text1"/>
        </w:rPr>
        <w:t>市级算力资源</w:t>
      </w:r>
      <w:proofErr w:type="gramEnd"/>
      <w:r>
        <w:rPr>
          <w:rFonts w:ascii="仿宋_GB2312" w:hAnsi="仿宋_GB2312" w:cs="仿宋_GB2312"/>
          <w:color w:val="000000" w:themeColor="text1"/>
        </w:rPr>
        <w:t>，建立区级统筹机制，以“优化政务算力供给、赋能数字政府</w:t>
      </w:r>
      <w:r>
        <w:rPr>
          <w:rFonts w:ascii="仿宋_GB2312" w:hAnsi="仿宋_GB2312" w:cs="仿宋_GB2312"/>
          <w:color w:val="000000" w:themeColor="text1"/>
        </w:rPr>
        <w:lastRenderedPageBreak/>
        <w:t>建设”为核心目标。</w:t>
      </w:r>
      <w:proofErr w:type="gramStart"/>
      <w:r>
        <w:rPr>
          <w:rFonts w:hint="eastAsia"/>
        </w:rPr>
        <w:t>强化算力资源</w:t>
      </w:r>
      <w:proofErr w:type="gramEnd"/>
      <w:r>
        <w:rPr>
          <w:rFonts w:hint="eastAsia"/>
        </w:rPr>
        <w:t>统筹管理，依托人工智能</w:t>
      </w:r>
      <w:proofErr w:type="gramStart"/>
      <w:r>
        <w:rPr>
          <w:rFonts w:hint="eastAsia"/>
        </w:rPr>
        <w:t>高性能算力服务</w:t>
      </w:r>
      <w:proofErr w:type="gramEnd"/>
      <w:r>
        <w:rPr>
          <w:rFonts w:hint="eastAsia"/>
        </w:rPr>
        <w:t>项目，探索“以租代建、弹性扩容”等模式，按需采购和灵活配置智能算力，构建覆盖全区的</w:t>
      </w:r>
      <w:proofErr w:type="gramStart"/>
      <w:r>
        <w:rPr>
          <w:rFonts w:hint="eastAsia"/>
        </w:rPr>
        <w:t>政务智算调度</w:t>
      </w:r>
      <w:proofErr w:type="gramEnd"/>
      <w:r>
        <w:rPr>
          <w:rFonts w:hint="eastAsia"/>
        </w:rPr>
        <w:t>平台，</w:t>
      </w:r>
      <w:proofErr w:type="gramStart"/>
      <w:r>
        <w:rPr>
          <w:rFonts w:hint="eastAsia"/>
        </w:rPr>
        <w:t>实现算力资源</w:t>
      </w:r>
      <w:proofErr w:type="gramEnd"/>
      <w:r>
        <w:rPr>
          <w:rFonts w:hint="eastAsia"/>
        </w:rPr>
        <w:t>统一纳管、统一编排和统一调度。在此基础上，积极推进先进调度技术与智能计算架构融合应用，着力完善资源弹性调度策略，提升复杂模型推理与数据分析任务执行效能，满足政务应用差异化、动态化的高性能计算需求。通过强化</w:t>
      </w:r>
      <w:proofErr w:type="gramStart"/>
      <w:r>
        <w:rPr>
          <w:rFonts w:hint="eastAsia"/>
        </w:rPr>
        <w:t>智能算力资源</w:t>
      </w:r>
      <w:proofErr w:type="gramEnd"/>
      <w:r>
        <w:rPr>
          <w:rFonts w:hint="eastAsia"/>
        </w:rPr>
        <w:t>的精准调度与高效供给，提升政务</w:t>
      </w:r>
      <w:proofErr w:type="gramStart"/>
      <w:r>
        <w:rPr>
          <w:rFonts w:hint="eastAsia"/>
        </w:rPr>
        <w:t>领域算力“一盘棋”</w:t>
      </w:r>
      <w:proofErr w:type="gramEnd"/>
      <w:r>
        <w:rPr>
          <w:rFonts w:hint="eastAsia"/>
        </w:rPr>
        <w:t>管理水平，并深化其在政务服务精准化、城市治理科学化、决策支持智能化等关键领域的赋能价值。</w:t>
      </w:r>
    </w:p>
    <w:p w14:paraId="4D57EE1D" w14:textId="77777777" w:rsidR="009D5DEA" w:rsidRDefault="00000000">
      <w:pPr>
        <w:spacing w:after="0" w:line="560" w:lineRule="exact"/>
        <w:ind w:firstLineChars="200" w:firstLine="643"/>
      </w:pPr>
      <w:r>
        <w:rPr>
          <w:rFonts w:hint="eastAsia"/>
          <w:b/>
          <w:bCs/>
        </w:rPr>
        <w:t>探索</w:t>
      </w:r>
      <w:proofErr w:type="gramStart"/>
      <w:r>
        <w:rPr>
          <w:rFonts w:hint="eastAsia"/>
          <w:b/>
          <w:bCs/>
        </w:rPr>
        <w:t>构建多元算力</w:t>
      </w:r>
      <w:proofErr w:type="gramEnd"/>
      <w:r>
        <w:rPr>
          <w:rFonts w:hint="eastAsia"/>
          <w:b/>
          <w:bCs/>
        </w:rPr>
        <w:t>供给体系。</w:t>
      </w:r>
      <w:r>
        <w:t>整合政府、企业和科研机构的</w:t>
      </w:r>
      <w:proofErr w:type="gramStart"/>
      <w:r>
        <w:t>智能算力资源</w:t>
      </w:r>
      <w:proofErr w:type="gramEnd"/>
      <w:r>
        <w:rPr>
          <w:rFonts w:hint="eastAsia"/>
        </w:rPr>
        <w:t>，支持以</w:t>
      </w:r>
      <w:proofErr w:type="gramStart"/>
      <w:r>
        <w:rPr>
          <w:rFonts w:hint="eastAsia"/>
        </w:rPr>
        <w:t>云服务</w:t>
      </w:r>
      <w:proofErr w:type="gramEnd"/>
      <w:r>
        <w:rPr>
          <w:rFonts w:hint="eastAsia"/>
        </w:rPr>
        <w:t>方式</w:t>
      </w:r>
      <w:proofErr w:type="gramStart"/>
      <w:r>
        <w:rPr>
          <w:rFonts w:hint="eastAsia"/>
        </w:rPr>
        <w:t>整合算力资源</w:t>
      </w:r>
      <w:proofErr w:type="gramEnd"/>
      <w:r>
        <w:rPr>
          <w:rFonts w:hint="eastAsia"/>
        </w:rPr>
        <w:t>，打造</w:t>
      </w:r>
      <w:proofErr w:type="gramStart"/>
      <w:r>
        <w:rPr>
          <w:rFonts w:hint="eastAsia"/>
        </w:rPr>
        <w:t>多层次算力调度</w:t>
      </w:r>
      <w:proofErr w:type="gramEnd"/>
      <w:r>
        <w:rPr>
          <w:rFonts w:hint="eastAsia"/>
        </w:rPr>
        <w:t>架构体系。鼓励区属国企加强同民营企业和科研机构合作，探索“云券”模式，通过发放算力</w:t>
      </w:r>
      <w:proofErr w:type="gramStart"/>
      <w:r>
        <w:rPr>
          <w:rFonts w:hint="eastAsia"/>
        </w:rPr>
        <w:t>券</w:t>
      </w:r>
      <w:proofErr w:type="gramEnd"/>
      <w:r>
        <w:rPr>
          <w:rFonts w:hint="eastAsia"/>
        </w:rPr>
        <w:t>等方式，鼓励中小企业租用云平台，</w:t>
      </w:r>
      <w:proofErr w:type="gramStart"/>
      <w:r>
        <w:rPr>
          <w:rFonts w:hint="eastAsia"/>
        </w:rPr>
        <w:t>实现算力的</w:t>
      </w:r>
      <w:proofErr w:type="gramEnd"/>
      <w:r>
        <w:rPr>
          <w:rFonts w:hint="eastAsia"/>
        </w:rPr>
        <w:t>高效供给。</w:t>
      </w:r>
    </w:p>
    <w:p w14:paraId="4156B1E4" w14:textId="77777777" w:rsidR="009D5DEA" w:rsidRDefault="00000000">
      <w:pPr>
        <w:pStyle w:val="3"/>
        <w:widowControl/>
        <w:numPr>
          <w:ilvl w:val="0"/>
          <w:numId w:val="7"/>
        </w:numPr>
        <w:spacing w:before="0" w:after="0" w:line="560" w:lineRule="exact"/>
        <w:rPr>
          <w:rFonts w:ascii="仿宋" w:eastAsia="仿宋_GB2312" w:hAnsi="仿宋" w:cs="宋体" w:hint="eastAsia"/>
          <w:b/>
          <w:bCs/>
          <w:color w:val="auto"/>
          <w:kern w:val="0"/>
        </w:rPr>
      </w:pPr>
      <w:bookmarkStart w:id="17" w:name="_Toc220337768"/>
      <w:r>
        <w:rPr>
          <w:rFonts w:ascii="仿宋" w:eastAsia="仿宋_GB2312" w:hAnsi="仿宋" w:cs="宋体" w:hint="eastAsia"/>
          <w:b/>
          <w:bCs/>
          <w:color w:val="auto"/>
          <w:kern w:val="0"/>
        </w:rPr>
        <w:t>构建城区融合感知体系</w:t>
      </w:r>
      <w:bookmarkEnd w:id="17"/>
    </w:p>
    <w:p w14:paraId="35F34C20" w14:textId="77777777" w:rsidR="009D5DEA" w:rsidRDefault="00000000">
      <w:pPr>
        <w:spacing w:after="0" w:line="560" w:lineRule="exact"/>
        <w:ind w:firstLineChars="200" w:firstLine="643"/>
        <w:rPr>
          <w:rFonts w:ascii="仿宋_GB2312"/>
        </w:rPr>
      </w:pPr>
      <w:r>
        <w:rPr>
          <w:rFonts w:ascii="仿宋_GB2312" w:hint="eastAsia"/>
          <w:b/>
          <w:bCs/>
        </w:rPr>
        <w:t>完善城区融合感知体系。</w:t>
      </w:r>
      <w:r>
        <w:rPr>
          <w:rFonts w:ascii="仿宋_GB2312" w:hint="eastAsia"/>
        </w:rPr>
        <w:t>围绕</w:t>
      </w:r>
      <w:proofErr w:type="gramStart"/>
      <w:r>
        <w:rPr>
          <w:rFonts w:ascii="仿宋_GB2312" w:hint="eastAsia"/>
        </w:rPr>
        <w:t>创新网</w:t>
      </w:r>
      <w:proofErr w:type="gramEnd"/>
      <w:r>
        <w:rPr>
          <w:rFonts w:ascii="仿宋_GB2312" w:hint="eastAsia"/>
        </w:rPr>
        <w:t>电一体、有线无线结合、</w:t>
      </w:r>
      <w:proofErr w:type="gramStart"/>
      <w:r>
        <w:rPr>
          <w:rFonts w:ascii="仿宋_GB2312" w:hint="eastAsia"/>
        </w:rPr>
        <w:t>雷视拟合</w:t>
      </w:r>
      <w:proofErr w:type="gramEnd"/>
      <w:r>
        <w:rPr>
          <w:rFonts w:ascii="仿宋_GB2312" w:hint="eastAsia"/>
        </w:rPr>
        <w:t>、光视联动、边云协同等方向，构建融合感知技术体系，系统提升城区感知基础设施的协同性和智能化水平，推进感知融合与场景创新。坚持市区一体、标准统一的原则，结合城市更新、片区开发和重大工程建设，统筹谋划</w:t>
      </w:r>
      <w:proofErr w:type="gramStart"/>
      <w:r>
        <w:rPr>
          <w:rFonts w:ascii="仿宋_GB2312" w:hint="eastAsia"/>
        </w:rPr>
        <w:t>全区物联</w:t>
      </w:r>
      <w:proofErr w:type="gramEnd"/>
      <w:r>
        <w:rPr>
          <w:rFonts w:ascii="仿宋_GB2312" w:hint="eastAsia"/>
        </w:rPr>
        <w:t>感知设施布局和建设时序，推动感</w:t>
      </w:r>
      <w:r>
        <w:rPr>
          <w:rFonts w:ascii="仿宋_GB2312" w:hint="eastAsia"/>
        </w:rPr>
        <w:lastRenderedPageBreak/>
        <w:t>知设施同步规划、同步实施、同步接入。统筹推动</w:t>
      </w:r>
      <w:proofErr w:type="gramStart"/>
      <w:r>
        <w:rPr>
          <w:rFonts w:ascii="仿宋_GB2312" w:hint="eastAsia"/>
        </w:rPr>
        <w:t>区级</w:t>
      </w:r>
      <w:r>
        <w:rPr>
          <w:rFonts w:hint="eastAsia"/>
        </w:rPr>
        <w:t>物联感知</w:t>
      </w:r>
      <w:proofErr w:type="gramEnd"/>
      <w:r>
        <w:rPr>
          <w:rFonts w:hint="eastAsia"/>
        </w:rPr>
        <w:t>平台升级</w:t>
      </w:r>
      <w:r>
        <w:rPr>
          <w:rFonts w:ascii="仿宋_GB2312" w:hAnsi="仿宋_GB2312" w:cs="仿宋_GB2312" w:hint="eastAsia"/>
          <w:color w:val="000000" w:themeColor="text1"/>
        </w:rPr>
        <w:t>，健全平台对各类感知设备及数据的统一接入、编目、资源管理与数据服务能力</w:t>
      </w:r>
      <w:r>
        <w:rPr>
          <w:rFonts w:ascii="仿宋_GB2312" w:hint="eastAsia"/>
        </w:rPr>
        <w:t>，实现与市级平台的高效衔接和数据共享，逐步破解“多头建设、标准不一、系统分散”等问题，全面提升感知资源的集约化建设水平</w:t>
      </w:r>
      <w:r>
        <w:rPr>
          <w:rFonts w:ascii="仿宋_GB2312" w:hAnsi="仿宋_GB2312" w:cs="仿宋_GB2312" w:hint="eastAsia"/>
          <w:color w:val="000000" w:themeColor="text1"/>
        </w:rPr>
        <w:t>，有效</w:t>
      </w:r>
      <w:proofErr w:type="gramStart"/>
      <w:r>
        <w:rPr>
          <w:rFonts w:ascii="仿宋_GB2312" w:hAnsi="仿宋_GB2312" w:cs="仿宋_GB2312" w:hint="eastAsia"/>
          <w:color w:val="000000" w:themeColor="text1"/>
        </w:rPr>
        <w:t>赋能物联感知</w:t>
      </w:r>
      <w:proofErr w:type="gramEnd"/>
      <w:r>
        <w:rPr>
          <w:rFonts w:ascii="仿宋_GB2312" w:hAnsi="仿宋_GB2312" w:cs="仿宋_GB2312" w:hint="eastAsia"/>
          <w:color w:val="000000" w:themeColor="text1"/>
        </w:rPr>
        <w:t>业务系统在多领域多场景的数字化应用，</w:t>
      </w:r>
      <w:r>
        <w:rPr>
          <w:rFonts w:ascii="仿宋_GB2312" w:hint="eastAsia"/>
        </w:rPr>
        <w:t>助力</w:t>
      </w:r>
      <w:r>
        <w:rPr>
          <w:rFonts w:ascii="仿宋_GB2312" w:hAnsi="仿宋_GB2312" w:cs="仿宋_GB2312" w:hint="eastAsia"/>
          <w:color w:val="000000" w:themeColor="text1"/>
        </w:rPr>
        <w:t>构建高质量</w:t>
      </w:r>
      <w:proofErr w:type="gramStart"/>
      <w:r>
        <w:rPr>
          <w:rFonts w:ascii="仿宋_GB2312" w:hAnsi="仿宋_GB2312" w:cs="仿宋_GB2312" w:hint="eastAsia"/>
          <w:color w:val="000000" w:themeColor="text1"/>
        </w:rPr>
        <w:t>的物联感知</w:t>
      </w:r>
      <w:proofErr w:type="gramEnd"/>
      <w:r>
        <w:rPr>
          <w:rFonts w:ascii="仿宋_GB2312" w:hAnsi="仿宋_GB2312" w:cs="仿宋_GB2312" w:hint="eastAsia"/>
          <w:color w:val="000000" w:themeColor="text1"/>
        </w:rPr>
        <w:t>体系</w:t>
      </w:r>
      <w:r>
        <w:rPr>
          <w:rFonts w:ascii="仿宋_GB2312" w:hint="eastAsia"/>
        </w:rPr>
        <w:t>。</w:t>
      </w:r>
    </w:p>
    <w:p w14:paraId="51BC285D" w14:textId="77777777" w:rsidR="009D5DEA" w:rsidRDefault="00000000">
      <w:pPr>
        <w:spacing w:after="0" w:line="560" w:lineRule="exact"/>
        <w:ind w:firstLineChars="200" w:firstLine="643"/>
      </w:pPr>
      <w:r>
        <w:rPr>
          <w:rFonts w:hint="eastAsia"/>
          <w:b/>
          <w:bCs/>
        </w:rPr>
        <w:t>拓展全域全</w:t>
      </w:r>
      <w:proofErr w:type="gramStart"/>
      <w:r>
        <w:rPr>
          <w:rFonts w:hint="eastAsia"/>
          <w:b/>
          <w:bCs/>
        </w:rPr>
        <w:t>要素物联感知</w:t>
      </w:r>
      <w:proofErr w:type="gramEnd"/>
      <w:r>
        <w:rPr>
          <w:rFonts w:hint="eastAsia"/>
          <w:b/>
          <w:bCs/>
        </w:rPr>
        <w:t>覆盖面。</w:t>
      </w:r>
      <w:r>
        <w:rPr>
          <w:rFonts w:hint="eastAsia"/>
        </w:rPr>
        <w:t>坚持“安全优先、民生导向、统筹布局”的原则，围绕公共安全、生态环境、自然灾害防治、道路交通和城市运行管理等重点领域，统筹推进地上地下、室内室外、重点部位和关键设施的立体化感知能力建设，逐步构建覆盖全域、类别完备</w:t>
      </w:r>
      <w:proofErr w:type="gramStart"/>
      <w:r>
        <w:rPr>
          <w:rFonts w:hint="eastAsia"/>
        </w:rPr>
        <w:t>的物联感知</w:t>
      </w:r>
      <w:proofErr w:type="gramEnd"/>
      <w:r>
        <w:rPr>
          <w:rFonts w:hint="eastAsia"/>
        </w:rPr>
        <w:t>体系。强化对城市生命线工程和重要基础设施的运行状态监测与风险预警，提升对桥梁隧道、水库河道、边坡工地等重点区域的智能感知水平。统筹推进社区、园区、学校、医院、公园绿道及文化体育等公共空间的智能监测应用，完善智慧杆桩等新型基础设施布局，推动感知载体集约化、一体化建设。积极应用无人机、机器人等新型智能装备，拓展在城市管理、应急处置等领域的感知和作业场景，不断提升城区运行安全韧性和精细</w:t>
      </w:r>
      <w:proofErr w:type="gramStart"/>
      <w:r>
        <w:rPr>
          <w:rFonts w:hint="eastAsia"/>
        </w:rPr>
        <w:t>化治理</w:t>
      </w:r>
      <w:proofErr w:type="gramEnd"/>
      <w:r>
        <w:rPr>
          <w:rFonts w:hint="eastAsia"/>
        </w:rPr>
        <w:t>能力。</w:t>
      </w:r>
    </w:p>
    <w:p w14:paraId="3A654F3A" w14:textId="77777777" w:rsidR="009D5DEA" w:rsidRDefault="00000000">
      <w:pPr>
        <w:pStyle w:val="3"/>
        <w:widowControl/>
        <w:numPr>
          <w:ilvl w:val="0"/>
          <w:numId w:val="7"/>
        </w:numPr>
        <w:spacing w:before="0" w:after="0" w:line="560" w:lineRule="exact"/>
        <w:rPr>
          <w:rFonts w:ascii="仿宋" w:eastAsia="仿宋_GB2312" w:hAnsi="仿宋" w:cs="宋体" w:hint="eastAsia"/>
          <w:b/>
          <w:bCs/>
          <w:color w:val="auto"/>
          <w:kern w:val="0"/>
        </w:rPr>
      </w:pPr>
      <w:bookmarkStart w:id="18" w:name="_Toc220337769"/>
      <w:r>
        <w:rPr>
          <w:rFonts w:ascii="仿宋" w:eastAsia="仿宋_GB2312" w:hAnsi="仿宋" w:cs="宋体" w:hint="eastAsia"/>
          <w:b/>
          <w:bCs/>
          <w:color w:val="auto"/>
          <w:kern w:val="0"/>
        </w:rPr>
        <w:t>建设数据流通利用设施</w:t>
      </w:r>
      <w:bookmarkEnd w:id="18"/>
    </w:p>
    <w:p w14:paraId="5B9D3CEF" w14:textId="77777777" w:rsidR="009D5DEA" w:rsidRDefault="00000000">
      <w:pPr>
        <w:spacing w:after="0" w:line="560" w:lineRule="exact"/>
        <w:ind w:firstLineChars="200" w:firstLine="643"/>
        <w:rPr>
          <w:rFonts w:ascii="仿宋_GB2312"/>
        </w:rPr>
      </w:pPr>
      <w:r>
        <w:rPr>
          <w:rFonts w:ascii="仿宋_GB2312" w:hint="eastAsia"/>
          <w:b/>
          <w:bCs/>
        </w:rPr>
        <w:t>建设全区可信数据流通基础设施。</w:t>
      </w:r>
      <w:r>
        <w:rPr>
          <w:rFonts w:ascii="仿宋_GB2312" w:hint="eastAsia"/>
        </w:rPr>
        <w:t>聚焦筑牢数据可信流通根基，全面激活数据要素价值。构建“安全可控、合</w:t>
      </w:r>
      <w:proofErr w:type="gramStart"/>
      <w:r>
        <w:rPr>
          <w:rFonts w:ascii="仿宋_GB2312" w:hint="eastAsia"/>
        </w:rPr>
        <w:t>规</w:t>
      </w:r>
      <w:proofErr w:type="gramEnd"/>
      <w:r>
        <w:rPr>
          <w:rFonts w:ascii="仿宋_GB2312" w:hint="eastAsia"/>
        </w:rPr>
        <w:t>高效、价值倍增”的可信数据流通枢纽和空间生态，到</w:t>
      </w:r>
      <w:r>
        <w:rPr>
          <w:rFonts w:ascii="仿宋_GB2312" w:hint="eastAsia"/>
        </w:rPr>
        <w:lastRenderedPageBreak/>
        <w:t>2030年，全面建成符合国家规范、支撑区域发展的可信数据流通基础设施与运营体系，重点构建“</w:t>
      </w:r>
      <w:proofErr w:type="gramStart"/>
      <w:r>
        <w:rPr>
          <w:rFonts w:ascii="仿宋_GB2312" w:hint="eastAsia"/>
        </w:rPr>
        <w:t>一</w:t>
      </w:r>
      <w:proofErr w:type="gramEnd"/>
      <w:r>
        <w:rPr>
          <w:rFonts w:ascii="仿宋_GB2312" w:hint="eastAsia"/>
        </w:rPr>
        <w:t>核多域”基础设施体系，升级整合现有政务与企业数据资源的数据中枢，形成全区可信数据流通枢纽，完善数据分类分级保护与隐私计算支撑的安全体系，同时在新能源、医疗健康、半导体与集成电路、低空经济、现代时尚等重要赛道布局垂直行业数据空间。</w:t>
      </w:r>
    </w:p>
    <w:p w14:paraId="3A378700" w14:textId="77777777" w:rsidR="009D5DEA" w:rsidRDefault="00000000">
      <w:pPr>
        <w:spacing w:after="0" w:line="560" w:lineRule="exact"/>
        <w:ind w:firstLineChars="200" w:firstLine="643"/>
        <w:rPr>
          <w:rFonts w:ascii="仿宋_GB2312"/>
        </w:rPr>
      </w:pPr>
      <w:r>
        <w:rPr>
          <w:rFonts w:ascii="仿宋_GB2312"/>
          <w:b/>
          <w:bCs/>
        </w:rPr>
        <w:t>打造区级数据流通利用设施底座。</w:t>
      </w:r>
      <w:r>
        <w:rPr>
          <w:rFonts w:ascii="仿宋_GB2312"/>
        </w:rPr>
        <w:t>推动现有大数据平台、隐私计算、区块链等基础能力协同升级，建设区级数据流通利用服务</w:t>
      </w:r>
      <w:r>
        <w:rPr>
          <w:rFonts w:ascii="仿宋_GB2312" w:hint="eastAsia"/>
        </w:rPr>
        <w:t>体系</w:t>
      </w:r>
      <w:r>
        <w:rPr>
          <w:rFonts w:ascii="仿宋_GB2312"/>
        </w:rPr>
        <w:t>，面向数据要素市场提供数据资源登记、供需撮合、交易流通、开发利用、存证溯源等一体化服务。推动统一目录标识、统一主体身份、统一接口规范在区内落地实施，支撑数据跨部门、跨层级、跨领域有序流通和共享应用。探索建立与市级对接的数据资产凭证、交易凭证管理机制，增强数据要素可信流通和规范运营能力。</w:t>
      </w:r>
    </w:p>
    <w:p w14:paraId="7F42CD3C" w14:textId="77777777" w:rsidR="009D5DEA" w:rsidRDefault="00000000">
      <w:pPr>
        <w:spacing w:after="0" w:line="560" w:lineRule="exact"/>
        <w:ind w:firstLineChars="200" w:firstLine="643"/>
        <w:rPr>
          <w:rFonts w:ascii="仿宋_GB2312"/>
        </w:rPr>
      </w:pPr>
      <w:r>
        <w:rPr>
          <w:rFonts w:ascii="仿宋_GB2312" w:hAnsi="仿宋_GB2312" w:cs="仿宋_GB2312" w:hint="eastAsia"/>
          <w:b/>
          <w:bCs/>
        </w:rPr>
        <w:t>加快政务网区块链底层技术平台建设。</w:t>
      </w:r>
      <w:r>
        <w:rPr>
          <w:rFonts w:ascii="仿宋_GB2312" w:hAnsi="仿宋_GB2312" w:cs="仿宋_GB2312" w:hint="eastAsia"/>
        </w:rPr>
        <w:t>推动建成政务网区块链底层技术平台，聚焦业务需求，巩固现有存证取证应用场景发挥实效，支撑“区块链+”在政务服务、智慧城市等领域的创新应用，</w:t>
      </w:r>
      <w:proofErr w:type="gramStart"/>
      <w:r>
        <w:rPr>
          <w:rFonts w:ascii="仿宋_GB2312" w:hAnsi="仿宋_GB2312" w:cs="仿宋_GB2312" w:hint="eastAsia"/>
        </w:rPr>
        <w:t>强化区</w:t>
      </w:r>
      <w:proofErr w:type="gramEnd"/>
      <w:r>
        <w:rPr>
          <w:rFonts w:ascii="仿宋_GB2312" w:hAnsi="仿宋_GB2312" w:cs="仿宋_GB2312" w:hint="eastAsia"/>
        </w:rPr>
        <w:t>块链技术对应用场景的公共数据安全保障。</w:t>
      </w:r>
      <w:proofErr w:type="gramStart"/>
      <w:r>
        <w:rPr>
          <w:rFonts w:ascii="仿宋_GB2312" w:hAnsi="仿宋_GB2312" w:cs="仿宋_GB2312" w:hint="eastAsia"/>
        </w:rPr>
        <w:t>挖掘区</w:t>
      </w:r>
      <w:proofErr w:type="gramEnd"/>
      <w:r>
        <w:rPr>
          <w:rFonts w:ascii="仿宋_GB2312" w:hAnsi="仿宋_GB2312" w:cs="仿宋_GB2312" w:hint="eastAsia"/>
        </w:rPr>
        <w:t>块链技术在数据可信流通与价值释放中的基础设施作用，结合公共数据授权运营工作，探索通过区块链提高数据授权凭证的可溯性和信任性。</w:t>
      </w:r>
    </w:p>
    <w:p w14:paraId="40C86684" w14:textId="77777777" w:rsidR="009D5DEA" w:rsidRDefault="00000000">
      <w:pPr>
        <w:pStyle w:val="3"/>
        <w:widowControl/>
        <w:numPr>
          <w:ilvl w:val="0"/>
          <w:numId w:val="7"/>
        </w:numPr>
        <w:spacing w:before="0" w:after="0" w:line="560" w:lineRule="exact"/>
        <w:rPr>
          <w:rFonts w:ascii="仿宋" w:eastAsia="仿宋_GB2312" w:hAnsi="仿宋" w:cs="宋体" w:hint="eastAsia"/>
          <w:b/>
          <w:bCs/>
          <w:color w:val="auto"/>
          <w:kern w:val="0"/>
        </w:rPr>
      </w:pPr>
      <w:bookmarkStart w:id="19" w:name="_Toc220337770"/>
      <w:r>
        <w:rPr>
          <w:rFonts w:ascii="仿宋" w:eastAsia="仿宋_GB2312" w:hAnsi="仿宋" w:cs="宋体" w:hint="eastAsia"/>
          <w:b/>
          <w:bCs/>
          <w:color w:val="auto"/>
          <w:kern w:val="0"/>
        </w:rPr>
        <w:lastRenderedPageBreak/>
        <w:t>积极探索</w:t>
      </w:r>
      <w:r>
        <w:rPr>
          <w:rFonts w:ascii="仿宋" w:eastAsia="仿宋_GB2312" w:hAnsi="仿宋" w:cs="宋体"/>
          <w:b/>
          <w:bCs/>
          <w:color w:val="auto"/>
          <w:kern w:val="0"/>
        </w:rPr>
        <w:t>绿色数字设施</w:t>
      </w:r>
      <w:bookmarkEnd w:id="19"/>
    </w:p>
    <w:p w14:paraId="6311A932" w14:textId="77777777" w:rsidR="009D5DEA" w:rsidRDefault="00000000">
      <w:pPr>
        <w:spacing w:after="0" w:line="560" w:lineRule="exact"/>
        <w:ind w:firstLineChars="200" w:firstLine="643"/>
        <w:rPr>
          <w:rFonts w:ascii="仿宋_GB2312"/>
        </w:rPr>
      </w:pPr>
      <w:r>
        <w:rPr>
          <w:rFonts w:ascii="仿宋_GB2312" w:hint="eastAsia"/>
          <w:b/>
          <w:bCs/>
        </w:rPr>
        <w:t>探索绿色数字设施建设。</w:t>
      </w:r>
      <w:r>
        <w:rPr>
          <w:rFonts w:ascii="仿宋_GB2312" w:hint="eastAsia"/>
        </w:rPr>
        <w:t>积极响应国家“双碳”战略，系统</w:t>
      </w:r>
      <w:proofErr w:type="gramStart"/>
      <w:r>
        <w:rPr>
          <w:rFonts w:ascii="仿宋_GB2312" w:hint="eastAsia"/>
        </w:rPr>
        <w:t>应对数智化</w:t>
      </w:r>
      <w:proofErr w:type="gramEnd"/>
      <w:r>
        <w:rPr>
          <w:rFonts w:ascii="仿宋_GB2312" w:hint="eastAsia"/>
        </w:rPr>
        <w:t>转型中</w:t>
      </w:r>
      <w:proofErr w:type="gramStart"/>
      <w:r>
        <w:rPr>
          <w:rFonts w:ascii="仿宋_GB2312" w:hint="eastAsia"/>
        </w:rPr>
        <w:t>算力需求</w:t>
      </w:r>
      <w:proofErr w:type="gramEnd"/>
      <w:r>
        <w:rPr>
          <w:rFonts w:ascii="仿宋_GB2312" w:hint="eastAsia"/>
        </w:rPr>
        <w:t>爆发式增长带来的能源与碳排放挑战，</w:t>
      </w:r>
      <w:r>
        <w:rPr>
          <w:rFonts w:ascii="仿宋_GB2312"/>
        </w:rPr>
        <w:t>探索将绿色低碳理念系统嵌入数字基础设施</w:t>
      </w:r>
      <w:proofErr w:type="gramStart"/>
      <w:r>
        <w:rPr>
          <w:rFonts w:ascii="仿宋_GB2312"/>
        </w:rPr>
        <w:t>和算力资源</w:t>
      </w:r>
      <w:proofErr w:type="gramEnd"/>
      <w:r>
        <w:rPr>
          <w:rFonts w:ascii="仿宋_GB2312"/>
        </w:rPr>
        <w:t>建设</w:t>
      </w:r>
      <w:r>
        <w:rPr>
          <w:rFonts w:ascii="仿宋_GB2312" w:hint="eastAsia"/>
        </w:rPr>
        <w:t>规划</w:t>
      </w:r>
      <w:r>
        <w:rPr>
          <w:rFonts w:ascii="仿宋_GB2312"/>
        </w:rPr>
        <w:t>，研究集约布局、节能降耗和低碳运行的路径模式。通过强化基础设施智能调度与资源集约利用，</w:t>
      </w:r>
      <w:r>
        <w:rPr>
          <w:rFonts w:ascii="仿宋_GB2312" w:hint="eastAsia"/>
        </w:rPr>
        <w:t>探索</w:t>
      </w:r>
      <w:r>
        <w:rPr>
          <w:rFonts w:ascii="仿宋_GB2312"/>
        </w:rPr>
        <w:t>构建高效、清洁、低碳的现代化数字基础设施体系，</w:t>
      </w:r>
      <w:r>
        <w:rPr>
          <w:rFonts w:ascii="仿宋_GB2312" w:hint="eastAsia"/>
        </w:rPr>
        <w:t>引导鼓励企业开展</w:t>
      </w:r>
      <w:r>
        <w:rPr>
          <w:rFonts w:ascii="仿宋_GB2312"/>
        </w:rPr>
        <w:t>绿色技术应用试点，逐步形成</w:t>
      </w:r>
      <w:r>
        <w:rPr>
          <w:rFonts w:ascii="仿宋_GB2312" w:hint="eastAsia"/>
        </w:rPr>
        <w:t>“</w:t>
      </w:r>
      <w:r>
        <w:rPr>
          <w:rFonts w:ascii="仿宋_GB2312"/>
        </w:rPr>
        <w:t>绿色设施、绿色算力、绿色应用</w:t>
      </w:r>
      <w:r>
        <w:rPr>
          <w:rFonts w:ascii="仿宋_GB2312" w:hint="eastAsia"/>
        </w:rPr>
        <w:t>”</w:t>
      </w:r>
      <w:r>
        <w:rPr>
          <w:rFonts w:ascii="仿宋_GB2312"/>
        </w:rPr>
        <w:t>协同演进的实践格局，为城市数字化转型提供可持续的绿色动能，实现数字效益、经济效益与生态效益的有机统一。</w:t>
      </w:r>
    </w:p>
    <w:p w14:paraId="3794DBCD" w14:textId="77777777" w:rsidR="009D5DEA" w:rsidRDefault="00000000">
      <w:pPr>
        <w:pStyle w:val="2"/>
        <w:numPr>
          <w:ilvl w:val="0"/>
          <w:numId w:val="6"/>
        </w:numPr>
        <w:spacing w:before="0" w:after="0" w:line="560" w:lineRule="exact"/>
        <w:ind w:left="1360" w:hanging="720"/>
        <w:rPr>
          <w:rFonts w:ascii="楷体_GB2312" w:eastAsia="楷体_GB2312" w:hAnsi="黑体" w:hint="eastAsia"/>
          <w:color w:val="000000" w:themeColor="text1"/>
          <w:sz w:val="32"/>
          <w:szCs w:val="32"/>
        </w:rPr>
      </w:pPr>
      <w:bookmarkStart w:id="20" w:name="_Toc220337771"/>
      <w:r>
        <w:rPr>
          <w:rFonts w:ascii="楷体_GB2312" w:eastAsia="楷体_GB2312" w:hAnsi="黑体" w:hint="eastAsia"/>
          <w:color w:val="000000" w:themeColor="text1"/>
          <w:sz w:val="32"/>
          <w:szCs w:val="32"/>
        </w:rPr>
        <w:t>夯实数据要素价值化基础</w:t>
      </w:r>
      <w:bookmarkEnd w:id="20"/>
    </w:p>
    <w:p w14:paraId="64C10BE1" w14:textId="77777777" w:rsidR="009D5DEA" w:rsidRDefault="00000000">
      <w:pPr>
        <w:pStyle w:val="3"/>
        <w:widowControl/>
        <w:numPr>
          <w:ilvl w:val="0"/>
          <w:numId w:val="8"/>
        </w:numPr>
        <w:spacing w:before="0" w:after="0" w:line="560" w:lineRule="exact"/>
        <w:rPr>
          <w:rFonts w:ascii="仿宋" w:eastAsia="仿宋_GB2312" w:hAnsi="仿宋" w:cs="宋体" w:hint="eastAsia"/>
          <w:b/>
          <w:bCs/>
          <w:color w:val="auto"/>
          <w:kern w:val="0"/>
        </w:rPr>
      </w:pPr>
      <w:bookmarkStart w:id="21" w:name="_Toc220337772"/>
      <w:r>
        <w:rPr>
          <w:rFonts w:ascii="仿宋" w:eastAsia="仿宋_GB2312" w:hAnsi="仿宋" w:cs="宋体" w:hint="eastAsia"/>
          <w:b/>
          <w:bCs/>
          <w:color w:val="auto"/>
          <w:kern w:val="0"/>
        </w:rPr>
        <w:t>建设数据资源管理体系</w:t>
      </w:r>
      <w:bookmarkEnd w:id="21"/>
    </w:p>
    <w:p w14:paraId="5CF1B0B8" w14:textId="77777777" w:rsidR="009D5DEA" w:rsidRDefault="00000000">
      <w:pPr>
        <w:spacing w:after="0" w:line="560" w:lineRule="exact"/>
        <w:ind w:firstLineChars="200" w:firstLine="643"/>
        <w:rPr>
          <w:rFonts w:ascii="仿宋_GB2312"/>
        </w:rPr>
      </w:pPr>
      <w:r>
        <w:rPr>
          <w:rFonts w:ascii="仿宋_GB2312" w:hint="eastAsia"/>
          <w:b/>
          <w:bCs/>
        </w:rPr>
        <w:t>推进数据统筹管理。</w:t>
      </w:r>
      <w:r>
        <w:rPr>
          <w:rFonts w:ascii="仿宋_GB2312" w:hint="eastAsia"/>
        </w:rPr>
        <w:t>围绕数据确权、供给、流通、利用等关键环节，构建高效、安全、有序的数据资源体系。推进公共数据资源统一登记、分类分级、动态管理，落实“一数一源</w:t>
      </w:r>
      <w:proofErr w:type="gramStart"/>
      <w:r>
        <w:rPr>
          <w:rFonts w:ascii="仿宋_GB2312" w:hint="eastAsia"/>
        </w:rPr>
        <w:t>一</w:t>
      </w:r>
      <w:proofErr w:type="gramEnd"/>
      <w:r>
        <w:rPr>
          <w:rFonts w:ascii="仿宋_GB2312" w:hint="eastAsia"/>
        </w:rPr>
        <w:t>标准”治理要求，构建覆盖区、街道、部门的公共数据资源“一本账”管理模式，提升数据资源统筹调度和精准供给能力。</w:t>
      </w:r>
    </w:p>
    <w:p w14:paraId="3F1577F5" w14:textId="77777777" w:rsidR="009D5DEA" w:rsidRDefault="00000000">
      <w:pPr>
        <w:spacing w:after="0" w:line="560" w:lineRule="exact"/>
        <w:ind w:firstLineChars="200" w:firstLine="643"/>
        <w:rPr>
          <w:rFonts w:ascii="仿宋_GB2312"/>
        </w:rPr>
      </w:pPr>
      <w:r>
        <w:rPr>
          <w:rFonts w:ascii="仿宋_GB2312" w:hint="eastAsia"/>
          <w:b/>
          <w:bCs/>
        </w:rPr>
        <w:t>明确数据权责分配。</w:t>
      </w:r>
      <w:r>
        <w:rPr>
          <w:rFonts w:ascii="仿宋_GB2312" w:hint="eastAsia"/>
        </w:rPr>
        <w:t>以公共数据为核心抓手，围绕公共数据资源授权运营的具体场景，探索落实数据持有权、使用权、经营权的结构性分置的实施路径，推动建立覆盖数据资源登记、授权运营、合</w:t>
      </w:r>
      <w:proofErr w:type="gramStart"/>
      <w:r>
        <w:rPr>
          <w:rFonts w:ascii="仿宋_GB2312" w:hint="eastAsia"/>
        </w:rPr>
        <w:t>规</w:t>
      </w:r>
      <w:proofErr w:type="gramEnd"/>
      <w:r>
        <w:rPr>
          <w:rFonts w:ascii="仿宋_GB2312" w:hint="eastAsia"/>
        </w:rPr>
        <w:t>利用的产权体系，构建权责清晰、运行规范、保护有力的数据产权生态。</w:t>
      </w:r>
    </w:p>
    <w:p w14:paraId="35A7C82C" w14:textId="77777777" w:rsidR="009D5DEA" w:rsidRDefault="00000000">
      <w:pPr>
        <w:pStyle w:val="3"/>
        <w:widowControl/>
        <w:numPr>
          <w:ilvl w:val="0"/>
          <w:numId w:val="8"/>
        </w:numPr>
        <w:spacing w:before="0" w:after="0" w:line="560" w:lineRule="exact"/>
        <w:rPr>
          <w:rFonts w:ascii="仿宋" w:eastAsia="仿宋_GB2312" w:hAnsi="仿宋" w:cs="宋体" w:hint="eastAsia"/>
          <w:b/>
          <w:bCs/>
          <w:color w:val="auto"/>
          <w:kern w:val="0"/>
        </w:rPr>
      </w:pPr>
      <w:bookmarkStart w:id="22" w:name="_Toc220337773"/>
      <w:r>
        <w:rPr>
          <w:rFonts w:ascii="仿宋" w:eastAsia="仿宋_GB2312" w:hAnsi="仿宋" w:cs="宋体"/>
          <w:b/>
          <w:bCs/>
          <w:color w:val="auto"/>
          <w:kern w:val="0"/>
        </w:rPr>
        <w:lastRenderedPageBreak/>
        <w:t>完善数据服务标准体系</w:t>
      </w:r>
      <w:bookmarkEnd w:id="22"/>
    </w:p>
    <w:p w14:paraId="00B7157B" w14:textId="77777777" w:rsidR="009D5DEA" w:rsidRDefault="00000000">
      <w:pPr>
        <w:spacing w:after="0" w:line="560" w:lineRule="exact"/>
        <w:ind w:firstLineChars="200" w:firstLine="643"/>
        <w:rPr>
          <w:rFonts w:ascii="仿宋_GB2312"/>
          <w:b/>
          <w:bCs/>
        </w:rPr>
      </w:pPr>
      <w:r>
        <w:rPr>
          <w:rFonts w:ascii="仿宋_GB2312" w:hint="eastAsia"/>
          <w:b/>
          <w:bCs/>
        </w:rPr>
        <w:t>强化数据全生命周期标准。</w:t>
      </w:r>
      <w:r>
        <w:rPr>
          <w:rFonts w:ascii="仿宋_GB2312" w:hint="eastAsia"/>
        </w:rPr>
        <w:t>充分发挥标准规范引领作用，协同推进各行业领域数据标准规范建设，深化打造成体系的公共数据标准规范，进一步推进“一数一源”动态更新，围绕数据全生命周期，制定涵盖数据采集、存储、处理、共享、开放等各个环节的标准规范，如数据编目规范、数据归集规范等。推动人工智能、可穿戴设备、车联网、物联网等领域数据采集标准化。</w:t>
      </w:r>
    </w:p>
    <w:p w14:paraId="0ABFCCD4" w14:textId="77777777" w:rsidR="009D5DEA" w:rsidRDefault="00000000">
      <w:pPr>
        <w:spacing w:after="0" w:line="560" w:lineRule="exact"/>
        <w:ind w:firstLineChars="200" w:firstLine="643"/>
        <w:rPr>
          <w:rFonts w:ascii="仿宋_GB2312"/>
        </w:rPr>
      </w:pPr>
      <w:r>
        <w:rPr>
          <w:rFonts w:ascii="仿宋_GB2312" w:hint="eastAsia"/>
          <w:b/>
          <w:bCs/>
        </w:rPr>
        <w:t>健全数据标准体系。</w:t>
      </w:r>
      <w:r>
        <w:rPr>
          <w:rFonts w:ascii="仿宋_GB2312" w:hint="eastAsia"/>
        </w:rPr>
        <w:t>围绕数据分类编码、元数据管理、数据质量控制、接口标准、安全评估等关键环节，按照市级要求，细化和落实覆盖基础通用、资源汇聚、流通交易、融合应用、安全保障等环节的标准规范的区级实施体系，提升数据资源跨域、跨平台、跨单位的兼容与协同能力。</w:t>
      </w:r>
    </w:p>
    <w:p w14:paraId="7B219CE2" w14:textId="77777777" w:rsidR="009D5DEA" w:rsidRDefault="00000000">
      <w:pPr>
        <w:spacing w:after="0" w:line="560" w:lineRule="exact"/>
        <w:ind w:firstLineChars="200" w:firstLine="643"/>
        <w:rPr>
          <w:rFonts w:ascii="仿宋_GB2312"/>
        </w:rPr>
      </w:pPr>
      <w:r>
        <w:rPr>
          <w:rFonts w:ascii="仿宋_GB2312" w:hint="eastAsia"/>
          <w:b/>
          <w:bCs/>
        </w:rPr>
        <w:t>提升跨部门协同。</w:t>
      </w:r>
      <w:r>
        <w:rPr>
          <w:rFonts w:ascii="仿宋_GB2312" w:hint="eastAsia"/>
        </w:rPr>
        <w:t>严格落实市级标准要求，统一数据服务标准和业务流程，通过统一接口和编排机制，促进各政务平台和业务系统之间的高效互通与服务协同。</w:t>
      </w:r>
    </w:p>
    <w:p w14:paraId="538C7476" w14:textId="77777777" w:rsidR="009D5DEA" w:rsidRDefault="00000000">
      <w:pPr>
        <w:pStyle w:val="3"/>
        <w:widowControl/>
        <w:numPr>
          <w:ilvl w:val="0"/>
          <w:numId w:val="8"/>
        </w:numPr>
        <w:spacing w:before="0" w:after="0" w:line="560" w:lineRule="exact"/>
        <w:rPr>
          <w:rFonts w:ascii="仿宋" w:eastAsia="仿宋_GB2312" w:hAnsi="仿宋" w:cs="宋体" w:hint="eastAsia"/>
          <w:b/>
          <w:bCs/>
          <w:color w:val="auto"/>
          <w:kern w:val="0"/>
        </w:rPr>
      </w:pPr>
      <w:bookmarkStart w:id="23" w:name="_Toc220337774"/>
      <w:r>
        <w:rPr>
          <w:rFonts w:ascii="仿宋" w:eastAsia="仿宋_GB2312" w:hAnsi="仿宋" w:cs="宋体"/>
          <w:b/>
          <w:bCs/>
          <w:color w:val="auto"/>
          <w:kern w:val="0"/>
        </w:rPr>
        <w:t>深化数据资源开发利用</w:t>
      </w:r>
      <w:bookmarkEnd w:id="23"/>
    </w:p>
    <w:p w14:paraId="4E5CB9BE" w14:textId="77777777" w:rsidR="009D5DEA" w:rsidRDefault="00000000">
      <w:pPr>
        <w:spacing w:after="0" w:line="560" w:lineRule="exact"/>
        <w:ind w:firstLineChars="200" w:firstLine="643"/>
        <w:rPr>
          <w:rFonts w:ascii="仿宋_GB2312"/>
        </w:rPr>
      </w:pPr>
      <w:r>
        <w:rPr>
          <w:rFonts w:ascii="仿宋_GB2312" w:hint="eastAsia"/>
          <w:b/>
          <w:bCs/>
        </w:rPr>
        <w:t>加快公共数据开放与授权运营。</w:t>
      </w:r>
      <w:r>
        <w:rPr>
          <w:rFonts w:ascii="仿宋_GB2312" w:hint="eastAsia"/>
        </w:rPr>
        <w:t>推动公共数据有序开放，健全授权运营机制，依托平台统一提供接口、沙箱、测试等服务，鼓励社会主体基于授权数据开发创新应用，提升公共数据二次开发利用水平。</w:t>
      </w:r>
    </w:p>
    <w:p w14:paraId="564E96EC" w14:textId="77777777" w:rsidR="009D5DEA" w:rsidRDefault="00000000">
      <w:pPr>
        <w:spacing w:after="0" w:line="560" w:lineRule="exact"/>
        <w:ind w:firstLineChars="200" w:firstLine="643"/>
        <w:rPr>
          <w:rFonts w:ascii="仿宋_GB2312"/>
        </w:rPr>
      </w:pPr>
      <w:r>
        <w:rPr>
          <w:rFonts w:ascii="仿宋_GB2312" w:hint="eastAsia"/>
          <w:b/>
          <w:bCs/>
        </w:rPr>
        <w:t>建设公共数据服务的能力。</w:t>
      </w:r>
      <w:r>
        <w:rPr>
          <w:rFonts w:ascii="仿宋_GB2312" w:hint="eastAsia"/>
        </w:rPr>
        <w:t>通过全市统一数据开放平台集中提供高质量的开放数据集成和需求受理服务，通过产权登记平台、数据交易市场等平台输出我区公共数据服</w:t>
      </w:r>
      <w:r>
        <w:rPr>
          <w:rFonts w:ascii="仿宋_GB2312" w:hint="eastAsia"/>
        </w:rPr>
        <w:lastRenderedPageBreak/>
        <w:t>务能力，促进数据支撑与业务需求的深度对接。</w:t>
      </w:r>
    </w:p>
    <w:p w14:paraId="2000C0F7" w14:textId="77777777" w:rsidR="009D5DEA" w:rsidRDefault="00000000">
      <w:pPr>
        <w:spacing w:after="0" w:line="560" w:lineRule="exact"/>
        <w:ind w:firstLineChars="200" w:firstLine="643"/>
        <w:rPr>
          <w:rFonts w:ascii="仿宋_GB2312" w:hAnsi="仿宋_GB2312" w:cs="仿宋_GB2312" w:hint="eastAsia"/>
        </w:rPr>
      </w:pPr>
      <w:r>
        <w:rPr>
          <w:rFonts w:ascii="仿宋_GB2312" w:hAnsi="仿宋_GB2312" w:cs="仿宋_GB2312" w:hint="eastAsia"/>
          <w:b/>
          <w:bCs/>
        </w:rPr>
        <w:t>深化数据运营服务体系。</w:t>
      </w:r>
      <w:r>
        <w:rPr>
          <w:rFonts w:ascii="仿宋_GB2312" w:hAnsi="仿宋_GB2312" w:cs="仿宋_GB2312" w:hint="eastAsia"/>
        </w:rPr>
        <w:t>强化大中小屏专题全生命周期管理，持续推进重点领域专题的接入与适配工作，优化专题上架、运行监测、效果评估的闭环管理机制。深化重点指标库建设，加强对区级接入指标数据的清洗、更新，依托区级AI大模型能力，提升“指标查询”与“自动化问答”能力。</w:t>
      </w:r>
    </w:p>
    <w:p w14:paraId="57F7866A" w14:textId="77777777" w:rsidR="009D5DEA" w:rsidRDefault="00000000">
      <w:pPr>
        <w:spacing w:after="0" w:line="560" w:lineRule="exact"/>
        <w:ind w:firstLineChars="200" w:firstLine="643"/>
        <w:rPr>
          <w:rFonts w:ascii="仿宋_GB2312" w:hAnsi="仿宋_GB2312" w:cs="仿宋_GB2312" w:hint="eastAsia"/>
        </w:rPr>
      </w:pPr>
      <w:r>
        <w:rPr>
          <w:rFonts w:ascii="仿宋_GB2312" w:hint="eastAsia"/>
          <w:b/>
          <w:bCs/>
        </w:rPr>
        <w:t>推动大数据平台优化升级。</w:t>
      </w:r>
      <w:r>
        <w:rPr>
          <w:rFonts w:ascii="仿宋_GB2312"/>
        </w:rPr>
        <w:t>推动现有大数据平台基础能力升级</w:t>
      </w:r>
      <w:r>
        <w:rPr>
          <w:rFonts w:ascii="仿宋_GB2312" w:hint="eastAsia"/>
        </w:rPr>
        <w:t>，</w:t>
      </w:r>
      <w:r>
        <w:rPr>
          <w:rFonts w:ascii="仿宋_GB2312"/>
        </w:rPr>
        <w:t>持续提升数据接入、汇聚、清洗、建模、分析</w:t>
      </w:r>
      <w:r>
        <w:rPr>
          <w:rFonts w:ascii="仿宋_GB2312" w:hint="eastAsia"/>
        </w:rPr>
        <w:t>、共享</w:t>
      </w:r>
      <w:r>
        <w:rPr>
          <w:rFonts w:ascii="仿宋_GB2312"/>
        </w:rPr>
        <w:t>的</w:t>
      </w:r>
      <w:r>
        <w:rPr>
          <w:rFonts w:ascii="仿宋_GB2312" w:hint="eastAsia"/>
        </w:rPr>
        <w:t>数据全生命周期支撑</w:t>
      </w:r>
      <w:r>
        <w:rPr>
          <w:rFonts w:ascii="仿宋_GB2312"/>
        </w:rPr>
        <w:t>能力，</w:t>
      </w:r>
      <w:r>
        <w:rPr>
          <w:rFonts w:ascii="仿宋_GB2312" w:hint="eastAsia"/>
        </w:rPr>
        <w:t>提升平台技术防护能力，加强数据安全常态化检测和技术防护。打造统一公共数据门户，推动各部门依托统一门户获取各类数据、使用各类数据工具开展数据治理、分析及融合应用，推动数据共享从“数据搬家”向“产品服务”模式转变，进一步推动公共数据资源充分开发利用，提升公共数据价值。</w:t>
      </w:r>
    </w:p>
    <w:p w14:paraId="4DEC83AC" w14:textId="77777777" w:rsidR="009D5DEA" w:rsidRDefault="00000000">
      <w:pPr>
        <w:pStyle w:val="3"/>
        <w:widowControl/>
        <w:numPr>
          <w:ilvl w:val="0"/>
          <w:numId w:val="8"/>
        </w:numPr>
        <w:spacing w:before="0" w:after="0" w:line="560" w:lineRule="exact"/>
        <w:rPr>
          <w:rFonts w:ascii="仿宋" w:eastAsia="仿宋_GB2312" w:hAnsi="仿宋" w:cs="宋体" w:hint="eastAsia"/>
          <w:b/>
          <w:bCs/>
          <w:color w:val="auto"/>
          <w:kern w:val="0"/>
        </w:rPr>
      </w:pPr>
      <w:bookmarkStart w:id="24" w:name="_Toc220337775"/>
      <w:proofErr w:type="gramStart"/>
      <w:r>
        <w:rPr>
          <w:rFonts w:ascii="仿宋" w:eastAsia="仿宋_GB2312" w:hAnsi="仿宋" w:cs="宋体" w:hint="eastAsia"/>
          <w:b/>
          <w:bCs/>
          <w:color w:val="auto"/>
          <w:kern w:val="0"/>
        </w:rPr>
        <w:t>做优</w:t>
      </w:r>
      <w:r>
        <w:rPr>
          <w:rFonts w:ascii="仿宋" w:eastAsia="仿宋_GB2312" w:hAnsi="仿宋" w:cs="宋体"/>
          <w:b/>
          <w:bCs/>
          <w:color w:val="auto"/>
          <w:kern w:val="0"/>
        </w:rPr>
        <w:t>数据</w:t>
      </w:r>
      <w:proofErr w:type="gramEnd"/>
      <w:r>
        <w:rPr>
          <w:rFonts w:ascii="仿宋" w:eastAsia="仿宋_GB2312" w:hAnsi="仿宋" w:cs="宋体"/>
          <w:b/>
          <w:bCs/>
          <w:color w:val="auto"/>
          <w:kern w:val="0"/>
        </w:rPr>
        <w:t>流通交易市场</w:t>
      </w:r>
      <w:bookmarkEnd w:id="24"/>
    </w:p>
    <w:p w14:paraId="05843E4C" w14:textId="77777777" w:rsidR="009D5DEA" w:rsidRDefault="00000000">
      <w:pPr>
        <w:spacing w:after="0" w:line="560" w:lineRule="exact"/>
        <w:ind w:firstLineChars="200" w:firstLine="643"/>
      </w:pPr>
      <w:bookmarkStart w:id="25" w:name="_Toc203665103"/>
      <w:r>
        <w:rPr>
          <w:rFonts w:ascii="仿宋_GB2312"/>
          <w:b/>
          <w:bCs/>
        </w:rPr>
        <w:t>完善数据流通交易规则</w:t>
      </w:r>
      <w:bookmarkEnd w:id="25"/>
      <w:r>
        <w:rPr>
          <w:rFonts w:ascii="仿宋_GB2312" w:hint="eastAsia"/>
          <w:b/>
          <w:bCs/>
        </w:rPr>
        <w:t>。</w:t>
      </w:r>
      <w:r>
        <w:rPr>
          <w:rFonts w:hint="eastAsia"/>
        </w:rPr>
        <w:t>贯彻落实</w:t>
      </w:r>
      <w:r>
        <w:t>数据登记存证、资产评估、合</w:t>
      </w:r>
      <w:proofErr w:type="gramStart"/>
      <w:r>
        <w:t>规</w:t>
      </w:r>
      <w:proofErr w:type="gramEnd"/>
      <w:r>
        <w:t>认证等</w:t>
      </w:r>
      <w:r>
        <w:rPr>
          <w:rFonts w:hint="eastAsia"/>
        </w:rPr>
        <w:t>配套</w:t>
      </w:r>
      <w:r>
        <w:t>制度，健全数据交易、可信流通、收益分配等核心机制，形成数据可信流通、市场撮合、价值兑现的一体化机制，推动数据要素高效、安全、有序流动。</w:t>
      </w:r>
      <w:r>
        <w:rPr>
          <w:rFonts w:hint="eastAsia"/>
        </w:rPr>
        <w:t>依托</w:t>
      </w:r>
      <w:proofErr w:type="gramStart"/>
      <w:r>
        <w:rPr>
          <w:rFonts w:hint="eastAsia"/>
        </w:rPr>
        <w:t>龙华区数据</w:t>
      </w:r>
      <w:proofErr w:type="gramEnd"/>
      <w:r>
        <w:rPr>
          <w:rFonts w:hint="eastAsia"/>
        </w:rPr>
        <w:t>要素工作服务站，围绕数据确权登记、合</w:t>
      </w:r>
      <w:proofErr w:type="gramStart"/>
      <w:r>
        <w:rPr>
          <w:rFonts w:hint="eastAsia"/>
        </w:rPr>
        <w:t>规</w:t>
      </w:r>
      <w:proofErr w:type="gramEnd"/>
      <w:r>
        <w:rPr>
          <w:rFonts w:hint="eastAsia"/>
        </w:rPr>
        <w:t>流通、安全审计等关键环节，推动公共数据、企业数据、个人数据在可信环境中融合汇聚和授权使用，形成多方共建共享、价值共创的应用生态。</w:t>
      </w:r>
    </w:p>
    <w:p w14:paraId="3D5690CC" w14:textId="77777777" w:rsidR="009D5DEA" w:rsidRDefault="00000000">
      <w:pPr>
        <w:pStyle w:val="3"/>
        <w:widowControl/>
        <w:numPr>
          <w:ilvl w:val="0"/>
          <w:numId w:val="8"/>
        </w:numPr>
        <w:spacing w:before="0" w:after="0" w:line="560" w:lineRule="exact"/>
        <w:rPr>
          <w:rFonts w:ascii="仿宋" w:eastAsia="仿宋_GB2312" w:hAnsi="仿宋" w:cs="宋体" w:hint="eastAsia"/>
          <w:b/>
          <w:bCs/>
          <w:color w:val="auto"/>
          <w:kern w:val="0"/>
        </w:rPr>
      </w:pPr>
      <w:bookmarkStart w:id="26" w:name="_Toc220337776"/>
      <w:r>
        <w:rPr>
          <w:rFonts w:ascii="仿宋" w:eastAsia="仿宋_GB2312" w:hAnsi="仿宋" w:cs="宋体" w:hint="eastAsia"/>
          <w:b/>
          <w:bCs/>
          <w:color w:val="auto"/>
          <w:kern w:val="0"/>
        </w:rPr>
        <w:lastRenderedPageBreak/>
        <w:t>推动</w:t>
      </w:r>
      <w:r>
        <w:rPr>
          <w:rFonts w:ascii="仿宋" w:eastAsia="仿宋_GB2312" w:hAnsi="仿宋" w:cs="宋体"/>
          <w:b/>
          <w:bCs/>
          <w:color w:val="auto"/>
          <w:kern w:val="0"/>
        </w:rPr>
        <w:t>政务</w:t>
      </w:r>
      <w:r>
        <w:rPr>
          <w:rFonts w:ascii="仿宋" w:eastAsia="仿宋_GB2312" w:hAnsi="仿宋" w:cs="宋体" w:hint="eastAsia"/>
          <w:b/>
          <w:bCs/>
          <w:color w:val="auto"/>
          <w:kern w:val="0"/>
        </w:rPr>
        <w:t>资源高效共享</w:t>
      </w:r>
      <w:bookmarkEnd w:id="26"/>
    </w:p>
    <w:p w14:paraId="3CFDBBE0" w14:textId="77777777" w:rsidR="009D5DEA" w:rsidRDefault="00000000">
      <w:pPr>
        <w:spacing w:after="0" w:line="560" w:lineRule="exact"/>
        <w:ind w:firstLineChars="200" w:firstLine="643"/>
        <w:rPr>
          <w:rFonts w:ascii="仿宋_GB2312"/>
        </w:rPr>
      </w:pPr>
      <w:r>
        <w:rPr>
          <w:rFonts w:ascii="仿宋_GB2312"/>
          <w:b/>
          <w:bCs/>
        </w:rPr>
        <w:t>完善政务数据全生命周期管理。</w:t>
      </w:r>
      <w:r>
        <w:rPr>
          <w:rFonts w:ascii="仿宋_GB2312"/>
        </w:rPr>
        <w:t>坚持</w:t>
      </w:r>
      <w:r>
        <w:rPr>
          <w:rFonts w:ascii="仿宋_GB2312" w:hint="eastAsia"/>
        </w:rPr>
        <w:t>“按需归集、应归尽归”</w:t>
      </w:r>
      <w:r>
        <w:rPr>
          <w:rFonts w:ascii="仿宋_GB2312"/>
        </w:rPr>
        <w:t>原则，系统梳理</w:t>
      </w:r>
      <w:r>
        <w:rPr>
          <w:rFonts w:ascii="仿宋_GB2312" w:hint="eastAsia"/>
        </w:rPr>
        <w:t>龙华</w:t>
      </w:r>
      <w:r>
        <w:rPr>
          <w:rFonts w:ascii="仿宋_GB2312"/>
        </w:rPr>
        <w:t>各部门业务数据，编制并动态维护区级政务数据目录，推动政务数据从采集、整理、入库、共享到归档、销毁的全流程规范管理。建立问题数据可反馈、共享过程可追溯、数据质量问题可定责的管理机制，健全数据质检、校验、整改闭环，持续提升政务数据的真实性、完整性、及时性和一致性。</w:t>
      </w:r>
    </w:p>
    <w:p w14:paraId="6D1D4B13" w14:textId="77777777" w:rsidR="009D5DEA" w:rsidRDefault="00000000">
      <w:pPr>
        <w:spacing w:after="0" w:line="560" w:lineRule="exact"/>
        <w:ind w:firstLineChars="200" w:firstLine="643"/>
        <w:rPr>
          <w:rFonts w:ascii="仿宋_GB2312"/>
        </w:rPr>
      </w:pPr>
      <w:r>
        <w:rPr>
          <w:rFonts w:ascii="仿宋_GB2312" w:hint="eastAsia"/>
          <w:b/>
          <w:bCs/>
        </w:rPr>
        <w:t>健全政务数据共享协同机制。</w:t>
      </w:r>
      <w:r>
        <w:rPr>
          <w:rFonts w:ascii="仿宋_GB2312" w:hint="eastAsia"/>
        </w:rPr>
        <w:t>优化跨部门数据治理工作体系，明确数据提供方、使用方和管理方的职责边界，细化共享清单、共享规则和共享流程，推动数据分级分类有序共享。建立以需求为导向的共享协同机制，</w:t>
      </w:r>
      <w:proofErr w:type="gramStart"/>
      <w:r>
        <w:rPr>
          <w:rFonts w:ascii="仿宋_GB2312" w:hint="eastAsia"/>
        </w:rPr>
        <w:t>畅通业务部</w:t>
      </w:r>
      <w:proofErr w:type="gramEnd"/>
      <w:r>
        <w:rPr>
          <w:rFonts w:ascii="仿宋_GB2312" w:hint="eastAsia"/>
        </w:rPr>
        <w:t>门数据需求提出、审核、响应和反馈的工作链条，提升数据供需匹配效率和共享服务能力，形成职责清晰、分工有序、协同高效的政务数据治理格局。</w:t>
      </w:r>
    </w:p>
    <w:p w14:paraId="17D61BC7" w14:textId="77777777" w:rsidR="009D5DEA" w:rsidRDefault="00000000">
      <w:pPr>
        <w:spacing w:after="0" w:line="560" w:lineRule="exact"/>
        <w:ind w:firstLineChars="200" w:firstLine="643"/>
        <w:rPr>
          <w:rFonts w:ascii="仿宋_GB2312"/>
        </w:rPr>
      </w:pPr>
      <w:r>
        <w:rPr>
          <w:rFonts w:ascii="仿宋_GB2312" w:hint="eastAsia"/>
          <w:b/>
          <w:bCs/>
        </w:rPr>
        <w:t>推动政务数据直达基层。</w:t>
      </w:r>
      <w:r>
        <w:rPr>
          <w:rFonts w:ascii="仿宋_GB2312" w:hint="eastAsia"/>
        </w:rPr>
        <w:t>坚持以应用为牵引，围绕基层治理、民生服务、风险防控等重点场景，优化政务数据向街道、社区和基层单位的共享模式，提升基层对权威、准确数据的便捷获取能力。推动数据“一次采集、分级共享、多方利用”，统筹规范基层统计报送和数据采集事项，减少多头报送和重复填报，逐步形成基层报表数据“只报一次、形成一张表”的工作格局，切实减轻基层负担、提升治理效能。</w:t>
      </w:r>
    </w:p>
    <w:p w14:paraId="0BF46F26" w14:textId="77777777" w:rsidR="009D5DEA" w:rsidRDefault="00000000">
      <w:pPr>
        <w:spacing w:after="0" w:line="560" w:lineRule="exact"/>
        <w:ind w:firstLineChars="200" w:firstLine="643"/>
        <w:rPr>
          <w:rFonts w:ascii="仿宋_GB2312"/>
        </w:rPr>
      </w:pPr>
      <w:r>
        <w:rPr>
          <w:rFonts w:ascii="仿宋_GB2312" w:hint="eastAsia"/>
          <w:b/>
          <w:bCs/>
        </w:rPr>
        <w:t>探索社会数据统筹利用。</w:t>
      </w:r>
      <w:r>
        <w:rPr>
          <w:rFonts w:ascii="仿宋_GB2312" w:hint="eastAsia"/>
        </w:rPr>
        <w:t>规范开展社会数据统筹利用</w:t>
      </w:r>
      <w:r>
        <w:rPr>
          <w:rFonts w:ascii="仿宋_GB2312" w:hint="eastAsia"/>
        </w:rPr>
        <w:lastRenderedPageBreak/>
        <w:t>与资产管理，紧扣经济运行、产业发展、空间治理等重点领域，统筹梳理本区社会数据需求和重点方向，探索通过目录管理、统一采购、合作共建等方式，构建“统筹获取、分级使用、安全可控”的社会数据统筹利用模式，推动社会数据与政务数据的融合应用。加强政务数据资产管理基础工作，建立区级政务数据</w:t>
      </w:r>
      <w:proofErr w:type="gramStart"/>
      <w:r>
        <w:rPr>
          <w:rFonts w:ascii="仿宋_GB2312" w:hint="eastAsia"/>
        </w:rPr>
        <w:t>资产台</w:t>
      </w:r>
      <w:proofErr w:type="gramEnd"/>
      <w:r>
        <w:rPr>
          <w:rFonts w:ascii="仿宋_GB2312" w:hint="eastAsia"/>
        </w:rPr>
        <w:t>账，推进数据统一编码、分级管理和分类使用，探索数据价值评估和资产化管理路径，稳妥推动政务数据从资源向资产转化，为数据要素合</w:t>
      </w:r>
      <w:proofErr w:type="gramStart"/>
      <w:r>
        <w:rPr>
          <w:rFonts w:ascii="仿宋_GB2312" w:hint="eastAsia"/>
        </w:rPr>
        <w:t>规</w:t>
      </w:r>
      <w:proofErr w:type="gramEnd"/>
      <w:r>
        <w:rPr>
          <w:rFonts w:ascii="仿宋_GB2312" w:hint="eastAsia"/>
        </w:rPr>
        <w:t>有序流通打牢区级支撑。</w:t>
      </w:r>
    </w:p>
    <w:p w14:paraId="3B58ADB7" w14:textId="77777777" w:rsidR="009D5DEA" w:rsidRDefault="00000000">
      <w:pPr>
        <w:pStyle w:val="3"/>
        <w:widowControl/>
        <w:numPr>
          <w:ilvl w:val="0"/>
          <w:numId w:val="8"/>
        </w:numPr>
        <w:spacing w:before="0" w:after="0" w:line="560" w:lineRule="exact"/>
        <w:rPr>
          <w:rFonts w:ascii="仿宋" w:eastAsia="仿宋_GB2312" w:hAnsi="仿宋" w:cs="宋体" w:hint="eastAsia"/>
          <w:b/>
          <w:bCs/>
          <w:color w:val="auto"/>
          <w:kern w:val="0"/>
        </w:rPr>
      </w:pPr>
      <w:bookmarkStart w:id="27" w:name="_Toc220337777"/>
      <w:r>
        <w:rPr>
          <w:rFonts w:ascii="仿宋" w:eastAsia="仿宋_GB2312" w:hAnsi="仿宋" w:cs="宋体" w:hint="eastAsia"/>
          <w:b/>
          <w:bCs/>
          <w:color w:val="auto"/>
          <w:kern w:val="0"/>
        </w:rPr>
        <w:t>建设龙华高质量数据集</w:t>
      </w:r>
      <w:bookmarkEnd w:id="27"/>
    </w:p>
    <w:p w14:paraId="540D2610" w14:textId="77777777" w:rsidR="009D5DEA" w:rsidRDefault="00000000">
      <w:pPr>
        <w:spacing w:after="0" w:line="560" w:lineRule="exact"/>
        <w:ind w:firstLineChars="200" w:firstLine="643"/>
        <w:rPr>
          <w:rFonts w:ascii="仿宋_GB2312"/>
        </w:rPr>
      </w:pPr>
      <w:proofErr w:type="gramStart"/>
      <w:r>
        <w:rPr>
          <w:rFonts w:ascii="仿宋_GB2312" w:hAnsi="仿宋_GB2312" w:cs="仿宋_GB2312" w:hint="eastAsia"/>
          <w:b/>
          <w:bCs/>
        </w:rPr>
        <w:t>构建全</w:t>
      </w:r>
      <w:proofErr w:type="gramEnd"/>
      <w:r>
        <w:rPr>
          <w:rFonts w:ascii="仿宋_GB2312" w:hAnsi="仿宋_GB2312" w:cs="仿宋_GB2312" w:hint="eastAsia"/>
          <w:b/>
          <w:bCs/>
        </w:rPr>
        <w:t>流程数据质量保障体系</w:t>
      </w:r>
      <w:r>
        <w:rPr>
          <w:rFonts w:ascii="仿宋_GB2312" w:hint="eastAsia"/>
          <w:b/>
          <w:bCs/>
        </w:rPr>
        <w:t>。</w:t>
      </w:r>
      <w:r>
        <w:rPr>
          <w:rFonts w:ascii="仿宋_GB2312"/>
        </w:rPr>
        <w:t>持续提升数据接入、清洗、脱敏、汇聚、建模、分析的全流程治理能力，健全</w:t>
      </w:r>
      <w:proofErr w:type="gramStart"/>
      <w:r>
        <w:rPr>
          <w:rFonts w:ascii="仿宋_GB2312"/>
        </w:rPr>
        <w:t>脏数据</w:t>
      </w:r>
      <w:proofErr w:type="gramEnd"/>
      <w:r>
        <w:rPr>
          <w:rFonts w:ascii="仿宋_GB2312"/>
        </w:rPr>
        <w:t>识别、</w:t>
      </w:r>
      <w:proofErr w:type="gramStart"/>
      <w:r>
        <w:rPr>
          <w:rFonts w:ascii="仿宋_GB2312"/>
        </w:rPr>
        <w:t>缺失值</w:t>
      </w:r>
      <w:proofErr w:type="gramEnd"/>
      <w:r>
        <w:rPr>
          <w:rFonts w:ascii="仿宋_GB2312"/>
        </w:rPr>
        <w:t>填补、异常值校正等质量控制机制，推动实现</w:t>
      </w:r>
      <w:r>
        <w:rPr>
          <w:rFonts w:ascii="仿宋_GB2312" w:hint="eastAsia"/>
        </w:rPr>
        <w:t>“数据可用不可见”</w:t>
      </w:r>
      <w:r>
        <w:rPr>
          <w:rFonts w:ascii="仿宋_GB2312"/>
        </w:rPr>
        <w:t>。</w:t>
      </w:r>
      <w:r>
        <w:rPr>
          <w:rFonts w:ascii="仿宋_GB2312" w:hint="eastAsia"/>
        </w:rPr>
        <w:t>结合</w:t>
      </w:r>
      <w:r>
        <w:rPr>
          <w:rFonts w:ascii="仿宋_GB2312"/>
        </w:rPr>
        <w:t>AI大模型能力，构建规则校验</w:t>
      </w:r>
      <w:r>
        <w:rPr>
          <w:rFonts w:ascii="仿宋_GB2312" w:hint="eastAsia"/>
        </w:rPr>
        <w:t>和</w:t>
      </w:r>
      <w:r>
        <w:rPr>
          <w:rFonts w:ascii="仿宋_GB2312"/>
        </w:rPr>
        <w:t>算法校验相结合的数据质检体系，形成覆盖数据入湖、加工、发布、归档的质量评估和预警闭环，</w:t>
      </w:r>
      <w:r>
        <w:rPr>
          <w:rFonts w:ascii="仿宋_GB2312" w:hint="eastAsia"/>
        </w:rPr>
        <w:t>支撑公共数据资源开发利用，</w:t>
      </w:r>
      <w:r>
        <w:rPr>
          <w:rFonts w:ascii="仿宋_GB2312"/>
        </w:rPr>
        <w:t>为高质量数据集建设提供技术</w:t>
      </w:r>
      <w:r>
        <w:rPr>
          <w:rFonts w:ascii="仿宋_GB2312" w:hint="eastAsia"/>
        </w:rPr>
        <w:t>保障</w:t>
      </w:r>
      <w:r>
        <w:rPr>
          <w:rFonts w:ascii="仿宋_GB2312"/>
        </w:rPr>
        <w:t>。</w:t>
      </w:r>
    </w:p>
    <w:p w14:paraId="177A12D3" w14:textId="77777777" w:rsidR="009D5DEA" w:rsidRDefault="00000000">
      <w:pPr>
        <w:spacing w:after="0" w:line="560" w:lineRule="exact"/>
        <w:ind w:firstLineChars="200" w:firstLine="643"/>
        <w:rPr>
          <w:rFonts w:ascii="仿宋_GB2312"/>
        </w:rPr>
      </w:pPr>
      <w:r>
        <w:rPr>
          <w:rFonts w:ascii="仿宋_GB2312" w:hint="eastAsia"/>
          <w:b/>
          <w:bCs/>
        </w:rPr>
        <w:t>健全高质量数据集建设与运营机制。</w:t>
      </w:r>
      <w:r>
        <w:rPr>
          <w:rFonts w:ascii="仿宋_GB2312" w:hint="eastAsia"/>
        </w:rPr>
        <w:t>围绕“有标准、可复用、可考核”的目标，按照高质量数据集建设指引和评价标准，从数据来源权威性、字段完备度、更新时效性、一致性、安全合</w:t>
      </w:r>
      <w:proofErr w:type="gramStart"/>
      <w:r>
        <w:rPr>
          <w:rFonts w:ascii="仿宋_GB2312" w:hint="eastAsia"/>
        </w:rPr>
        <w:t>规</w:t>
      </w:r>
      <w:proofErr w:type="gramEnd"/>
      <w:r>
        <w:rPr>
          <w:rFonts w:ascii="仿宋_GB2312" w:hint="eastAsia"/>
        </w:rPr>
        <w:t>性等维</w:t>
      </w:r>
      <w:proofErr w:type="gramStart"/>
      <w:r>
        <w:rPr>
          <w:rFonts w:ascii="仿宋_GB2312" w:hint="eastAsia"/>
        </w:rPr>
        <w:t>度明确</w:t>
      </w:r>
      <w:proofErr w:type="gramEnd"/>
      <w:r>
        <w:rPr>
          <w:rFonts w:ascii="仿宋_GB2312" w:hint="eastAsia"/>
        </w:rPr>
        <w:t>建设规范，推动形成“按需建集、按标建集、动态维护”的工作机制。同步完善数据集发布、使用留痕、效果评估和淘汰更新机制，探索将</w:t>
      </w:r>
      <w:r>
        <w:rPr>
          <w:rFonts w:ascii="仿宋_GB2312" w:hint="eastAsia"/>
        </w:rPr>
        <w:lastRenderedPageBreak/>
        <w:t>高质量数据集与“数据要素×”典型场景建设、可信数据流通基础设施建设等工作联动，推动高质量数据集从“建得好”向“用得好”转变。</w:t>
      </w:r>
    </w:p>
    <w:p w14:paraId="4130E86B" w14:textId="77777777" w:rsidR="009D5DEA" w:rsidRDefault="00000000">
      <w:pPr>
        <w:spacing w:after="0" w:line="560" w:lineRule="exact"/>
        <w:ind w:firstLineChars="200" w:firstLine="643"/>
        <w:rPr>
          <w:rFonts w:ascii="仿宋_GB2312"/>
        </w:rPr>
      </w:pPr>
      <w:r>
        <w:rPr>
          <w:rFonts w:ascii="仿宋_GB2312" w:hint="eastAsia"/>
          <w:b/>
          <w:bCs/>
        </w:rPr>
        <w:t>支持重点领域高质量专题数据集建设。</w:t>
      </w:r>
      <w:r>
        <w:rPr>
          <w:rFonts w:ascii="仿宋_GB2312" w:hint="eastAsia"/>
        </w:rPr>
        <w:t>聚焦低空经济、先进制造、商贸流通、金融服务、城市治理等重点领域，按照“底数清、结构准、质量高、安全可控”的要求，鼓励企业、高等院校、科研机构等建设通用人工智能训练数据集、标准测试数据集、行业专业数据集以及大模型</w:t>
      </w:r>
      <w:proofErr w:type="gramStart"/>
      <w:r>
        <w:rPr>
          <w:rFonts w:ascii="仿宋_GB2312" w:hint="eastAsia"/>
        </w:rPr>
        <w:t>预训练</w:t>
      </w:r>
      <w:proofErr w:type="gramEnd"/>
      <w:r>
        <w:rPr>
          <w:rFonts w:ascii="仿宋_GB2312" w:hint="eastAsia"/>
        </w:rPr>
        <w:t>语料库等，推进来源可溯、更新及时、标签完备的高质量数据集进行相关试点申报、应用交易，全面提升数据要素供给能力和应用价值。</w:t>
      </w:r>
    </w:p>
    <w:p w14:paraId="0C511A74" w14:textId="77777777" w:rsidR="009D5DEA" w:rsidRDefault="00000000">
      <w:pPr>
        <w:spacing w:after="0" w:line="560" w:lineRule="exact"/>
        <w:ind w:firstLineChars="200" w:firstLine="643"/>
        <w:rPr>
          <w:rFonts w:ascii="仿宋_GB2312" w:hAnsi="仿宋_GB2312" w:cs="仿宋_GB2312" w:hint="eastAsia"/>
          <w:b/>
          <w:bCs/>
        </w:rPr>
      </w:pPr>
      <w:r>
        <w:rPr>
          <w:rFonts w:ascii="仿宋_GB2312" w:hAnsi="仿宋_GB2312" w:cs="仿宋_GB2312" w:hint="eastAsia"/>
          <w:b/>
          <w:bCs/>
        </w:rPr>
        <w:t>提升高质量数据</w:t>
      </w:r>
      <w:proofErr w:type="gramStart"/>
      <w:r>
        <w:rPr>
          <w:rFonts w:ascii="仿宋_GB2312" w:hAnsi="仿宋_GB2312" w:cs="仿宋_GB2312" w:hint="eastAsia"/>
          <w:b/>
          <w:bCs/>
        </w:rPr>
        <w:t>集应用</w:t>
      </w:r>
      <w:proofErr w:type="gramEnd"/>
      <w:r>
        <w:rPr>
          <w:rFonts w:ascii="仿宋_GB2312" w:hAnsi="仿宋_GB2312" w:cs="仿宋_GB2312" w:hint="eastAsia"/>
          <w:b/>
          <w:bCs/>
        </w:rPr>
        <w:t>与服务能力。</w:t>
      </w:r>
      <w:r>
        <w:rPr>
          <w:rFonts w:ascii="仿宋_GB2312" w:hint="eastAsia"/>
        </w:rPr>
        <w:t>以服务部门业务和社会创新为导向，围绕政策评估、宏观</w:t>
      </w:r>
      <w:proofErr w:type="gramStart"/>
      <w:r>
        <w:rPr>
          <w:rFonts w:ascii="仿宋_GB2312" w:hint="eastAsia"/>
        </w:rPr>
        <w:t>研</w:t>
      </w:r>
      <w:proofErr w:type="gramEnd"/>
      <w:r>
        <w:rPr>
          <w:rFonts w:ascii="仿宋_GB2312" w:hint="eastAsia"/>
        </w:rPr>
        <w:t>判、风险预警、企业服务等重点场景，开发一批基于高质量数据集的数据产品和分析模型，支持“可视化看板+自助分析+自然语言问答”等多形态服务能力融合，降低部门和社会主体使用门槛。深化运营服务体系，完善大中小屏专题全生命周期管理，持续推进重点专题与大数据平台、经济大脑和高质量数据集的深度融合，优化专题上架、运行监测、效果评估的闭环管理机制，形成“一批可复制推广的高质量数据集+一批可持续运营的数据产品+</w:t>
      </w:r>
      <w:proofErr w:type="gramStart"/>
      <w:r>
        <w:rPr>
          <w:rFonts w:ascii="仿宋_GB2312" w:hint="eastAsia"/>
        </w:rPr>
        <w:t>一</w:t>
      </w:r>
      <w:proofErr w:type="gramEnd"/>
      <w:r>
        <w:rPr>
          <w:rFonts w:ascii="仿宋_GB2312" w:hint="eastAsia"/>
        </w:rPr>
        <w:t>批示范性应用场景”的良性生态，全面提升</w:t>
      </w:r>
      <w:proofErr w:type="gramStart"/>
      <w:r>
        <w:rPr>
          <w:rFonts w:ascii="仿宋_GB2312" w:hint="eastAsia"/>
        </w:rPr>
        <w:t>龙华区数据</w:t>
      </w:r>
      <w:proofErr w:type="gramEnd"/>
      <w:r>
        <w:rPr>
          <w:rFonts w:ascii="仿宋_GB2312" w:hint="eastAsia"/>
        </w:rPr>
        <w:t>要素供给质量和价值转化能力。</w:t>
      </w:r>
    </w:p>
    <w:p w14:paraId="1E7095DB" w14:textId="77777777" w:rsidR="009D5DEA" w:rsidRDefault="00000000">
      <w:pPr>
        <w:pStyle w:val="2"/>
        <w:numPr>
          <w:ilvl w:val="0"/>
          <w:numId w:val="6"/>
        </w:numPr>
        <w:spacing w:before="0" w:after="0" w:line="560" w:lineRule="exact"/>
        <w:ind w:left="1360" w:hanging="720"/>
        <w:rPr>
          <w:rFonts w:ascii="楷体_GB2312" w:eastAsia="楷体_GB2312" w:hAnsi="黑体" w:hint="eastAsia"/>
          <w:color w:val="000000" w:themeColor="text1"/>
          <w:sz w:val="32"/>
          <w:szCs w:val="32"/>
        </w:rPr>
      </w:pPr>
      <w:bookmarkStart w:id="28" w:name="_Toc220337778"/>
      <w:r>
        <w:rPr>
          <w:rFonts w:ascii="楷体_GB2312" w:eastAsia="楷体_GB2312" w:hAnsi="黑体" w:hint="eastAsia"/>
          <w:color w:val="000000" w:themeColor="text1"/>
          <w:sz w:val="32"/>
          <w:szCs w:val="32"/>
        </w:rPr>
        <w:lastRenderedPageBreak/>
        <w:t>构建数字空间安全体系</w:t>
      </w:r>
      <w:bookmarkEnd w:id="28"/>
    </w:p>
    <w:p w14:paraId="6031B17F" w14:textId="77777777" w:rsidR="009D5DEA" w:rsidRDefault="00000000">
      <w:pPr>
        <w:pStyle w:val="3"/>
        <w:widowControl/>
        <w:numPr>
          <w:ilvl w:val="0"/>
          <w:numId w:val="9"/>
        </w:numPr>
        <w:spacing w:before="0" w:after="0" w:line="560" w:lineRule="exact"/>
        <w:rPr>
          <w:rFonts w:ascii="仿宋" w:eastAsia="仿宋_GB2312" w:hAnsi="仿宋" w:cs="宋体" w:hint="eastAsia"/>
          <w:b/>
          <w:bCs/>
          <w:color w:val="auto"/>
          <w:kern w:val="0"/>
        </w:rPr>
      </w:pPr>
      <w:bookmarkStart w:id="29" w:name="_Toc220337779"/>
      <w:r>
        <w:rPr>
          <w:rFonts w:ascii="仿宋" w:eastAsia="仿宋_GB2312" w:hAnsi="仿宋" w:cs="宋体" w:hint="eastAsia"/>
          <w:b/>
          <w:bCs/>
          <w:color w:val="auto"/>
          <w:kern w:val="0"/>
        </w:rPr>
        <w:t>夯实智能基础设施安全底座</w:t>
      </w:r>
      <w:bookmarkEnd w:id="29"/>
    </w:p>
    <w:p w14:paraId="6D734527" w14:textId="77777777" w:rsidR="009D5DEA" w:rsidRDefault="00000000">
      <w:pPr>
        <w:spacing w:after="0" w:line="560" w:lineRule="exact"/>
        <w:ind w:firstLineChars="200" w:firstLine="643"/>
      </w:pPr>
      <w:r>
        <w:rPr>
          <w:rFonts w:ascii="仿宋_GB2312" w:hint="eastAsia"/>
          <w:b/>
          <w:bCs/>
        </w:rPr>
        <w:t>构建智能化安全防御体系。</w:t>
      </w:r>
      <w:r>
        <w:t>推动政务云平台向</w:t>
      </w:r>
      <w:r>
        <w:rPr>
          <w:rFonts w:hint="eastAsia"/>
        </w:rPr>
        <w:t>“</w:t>
      </w:r>
      <w:r>
        <w:t>云原生</w:t>
      </w:r>
      <w:r>
        <w:t>+</w:t>
      </w:r>
      <w:r>
        <w:t>人工智能驱动</w:t>
      </w:r>
      <w:r>
        <w:rPr>
          <w:rFonts w:hint="eastAsia"/>
        </w:rPr>
        <w:t>”</w:t>
      </w:r>
      <w:r>
        <w:t>架构升级，</w:t>
      </w:r>
      <w:r>
        <w:rPr>
          <w:rFonts w:hint="eastAsia"/>
        </w:rPr>
        <w:t>引入</w:t>
      </w:r>
      <w:r>
        <w:t>集成自适应安全防护、人工智能异常流量监测等先进技术，构建集约高效、安全可控的政务云环境</w:t>
      </w:r>
      <w:r>
        <w:rPr>
          <w:rFonts w:hint="eastAsia"/>
        </w:rPr>
        <w:t>，</w:t>
      </w:r>
      <w:r>
        <w:t>系统强化云平台的安全设计与建设，完善政务云一体化支撑能力，强化</w:t>
      </w:r>
      <w:proofErr w:type="gramStart"/>
      <w:r>
        <w:t>云网灾备保障和算力</w:t>
      </w:r>
      <w:proofErr w:type="gramEnd"/>
      <w:r>
        <w:t>资源调度管理</w:t>
      </w:r>
      <w:r>
        <w:rPr>
          <w:rFonts w:hint="eastAsia"/>
        </w:rPr>
        <w:t>。</w:t>
      </w:r>
    </w:p>
    <w:p w14:paraId="7A30D835" w14:textId="77777777" w:rsidR="009D5DEA" w:rsidRDefault="00000000">
      <w:pPr>
        <w:spacing w:after="0" w:line="560" w:lineRule="exact"/>
        <w:ind w:firstLineChars="200" w:firstLine="643"/>
        <w:rPr>
          <w:rFonts w:ascii="仿宋_GB2312"/>
        </w:rPr>
      </w:pPr>
      <w:proofErr w:type="gramStart"/>
      <w:r>
        <w:rPr>
          <w:rFonts w:ascii="仿宋_GB2312" w:hint="eastAsia"/>
          <w:b/>
          <w:bCs/>
        </w:rPr>
        <w:t>筑牢算力与</w:t>
      </w:r>
      <w:proofErr w:type="gramEnd"/>
      <w:r>
        <w:rPr>
          <w:rFonts w:ascii="仿宋_GB2312" w:hint="eastAsia"/>
          <w:b/>
          <w:bCs/>
        </w:rPr>
        <w:t>智能</w:t>
      </w:r>
      <w:proofErr w:type="gramStart"/>
      <w:r>
        <w:rPr>
          <w:rFonts w:ascii="仿宋_GB2312" w:hint="eastAsia"/>
          <w:b/>
          <w:bCs/>
        </w:rPr>
        <w:t>体安全</w:t>
      </w:r>
      <w:proofErr w:type="gramEnd"/>
      <w:r>
        <w:rPr>
          <w:rFonts w:ascii="仿宋_GB2312" w:hint="eastAsia"/>
          <w:b/>
          <w:bCs/>
        </w:rPr>
        <w:t>基座。</w:t>
      </w:r>
      <w:r>
        <w:rPr>
          <w:rFonts w:ascii="仿宋_GB2312" w:hint="eastAsia"/>
        </w:rPr>
        <w:t>聚焦</w:t>
      </w:r>
      <w:proofErr w:type="gramStart"/>
      <w:r>
        <w:rPr>
          <w:rFonts w:ascii="仿宋_GB2312" w:hint="eastAsia"/>
        </w:rPr>
        <w:t>智能算力资源</w:t>
      </w:r>
      <w:proofErr w:type="gramEnd"/>
      <w:r>
        <w:rPr>
          <w:rFonts w:ascii="仿宋_GB2312" w:hint="eastAsia"/>
        </w:rPr>
        <w:t>调度与人工智能应用安全，构建适应新型基础设施的安全防护体系。</w:t>
      </w:r>
      <w:proofErr w:type="gramStart"/>
      <w:r>
        <w:rPr>
          <w:rFonts w:ascii="仿宋_GB2312" w:hint="eastAsia"/>
        </w:rPr>
        <w:t>强化算力平台</w:t>
      </w:r>
      <w:proofErr w:type="gramEnd"/>
      <w:r>
        <w:rPr>
          <w:rFonts w:ascii="仿宋_GB2312" w:hint="eastAsia"/>
        </w:rPr>
        <w:t>安全运行保障，</w:t>
      </w:r>
      <w:proofErr w:type="gramStart"/>
      <w:r>
        <w:rPr>
          <w:rFonts w:ascii="仿宋_GB2312" w:hint="eastAsia"/>
        </w:rPr>
        <w:t>完善算力资源调度全</w:t>
      </w:r>
      <w:proofErr w:type="gramEnd"/>
      <w:r>
        <w:rPr>
          <w:rFonts w:ascii="仿宋_GB2312" w:hint="eastAsia"/>
        </w:rPr>
        <w:t>过程的安全审计与异常行为监测，防范资源滥用与恶意攻击。同步推进智能体全生命周期安全管理，覆盖模型训练数据安全、算法可靠性验证、运行决策可解释性及输出内容合</w:t>
      </w:r>
      <w:proofErr w:type="gramStart"/>
      <w:r>
        <w:rPr>
          <w:rFonts w:ascii="仿宋_GB2312" w:hint="eastAsia"/>
        </w:rPr>
        <w:t>规</w:t>
      </w:r>
      <w:proofErr w:type="gramEnd"/>
      <w:r>
        <w:rPr>
          <w:rFonts w:ascii="仿宋_GB2312" w:hint="eastAsia"/>
        </w:rPr>
        <w:t>性等关键环节。健全安全评估、威胁监测与应急响应机制，重点防范数据泄露、模型篡改及对抗性攻击风险。探索建立适应</w:t>
      </w:r>
      <w:proofErr w:type="gramStart"/>
      <w:r>
        <w:rPr>
          <w:rFonts w:ascii="仿宋_GB2312" w:hint="eastAsia"/>
        </w:rPr>
        <w:t>智能算力共享</w:t>
      </w:r>
      <w:proofErr w:type="gramEnd"/>
      <w:r>
        <w:rPr>
          <w:rFonts w:ascii="仿宋_GB2312" w:hint="eastAsia"/>
        </w:rPr>
        <w:t>与智能体协同应用场景的安全信任框架，为智能化应用创新提供坚实安全支撑。</w:t>
      </w:r>
    </w:p>
    <w:p w14:paraId="3EE370F3" w14:textId="77777777" w:rsidR="009D5DEA" w:rsidRDefault="00000000">
      <w:pPr>
        <w:pStyle w:val="3"/>
        <w:widowControl/>
        <w:numPr>
          <w:ilvl w:val="0"/>
          <w:numId w:val="9"/>
        </w:numPr>
        <w:spacing w:before="0" w:after="0" w:line="560" w:lineRule="exact"/>
        <w:rPr>
          <w:rFonts w:ascii="仿宋" w:eastAsia="仿宋_GB2312" w:hAnsi="仿宋" w:cs="宋体" w:hint="eastAsia"/>
          <w:b/>
          <w:bCs/>
          <w:color w:val="auto"/>
          <w:kern w:val="0"/>
        </w:rPr>
      </w:pPr>
      <w:bookmarkStart w:id="30" w:name="_Toc220337780"/>
      <w:r>
        <w:rPr>
          <w:rFonts w:ascii="仿宋" w:eastAsia="仿宋_GB2312" w:hAnsi="仿宋" w:cs="宋体"/>
          <w:b/>
          <w:bCs/>
          <w:color w:val="auto"/>
          <w:kern w:val="0"/>
        </w:rPr>
        <w:t>筑牢</w:t>
      </w:r>
      <w:r>
        <w:rPr>
          <w:rFonts w:ascii="仿宋" w:eastAsia="仿宋_GB2312" w:hAnsi="仿宋" w:cs="宋体" w:hint="eastAsia"/>
          <w:b/>
          <w:bCs/>
          <w:color w:val="auto"/>
          <w:kern w:val="0"/>
        </w:rPr>
        <w:t>关键信息基础设施防线</w:t>
      </w:r>
      <w:bookmarkEnd w:id="30"/>
    </w:p>
    <w:p w14:paraId="3670F252" w14:textId="77777777" w:rsidR="009D5DEA" w:rsidRDefault="00000000">
      <w:pPr>
        <w:spacing w:after="0" w:line="560" w:lineRule="exact"/>
        <w:ind w:firstLineChars="200" w:firstLine="643"/>
        <w:rPr>
          <w:rFonts w:ascii="仿宋_GB2312"/>
          <w:b/>
          <w:bCs/>
          <w:color w:val="000000" w:themeColor="text1"/>
        </w:rPr>
      </w:pPr>
      <w:bookmarkStart w:id="31" w:name="_Toc203665159"/>
      <w:r>
        <w:rPr>
          <w:rFonts w:ascii="仿宋_GB2312" w:hint="eastAsia"/>
          <w:b/>
          <w:bCs/>
          <w:color w:val="000000" w:themeColor="text1"/>
        </w:rPr>
        <w:t>健全关键信息基础设施识别纳管与</w:t>
      </w:r>
      <w:r>
        <w:rPr>
          <w:rFonts w:ascii="仿宋_GB2312"/>
          <w:b/>
          <w:bCs/>
          <w:color w:val="000000" w:themeColor="text1"/>
        </w:rPr>
        <w:t>分级管控体系</w:t>
      </w:r>
      <w:r>
        <w:rPr>
          <w:rFonts w:ascii="仿宋_GB2312" w:hint="eastAsia"/>
          <w:b/>
          <w:bCs/>
          <w:color w:val="000000" w:themeColor="text1"/>
        </w:rPr>
        <w:t>。</w:t>
      </w:r>
      <w:r>
        <w:rPr>
          <w:rFonts w:ascii="仿宋_GB2312" w:hint="eastAsia"/>
          <w:color w:val="000000" w:themeColor="text1"/>
        </w:rPr>
        <w:t>立足数字政府高强度运行与数据要素规模化流通需求，完善关键信息基础设施安全治理总体架构，建立与国家、省、市安全保护要求相衔接的识别认定、清单管理、动态调整和责任落实机制，形成边界清晰、权责明确、协同高效的</w:t>
      </w:r>
      <w:r>
        <w:rPr>
          <w:rFonts w:ascii="仿宋_GB2312"/>
          <w:color w:val="000000" w:themeColor="text1"/>
        </w:rPr>
        <w:lastRenderedPageBreak/>
        <w:t>分类纳管、分级管控</w:t>
      </w:r>
      <w:r>
        <w:rPr>
          <w:rFonts w:ascii="仿宋_GB2312" w:hint="eastAsia"/>
          <w:color w:val="000000" w:themeColor="text1"/>
        </w:rPr>
        <w:t>格局。聚焦电子政务等重点领域，统筹将承载关键政务业务运行、重要数据处理与流通支撑的核心系统纳入重点保护范围，包括政务网络及关键链路、政务云、数据中心与可信数据流通等关键设施，系统化推动保护对象可识别、保护范围可界定、主体责任可压实、监督管理可闭环。</w:t>
      </w:r>
    </w:p>
    <w:bookmarkEnd w:id="31"/>
    <w:p w14:paraId="260CF7AD" w14:textId="77777777" w:rsidR="009D5DEA" w:rsidRDefault="00000000">
      <w:pPr>
        <w:spacing w:after="0" w:line="560" w:lineRule="exact"/>
        <w:ind w:firstLineChars="200" w:firstLine="643"/>
        <w:rPr>
          <w:rFonts w:ascii="仿宋_GB2312"/>
          <w:b/>
          <w:bCs/>
          <w:color w:val="000000" w:themeColor="text1"/>
        </w:rPr>
      </w:pPr>
      <w:r>
        <w:rPr>
          <w:rFonts w:ascii="仿宋_GB2312" w:hint="eastAsia"/>
          <w:b/>
          <w:bCs/>
          <w:color w:val="000000" w:themeColor="text1"/>
        </w:rPr>
        <w:t>构建重点保护导向的安全能力提升路径。</w:t>
      </w:r>
      <w:r>
        <w:rPr>
          <w:rFonts w:ascii="仿宋_GB2312" w:hint="eastAsia"/>
          <w:color w:val="000000" w:themeColor="text1"/>
        </w:rPr>
        <w:t>坚持系统观念与底线思维，突出“重点保护、体系防护、韧性恢复”导向，推动</w:t>
      </w:r>
      <w:r>
        <w:rPr>
          <w:rFonts w:ascii="仿宋_GB2312"/>
          <w:color w:val="000000" w:themeColor="text1"/>
        </w:rPr>
        <w:t>安全要求嵌入业务系统规划建设与运行管理全过程</w:t>
      </w:r>
      <w:r>
        <w:rPr>
          <w:rFonts w:ascii="仿宋_GB2312" w:hint="eastAsia"/>
          <w:color w:val="000000" w:themeColor="text1"/>
        </w:rPr>
        <w:t>，促进安全能力由静态合</w:t>
      </w:r>
      <w:proofErr w:type="gramStart"/>
      <w:r>
        <w:rPr>
          <w:rFonts w:ascii="仿宋_GB2312" w:hint="eastAsia"/>
          <w:color w:val="000000" w:themeColor="text1"/>
        </w:rPr>
        <w:t>规</w:t>
      </w:r>
      <w:proofErr w:type="gramEnd"/>
      <w:r>
        <w:rPr>
          <w:rFonts w:ascii="仿宋_GB2312" w:hint="eastAsia"/>
          <w:color w:val="000000" w:themeColor="text1"/>
        </w:rPr>
        <w:t>向动态防护、由边界防护向内生安全、由单点防护向体系韧性演进。面向复杂威胁与开放协同环境，构建动态全面的安全保障体系，形成标准化、多层次、全方位的安全防护框架，系统保障关键信息基础设施相关的网络、算力、数据、应用安全。围绕监测预警、风险</w:t>
      </w:r>
      <w:proofErr w:type="gramStart"/>
      <w:r>
        <w:rPr>
          <w:rFonts w:ascii="仿宋_GB2312" w:hint="eastAsia"/>
          <w:color w:val="000000" w:themeColor="text1"/>
        </w:rPr>
        <w:t>研</w:t>
      </w:r>
      <w:proofErr w:type="gramEnd"/>
      <w:r>
        <w:rPr>
          <w:rFonts w:ascii="仿宋_GB2312" w:hint="eastAsia"/>
          <w:color w:val="000000" w:themeColor="text1"/>
        </w:rPr>
        <w:t>判、协同处置、韧性恢复等关键能力，</w:t>
      </w:r>
      <w:proofErr w:type="gramStart"/>
      <w:r>
        <w:rPr>
          <w:rFonts w:ascii="仿宋_GB2312" w:hint="eastAsia"/>
          <w:color w:val="000000" w:themeColor="text1"/>
        </w:rPr>
        <w:t>健全跨</w:t>
      </w:r>
      <w:proofErr w:type="gramEnd"/>
      <w:r>
        <w:rPr>
          <w:rFonts w:ascii="仿宋_GB2312" w:hint="eastAsia"/>
          <w:color w:val="000000" w:themeColor="text1"/>
        </w:rPr>
        <w:t>层级、跨部门联动响应与业务连续性保障机制，提升重大活动保障、突发事件和极端场景下的快速恢复与稳定运行水平。</w:t>
      </w:r>
    </w:p>
    <w:p w14:paraId="5A86710D" w14:textId="77777777" w:rsidR="009D5DEA" w:rsidRDefault="00000000">
      <w:pPr>
        <w:pStyle w:val="3"/>
        <w:widowControl/>
        <w:numPr>
          <w:ilvl w:val="0"/>
          <w:numId w:val="9"/>
        </w:numPr>
        <w:spacing w:before="0" w:after="0" w:line="560" w:lineRule="exact"/>
        <w:rPr>
          <w:rFonts w:ascii="仿宋" w:eastAsia="仿宋_GB2312" w:hAnsi="仿宋" w:cs="宋体" w:hint="eastAsia"/>
          <w:b/>
          <w:bCs/>
          <w:color w:val="auto"/>
          <w:kern w:val="0"/>
        </w:rPr>
      </w:pPr>
      <w:bookmarkStart w:id="32" w:name="_Toc220337781"/>
      <w:r>
        <w:rPr>
          <w:rFonts w:ascii="仿宋" w:eastAsia="仿宋_GB2312" w:hAnsi="仿宋" w:cs="宋体" w:hint="eastAsia"/>
          <w:b/>
          <w:bCs/>
          <w:color w:val="auto"/>
          <w:kern w:val="0"/>
        </w:rPr>
        <w:t>落实网络安全标准规范要求</w:t>
      </w:r>
      <w:bookmarkEnd w:id="32"/>
    </w:p>
    <w:p w14:paraId="72ABEB51" w14:textId="77777777" w:rsidR="009D5DEA" w:rsidRDefault="00000000">
      <w:pPr>
        <w:spacing w:after="0" w:line="560" w:lineRule="exact"/>
        <w:ind w:firstLineChars="200" w:firstLine="643"/>
        <w:rPr>
          <w:color w:val="000000" w:themeColor="text1"/>
        </w:rPr>
      </w:pPr>
      <w:proofErr w:type="gramStart"/>
      <w:r>
        <w:rPr>
          <w:rFonts w:hint="eastAsia"/>
          <w:b/>
          <w:bCs/>
          <w:color w:val="000000" w:themeColor="text1"/>
        </w:rPr>
        <w:t>构建全</w:t>
      </w:r>
      <w:proofErr w:type="gramEnd"/>
      <w:r>
        <w:rPr>
          <w:rFonts w:hint="eastAsia"/>
          <w:b/>
          <w:bCs/>
          <w:color w:val="000000" w:themeColor="text1"/>
        </w:rPr>
        <w:t>生命周期网络安全标准体系与统一安全基线。</w:t>
      </w:r>
      <w:r>
        <w:rPr>
          <w:rFonts w:hint="eastAsia"/>
          <w:color w:val="000000" w:themeColor="text1"/>
        </w:rPr>
        <w:t>坚持以标准为牵引、以体系化治理为抓手，将网络安全要求前置嵌入政务信息化项目全生命周期，形成面向全区的一体化安全标准体系</w:t>
      </w:r>
      <w:r>
        <w:rPr>
          <w:color w:val="000000" w:themeColor="text1"/>
        </w:rPr>
        <w:t>，实现安全与业务同步规划、同步建设、同步运行。</w:t>
      </w:r>
      <w:r>
        <w:rPr>
          <w:rFonts w:hint="eastAsia"/>
          <w:color w:val="000000" w:themeColor="text1"/>
        </w:rPr>
        <w:t>以网络安全等级保护为基础遵循，统筹衔</w:t>
      </w:r>
      <w:r>
        <w:rPr>
          <w:rFonts w:hint="eastAsia"/>
          <w:color w:val="000000" w:themeColor="text1"/>
        </w:rPr>
        <w:lastRenderedPageBreak/>
        <w:t>接关键信息基础设施保护、密码应用、</w:t>
      </w:r>
      <w:proofErr w:type="gramStart"/>
      <w:r>
        <w:rPr>
          <w:rFonts w:hint="eastAsia"/>
          <w:color w:val="000000" w:themeColor="text1"/>
        </w:rPr>
        <w:t>信创改造</w:t>
      </w:r>
      <w:proofErr w:type="gramEnd"/>
      <w:r>
        <w:rPr>
          <w:rFonts w:hint="eastAsia"/>
          <w:color w:val="000000" w:themeColor="text1"/>
        </w:rPr>
        <w:t>等要求，健全覆盖制度规范、技术要求、管理流程与责任分工的统一安全基线体系，推动安全建设由“项目合规”向“体系合规”升级，夯实全区网络安全工作的一致性基础与可持续演进能力。</w:t>
      </w:r>
    </w:p>
    <w:p w14:paraId="486F7C55" w14:textId="77777777" w:rsidR="009D5DEA" w:rsidRDefault="00000000">
      <w:pPr>
        <w:spacing w:after="0" w:line="560" w:lineRule="exact"/>
        <w:ind w:firstLineChars="200" w:firstLine="643"/>
        <w:rPr>
          <w:color w:val="000000" w:themeColor="text1"/>
        </w:rPr>
      </w:pPr>
      <w:r>
        <w:rPr>
          <w:rFonts w:hint="eastAsia"/>
          <w:b/>
          <w:bCs/>
          <w:color w:val="000000" w:themeColor="text1"/>
        </w:rPr>
        <w:t>健全标准落地、动态评估与滚动迭代机制。</w:t>
      </w:r>
      <w:r>
        <w:rPr>
          <w:rFonts w:hint="eastAsia"/>
          <w:color w:val="000000" w:themeColor="text1"/>
        </w:rPr>
        <w:t>建立“标准落地—统一落实—动态评估—持续迭代”的闭环机制，增强标准执行的可操作、可检验、可追溯属性。将统一目录标识、统一身份登记、统一接口要求等互联互通基础规范，固化为系统接入、接口调用、共享交换与安全审计的重要依据，提升跨平台协同的一致性、可控性与可追溯性。完善常态化评估与滚动优化机制，推动关键系统安全能力持续迭代升级，实现安全标准“可执行、可评估、可改进”，以标准化引领安全能力现代化，更好支撑数字政府集约高效运行与数据要素安全可信流通。</w:t>
      </w:r>
    </w:p>
    <w:p w14:paraId="7801B718" w14:textId="77777777" w:rsidR="009D5DEA" w:rsidRDefault="00000000">
      <w:pPr>
        <w:pStyle w:val="3"/>
        <w:widowControl/>
        <w:numPr>
          <w:ilvl w:val="0"/>
          <w:numId w:val="9"/>
        </w:numPr>
        <w:spacing w:before="0" w:after="0" w:line="560" w:lineRule="exact"/>
        <w:rPr>
          <w:rFonts w:ascii="仿宋" w:eastAsia="仿宋_GB2312" w:hAnsi="仿宋" w:cs="宋体" w:hint="eastAsia"/>
          <w:b/>
          <w:bCs/>
          <w:color w:val="auto"/>
          <w:kern w:val="0"/>
        </w:rPr>
      </w:pPr>
      <w:bookmarkStart w:id="33" w:name="_Toc220337782"/>
      <w:r>
        <w:rPr>
          <w:rFonts w:ascii="仿宋" w:eastAsia="仿宋_GB2312" w:hAnsi="仿宋" w:cs="宋体" w:hint="eastAsia"/>
          <w:b/>
          <w:bCs/>
          <w:color w:val="auto"/>
          <w:kern w:val="0"/>
        </w:rPr>
        <w:t>完善</w:t>
      </w:r>
      <w:r>
        <w:rPr>
          <w:rFonts w:ascii="仿宋" w:eastAsia="仿宋_GB2312" w:hAnsi="仿宋" w:cs="宋体"/>
          <w:b/>
          <w:bCs/>
          <w:color w:val="auto"/>
          <w:kern w:val="0"/>
        </w:rPr>
        <w:t>数据安全治理防护</w:t>
      </w:r>
      <w:r>
        <w:rPr>
          <w:rFonts w:ascii="仿宋" w:eastAsia="仿宋_GB2312" w:hAnsi="仿宋" w:cs="宋体" w:hint="eastAsia"/>
          <w:b/>
          <w:bCs/>
          <w:color w:val="auto"/>
          <w:kern w:val="0"/>
        </w:rPr>
        <w:t>措施</w:t>
      </w:r>
      <w:bookmarkEnd w:id="33"/>
    </w:p>
    <w:p w14:paraId="74DA1B56" w14:textId="77777777" w:rsidR="009D5DEA" w:rsidRDefault="00000000">
      <w:pPr>
        <w:spacing w:after="0" w:line="560" w:lineRule="exact"/>
        <w:ind w:firstLineChars="200" w:firstLine="643"/>
      </w:pPr>
      <w:r>
        <w:rPr>
          <w:b/>
          <w:bCs/>
        </w:rPr>
        <w:t>推动数据条例落地</w:t>
      </w:r>
      <w:r>
        <w:rPr>
          <w:rFonts w:hint="eastAsia"/>
          <w:b/>
          <w:bCs/>
        </w:rPr>
        <w:t>。</w:t>
      </w:r>
      <w:r>
        <w:rPr>
          <w:rFonts w:hint="eastAsia"/>
        </w:rPr>
        <w:t>加快推动《深圳经济特区数据条例》在</w:t>
      </w:r>
      <w:proofErr w:type="gramStart"/>
      <w:r>
        <w:rPr>
          <w:rFonts w:hint="eastAsia"/>
        </w:rPr>
        <w:t>龙华区</w:t>
      </w:r>
      <w:proofErr w:type="gramEnd"/>
      <w:r>
        <w:rPr>
          <w:rFonts w:hint="eastAsia"/>
        </w:rPr>
        <w:t>全面落地实施，结合实际情况制定配套实施细则，在公共数据开放、数据权属划分、个人信息保护等方面提供可操作的制度支持，保障数据资源合法合</w:t>
      </w:r>
      <w:proofErr w:type="gramStart"/>
      <w:r>
        <w:rPr>
          <w:rFonts w:hint="eastAsia"/>
        </w:rPr>
        <w:t>规</w:t>
      </w:r>
      <w:proofErr w:type="gramEnd"/>
      <w:r>
        <w:rPr>
          <w:rFonts w:hint="eastAsia"/>
        </w:rPr>
        <w:t>使用与安全有序流通。</w:t>
      </w:r>
    </w:p>
    <w:p w14:paraId="6E57A9C0" w14:textId="77777777" w:rsidR="009D5DEA" w:rsidRDefault="00000000">
      <w:pPr>
        <w:spacing w:after="0" w:line="560" w:lineRule="exact"/>
        <w:ind w:firstLineChars="200" w:firstLine="643"/>
      </w:pPr>
      <w:r>
        <w:rPr>
          <w:rFonts w:hint="eastAsia"/>
          <w:b/>
          <w:bCs/>
        </w:rPr>
        <w:t>筑牢安全防护体系。</w:t>
      </w:r>
      <w:r>
        <w:rPr>
          <w:rFonts w:hint="eastAsia"/>
        </w:rPr>
        <w:t>完善区级数据安全管理体系，完善数据分类分级管理和隐私保护制度。</w:t>
      </w:r>
      <w:proofErr w:type="gramStart"/>
      <w:r>
        <w:rPr>
          <w:rFonts w:hint="eastAsia"/>
        </w:rPr>
        <w:t>落实国密改造</w:t>
      </w:r>
      <w:proofErr w:type="gramEnd"/>
      <w:r>
        <w:rPr>
          <w:rFonts w:hint="eastAsia"/>
        </w:rPr>
        <w:t>，完善密码规范化应用，构建数字安全技术支撑体系，积极探</w:t>
      </w:r>
      <w:r>
        <w:rPr>
          <w:rFonts w:hint="eastAsia"/>
        </w:rPr>
        <w:lastRenderedPageBreak/>
        <w:t>索隐私计算、数据沙箱等技术在数据安全保护中的应用，确保数据全生命周期安全可控。</w:t>
      </w:r>
    </w:p>
    <w:p w14:paraId="3418202A" w14:textId="77777777" w:rsidR="009D5DEA" w:rsidRDefault="00000000">
      <w:pPr>
        <w:spacing w:after="0" w:line="560" w:lineRule="exact"/>
        <w:ind w:firstLineChars="200" w:firstLine="643"/>
      </w:pPr>
      <w:r>
        <w:rPr>
          <w:b/>
          <w:bCs/>
        </w:rPr>
        <w:t>规范</w:t>
      </w:r>
      <w:r>
        <w:rPr>
          <w:rFonts w:ascii="仿宋_GB2312" w:hint="eastAsia"/>
          <w:b/>
          <w:bCs/>
        </w:rPr>
        <w:t>AI</w:t>
      </w:r>
      <w:r>
        <w:rPr>
          <w:b/>
          <w:bCs/>
        </w:rPr>
        <w:t>应用安全治理。</w:t>
      </w:r>
      <w:r>
        <w:t>构建内容审核与风险防控机制，确保人工智能技术在政务场景中安全可靠、合</w:t>
      </w:r>
      <w:proofErr w:type="gramStart"/>
      <w:r>
        <w:t>规</w:t>
      </w:r>
      <w:proofErr w:type="gramEnd"/>
      <w:r>
        <w:t>有序地应用，形成数据驱动、智能高效、持续演进的城市人工智能</w:t>
      </w:r>
      <w:r>
        <w:rPr>
          <w:rFonts w:hint="eastAsia"/>
        </w:rPr>
        <w:t>应用安全保障</w:t>
      </w:r>
      <w:r>
        <w:t>。</w:t>
      </w:r>
    </w:p>
    <w:p w14:paraId="1C96B703" w14:textId="77777777" w:rsidR="009D5DEA" w:rsidRDefault="00000000">
      <w:pPr>
        <w:pStyle w:val="3"/>
        <w:widowControl/>
        <w:numPr>
          <w:ilvl w:val="0"/>
          <w:numId w:val="9"/>
        </w:numPr>
        <w:spacing w:before="0" w:after="0" w:line="560" w:lineRule="exact"/>
        <w:rPr>
          <w:rFonts w:ascii="仿宋" w:eastAsia="仿宋_GB2312" w:hAnsi="仿宋" w:cs="宋体" w:hint="eastAsia"/>
          <w:b/>
          <w:bCs/>
          <w:color w:val="auto"/>
          <w:kern w:val="0"/>
        </w:rPr>
      </w:pPr>
      <w:bookmarkStart w:id="34" w:name="_Toc220337783"/>
      <w:r>
        <w:rPr>
          <w:rFonts w:ascii="仿宋" w:eastAsia="仿宋_GB2312" w:hAnsi="仿宋" w:cs="宋体"/>
          <w:b/>
          <w:bCs/>
          <w:color w:val="auto"/>
          <w:kern w:val="0"/>
        </w:rPr>
        <w:t>强化数据隐私与合</w:t>
      </w:r>
      <w:proofErr w:type="gramStart"/>
      <w:r>
        <w:rPr>
          <w:rFonts w:ascii="仿宋" w:eastAsia="仿宋_GB2312" w:hAnsi="仿宋" w:cs="宋体"/>
          <w:b/>
          <w:bCs/>
          <w:color w:val="auto"/>
          <w:kern w:val="0"/>
        </w:rPr>
        <w:t>规</w:t>
      </w:r>
      <w:proofErr w:type="gramEnd"/>
      <w:r>
        <w:rPr>
          <w:rFonts w:ascii="仿宋" w:eastAsia="仿宋_GB2312" w:hAnsi="仿宋" w:cs="宋体"/>
          <w:b/>
          <w:bCs/>
          <w:color w:val="auto"/>
          <w:kern w:val="0"/>
        </w:rPr>
        <w:t>保护</w:t>
      </w:r>
      <w:bookmarkEnd w:id="34"/>
    </w:p>
    <w:p w14:paraId="5CF7BA11" w14:textId="77777777" w:rsidR="009D5DEA" w:rsidRDefault="00000000">
      <w:pPr>
        <w:spacing w:after="0" w:line="560" w:lineRule="exact"/>
        <w:ind w:firstLineChars="200" w:firstLine="643"/>
        <w:rPr>
          <w:rFonts w:ascii="仿宋_GB2312"/>
        </w:rPr>
      </w:pPr>
      <w:r>
        <w:rPr>
          <w:rFonts w:ascii="仿宋_GB2312" w:hint="eastAsia"/>
          <w:b/>
          <w:bCs/>
        </w:rPr>
        <w:t>建立个人信息保护与数据使用边界机制。</w:t>
      </w:r>
      <w:r>
        <w:rPr>
          <w:rFonts w:ascii="仿宋_GB2312" w:hint="eastAsia"/>
        </w:rPr>
        <w:t>全面落实《中华人民共和国数据安全法》《中华人民共和国个人信息保护法》等要求，建立以“最小必要、分类分级、全流程管控”为核心的数据隐私保护制度。探索隐私计算、数据脱敏、数据访问留痕等关键技术应用，构建安全合</w:t>
      </w:r>
      <w:proofErr w:type="gramStart"/>
      <w:r>
        <w:rPr>
          <w:rFonts w:ascii="仿宋_GB2312" w:hint="eastAsia"/>
        </w:rPr>
        <w:t>规</w:t>
      </w:r>
      <w:proofErr w:type="gramEnd"/>
      <w:r>
        <w:rPr>
          <w:rFonts w:ascii="仿宋_GB2312" w:hint="eastAsia"/>
        </w:rPr>
        <w:t>的政务数据使用机制。</w:t>
      </w:r>
    </w:p>
    <w:p w14:paraId="26A9FF0F" w14:textId="77777777" w:rsidR="009D5DEA" w:rsidRDefault="00000000">
      <w:pPr>
        <w:spacing w:after="0" w:line="560" w:lineRule="exact"/>
        <w:ind w:firstLineChars="200" w:firstLine="643"/>
        <w:rPr>
          <w:rFonts w:ascii="仿宋_GB2312"/>
        </w:rPr>
      </w:pPr>
      <w:r>
        <w:rPr>
          <w:rFonts w:ascii="仿宋_GB2312" w:hint="eastAsia"/>
          <w:b/>
          <w:bCs/>
        </w:rPr>
        <w:t>强化数据合</w:t>
      </w:r>
      <w:proofErr w:type="gramStart"/>
      <w:r>
        <w:rPr>
          <w:rFonts w:ascii="仿宋_GB2312" w:hint="eastAsia"/>
          <w:b/>
          <w:bCs/>
        </w:rPr>
        <w:t>规</w:t>
      </w:r>
      <w:proofErr w:type="gramEnd"/>
      <w:r>
        <w:rPr>
          <w:rFonts w:ascii="仿宋_GB2312" w:hint="eastAsia"/>
          <w:b/>
          <w:bCs/>
        </w:rPr>
        <w:t>监管与跨境管理。</w:t>
      </w:r>
      <w:r>
        <w:rPr>
          <w:rFonts w:ascii="仿宋_GB2312" w:hint="eastAsia"/>
        </w:rPr>
        <w:t>贯彻《网络数据安全管理条例》等法规要求，重点推进网络数据出境安全管理，督促网络平台和数据运营机构完善安全管理体系，定期开展合</w:t>
      </w:r>
      <w:proofErr w:type="gramStart"/>
      <w:r>
        <w:rPr>
          <w:rFonts w:ascii="仿宋_GB2312" w:hint="eastAsia"/>
        </w:rPr>
        <w:t>规</w:t>
      </w:r>
      <w:proofErr w:type="gramEnd"/>
      <w:r>
        <w:rPr>
          <w:rFonts w:ascii="仿宋_GB2312" w:hint="eastAsia"/>
        </w:rPr>
        <w:t>审计和风险评估。</w:t>
      </w:r>
    </w:p>
    <w:p w14:paraId="62AAB6F7" w14:textId="77777777" w:rsidR="009D5DEA" w:rsidRDefault="00000000">
      <w:pPr>
        <w:pStyle w:val="1"/>
        <w:numPr>
          <w:ilvl w:val="0"/>
          <w:numId w:val="1"/>
        </w:numPr>
        <w:spacing w:before="0" w:after="0" w:line="560" w:lineRule="exact"/>
        <w:rPr>
          <w:rFonts w:ascii="黑体" w:eastAsia="黑体" w:hAnsi="黑体" w:hint="eastAsia"/>
          <w:color w:val="000000" w:themeColor="text1"/>
          <w:sz w:val="32"/>
          <w:szCs w:val="32"/>
        </w:rPr>
      </w:pPr>
      <w:bookmarkStart w:id="35" w:name="_Toc220337784"/>
      <w:r>
        <w:rPr>
          <w:rFonts w:ascii="黑体" w:eastAsia="黑体" w:hAnsi="黑体" w:hint="eastAsia"/>
          <w:color w:val="000000" w:themeColor="text1"/>
          <w:sz w:val="32"/>
          <w:szCs w:val="32"/>
        </w:rPr>
        <w:t>打造</w:t>
      </w:r>
      <w:proofErr w:type="gramStart"/>
      <w:r>
        <w:rPr>
          <w:rFonts w:ascii="黑体" w:eastAsia="黑体" w:hAnsi="黑体" w:hint="eastAsia"/>
          <w:color w:val="000000" w:themeColor="text1"/>
          <w:sz w:val="32"/>
          <w:szCs w:val="32"/>
        </w:rPr>
        <w:t>数智发展</w:t>
      </w:r>
      <w:proofErr w:type="gramEnd"/>
      <w:r>
        <w:rPr>
          <w:rFonts w:ascii="黑体" w:eastAsia="黑体" w:hAnsi="黑体" w:hint="eastAsia"/>
          <w:color w:val="000000" w:themeColor="text1"/>
          <w:sz w:val="32"/>
          <w:szCs w:val="32"/>
        </w:rPr>
        <w:t>中枢，</w:t>
      </w:r>
      <w:proofErr w:type="gramStart"/>
      <w:r>
        <w:rPr>
          <w:rFonts w:ascii="黑体" w:eastAsia="黑体" w:hAnsi="黑体" w:hint="eastAsia"/>
          <w:color w:val="000000" w:themeColor="text1"/>
          <w:sz w:val="32"/>
          <w:szCs w:val="32"/>
        </w:rPr>
        <w:t>夯实数智发展</w:t>
      </w:r>
      <w:proofErr w:type="gramEnd"/>
      <w:r>
        <w:rPr>
          <w:rFonts w:ascii="黑体" w:eastAsia="黑体" w:hAnsi="黑体" w:hint="eastAsia"/>
          <w:color w:val="000000" w:themeColor="text1"/>
          <w:sz w:val="32"/>
          <w:szCs w:val="32"/>
        </w:rPr>
        <w:t>根基</w:t>
      </w:r>
      <w:bookmarkEnd w:id="35"/>
    </w:p>
    <w:p w14:paraId="4A3A1DBD" w14:textId="77777777" w:rsidR="009D5DEA" w:rsidRDefault="00000000">
      <w:pPr>
        <w:pStyle w:val="2"/>
        <w:numPr>
          <w:ilvl w:val="0"/>
          <w:numId w:val="10"/>
        </w:numPr>
        <w:spacing w:before="0" w:after="0" w:line="560" w:lineRule="exact"/>
        <w:rPr>
          <w:rFonts w:ascii="楷体_GB2312" w:eastAsia="楷体_GB2312" w:hAnsi="黑体" w:hint="eastAsia"/>
          <w:color w:val="000000" w:themeColor="text1"/>
          <w:sz w:val="32"/>
          <w:szCs w:val="32"/>
        </w:rPr>
      </w:pPr>
      <w:bookmarkStart w:id="36" w:name="_Toc220337785"/>
      <w:r>
        <w:rPr>
          <w:rFonts w:ascii="楷体_GB2312" w:eastAsia="楷体_GB2312" w:hAnsi="黑体" w:hint="eastAsia"/>
          <w:color w:val="000000" w:themeColor="text1"/>
          <w:sz w:val="32"/>
          <w:szCs w:val="32"/>
        </w:rPr>
        <w:t>强化数字孪生支撑体系</w:t>
      </w:r>
      <w:bookmarkEnd w:id="36"/>
    </w:p>
    <w:p w14:paraId="3293A6BD" w14:textId="77777777" w:rsidR="009D5DEA" w:rsidRDefault="00000000">
      <w:pPr>
        <w:pStyle w:val="3"/>
        <w:widowControl/>
        <w:numPr>
          <w:ilvl w:val="0"/>
          <w:numId w:val="11"/>
        </w:numPr>
        <w:spacing w:before="0" w:after="0" w:line="560" w:lineRule="exact"/>
        <w:rPr>
          <w:rFonts w:ascii="仿宋" w:eastAsia="仿宋_GB2312" w:hAnsi="仿宋" w:cs="宋体" w:hint="eastAsia"/>
          <w:b/>
          <w:bCs/>
          <w:color w:val="auto"/>
          <w:kern w:val="0"/>
        </w:rPr>
      </w:pPr>
      <w:bookmarkStart w:id="37" w:name="_Toc220337786"/>
      <w:r>
        <w:rPr>
          <w:rFonts w:ascii="仿宋" w:eastAsia="仿宋_GB2312" w:hAnsi="仿宋" w:cs="宋体" w:hint="eastAsia"/>
          <w:b/>
          <w:bCs/>
          <w:color w:val="auto"/>
          <w:kern w:val="0"/>
        </w:rPr>
        <w:t>深化全域全信</w:t>
      </w:r>
      <w:proofErr w:type="gramStart"/>
      <w:r>
        <w:rPr>
          <w:rFonts w:ascii="仿宋" w:eastAsia="仿宋_GB2312" w:hAnsi="仿宋" w:cs="宋体" w:hint="eastAsia"/>
          <w:b/>
          <w:bCs/>
          <w:color w:val="auto"/>
          <w:kern w:val="0"/>
        </w:rPr>
        <w:t>创数字</w:t>
      </w:r>
      <w:proofErr w:type="gramEnd"/>
      <w:r>
        <w:rPr>
          <w:rFonts w:ascii="仿宋" w:eastAsia="仿宋_GB2312" w:hAnsi="仿宋" w:cs="宋体" w:hint="eastAsia"/>
          <w:b/>
          <w:bCs/>
          <w:color w:val="auto"/>
          <w:kern w:val="0"/>
        </w:rPr>
        <w:t>孪生</w:t>
      </w:r>
      <w:bookmarkEnd w:id="37"/>
    </w:p>
    <w:p w14:paraId="65707AA6" w14:textId="77777777" w:rsidR="009D5DEA" w:rsidRDefault="00000000">
      <w:pPr>
        <w:spacing w:after="0" w:line="560" w:lineRule="exact"/>
        <w:ind w:firstLineChars="200" w:firstLine="640"/>
      </w:pPr>
      <w:r>
        <w:rPr>
          <w:rFonts w:hint="eastAsia"/>
        </w:rPr>
        <w:t>以打造全域全要素覆盖的</w:t>
      </w:r>
      <w:proofErr w:type="gramStart"/>
      <w:r>
        <w:rPr>
          <w:rFonts w:hint="eastAsia"/>
        </w:rPr>
        <w:t>数智孪生</w:t>
      </w:r>
      <w:proofErr w:type="gramEnd"/>
      <w:r>
        <w:rPr>
          <w:rFonts w:hint="eastAsia"/>
        </w:rPr>
        <w:t>底座为核心，依托龙华区“鸿蒙</w:t>
      </w:r>
      <w:r>
        <w:rPr>
          <w:rFonts w:hint="eastAsia"/>
        </w:rPr>
        <w:t>+</w:t>
      </w:r>
      <w:r>
        <w:rPr>
          <w:rFonts w:hint="eastAsia"/>
        </w:rPr>
        <w:t>昇腾”双生态城市级数字孪生平台，</w:t>
      </w:r>
      <w:r>
        <w:rPr>
          <w:rFonts w:ascii="仿宋_GB2312" w:hAnsi="仿宋_GB2312" w:cs="仿宋_GB2312" w:hint="eastAsia"/>
        </w:rPr>
        <w:t>持续完善“1”</w:t>
      </w:r>
      <w:proofErr w:type="gramStart"/>
      <w:r>
        <w:rPr>
          <w:rFonts w:ascii="仿宋_GB2312" w:hAnsi="仿宋_GB2312" w:cs="仿宋_GB2312" w:hint="eastAsia"/>
        </w:rPr>
        <w:t>个</w:t>
      </w:r>
      <w:proofErr w:type="gramEnd"/>
      <w:r>
        <w:rPr>
          <w:rFonts w:ascii="仿宋_GB2312" w:hAnsi="仿宋_GB2312" w:cs="仿宋_GB2312" w:hint="eastAsia"/>
        </w:rPr>
        <w:t>数字孪生底座</w:t>
      </w:r>
      <w:r>
        <w:rPr>
          <w:rFonts w:hint="eastAsia"/>
        </w:rPr>
        <w:t>，</w:t>
      </w:r>
      <w:r>
        <w:rPr>
          <w:rFonts w:ascii="仿宋_GB2312" w:hAnsi="仿宋_GB2312" w:cs="仿宋_GB2312" w:hint="eastAsia"/>
        </w:rPr>
        <w:t>增强全域全信</w:t>
      </w:r>
      <w:proofErr w:type="gramStart"/>
      <w:r>
        <w:rPr>
          <w:rFonts w:ascii="仿宋_GB2312" w:hAnsi="仿宋_GB2312" w:cs="仿宋_GB2312" w:hint="eastAsia"/>
        </w:rPr>
        <w:t>创数字孪生城市</w:t>
      </w:r>
      <w:proofErr w:type="gramEnd"/>
      <w:r>
        <w:rPr>
          <w:rFonts w:ascii="仿宋_GB2312" w:hAnsi="仿宋_GB2312" w:cs="仿宋_GB2312" w:hint="eastAsia"/>
        </w:rPr>
        <w:t>平台基础能力，</w:t>
      </w:r>
      <w:r>
        <w:rPr>
          <w:rFonts w:ascii="仿宋_GB2312" w:hAnsi="仿宋_GB2312" w:cs="仿宋_GB2312"/>
        </w:rPr>
        <w:t>推进平台架构优化和功能完善</w:t>
      </w:r>
      <w:r>
        <w:rPr>
          <w:rFonts w:ascii="仿宋_GB2312" w:hAnsi="仿宋_GB2312" w:cs="仿宋_GB2312" w:hint="eastAsia"/>
        </w:rPr>
        <w:t>，</w:t>
      </w:r>
      <w:r>
        <w:rPr>
          <w:rFonts w:ascii="仿宋_GB2312" w:hAnsi="仿宋_GB2312" w:cs="仿宋_GB2312"/>
        </w:rPr>
        <w:t>重点提升平</w:t>
      </w:r>
      <w:r>
        <w:rPr>
          <w:rFonts w:ascii="仿宋_GB2312" w:hAnsi="仿宋_GB2312" w:cs="仿宋_GB2312"/>
        </w:rPr>
        <w:lastRenderedPageBreak/>
        <w:t>台在高并发场景下的稳定性和响应效率，不断扩大高精度三维模型覆盖范围，深化BIM数据与实时感知数据的融合应用。</w:t>
      </w:r>
      <w:r>
        <w:rPr>
          <w:rFonts w:ascii="仿宋_GB2312" w:hAnsi="仿宋_GB2312" w:cs="仿宋_GB2312" w:hint="eastAsia"/>
        </w:rPr>
        <w:t>构建区、街道、社区三级全域数字孪生体系结构，完善底座与服务模式，聚焦数据融合、业务协同与场景创新，赋能社会治理与低空经济，提升城市治理效能，深化数字孪生平台数据融合应用，通过持续的技术迭代和功能扩展，</w:t>
      </w:r>
      <w:r>
        <w:rPr>
          <w:rFonts w:ascii="仿宋_GB2312" w:hAnsi="仿宋_GB2312" w:cs="仿宋_GB2312"/>
        </w:rPr>
        <w:t>为城市治理、公共服务和产业发展提供了统一、智能、可靠的数字空间底座支撑。</w:t>
      </w:r>
    </w:p>
    <w:p w14:paraId="271E11EA" w14:textId="77777777" w:rsidR="009D5DEA" w:rsidRDefault="00000000">
      <w:pPr>
        <w:pStyle w:val="3"/>
        <w:widowControl/>
        <w:numPr>
          <w:ilvl w:val="0"/>
          <w:numId w:val="11"/>
        </w:numPr>
        <w:spacing w:before="0" w:after="0" w:line="560" w:lineRule="exact"/>
        <w:rPr>
          <w:rFonts w:ascii="仿宋" w:eastAsia="仿宋_GB2312" w:hAnsi="仿宋" w:cs="宋体" w:hint="eastAsia"/>
          <w:b/>
          <w:bCs/>
          <w:color w:val="auto"/>
          <w:kern w:val="0"/>
        </w:rPr>
      </w:pPr>
      <w:bookmarkStart w:id="38" w:name="_Toc220337787"/>
      <w:r>
        <w:rPr>
          <w:rFonts w:ascii="仿宋" w:eastAsia="仿宋_GB2312" w:hAnsi="仿宋" w:cs="宋体"/>
          <w:b/>
          <w:bCs/>
          <w:color w:val="auto"/>
          <w:kern w:val="0"/>
        </w:rPr>
        <w:t>构建</w:t>
      </w:r>
      <w:proofErr w:type="gramStart"/>
      <w:r>
        <w:rPr>
          <w:rFonts w:ascii="仿宋" w:eastAsia="仿宋_GB2312" w:hAnsi="仿宋" w:cs="宋体" w:hint="eastAsia"/>
          <w:b/>
          <w:bCs/>
          <w:color w:val="auto"/>
          <w:kern w:val="0"/>
        </w:rPr>
        <w:t>龙华区</w:t>
      </w:r>
      <w:proofErr w:type="gramEnd"/>
      <w:r>
        <w:rPr>
          <w:rFonts w:ascii="仿宋" w:eastAsia="仿宋_GB2312" w:hAnsi="仿宋" w:cs="宋体" w:hint="eastAsia"/>
          <w:b/>
          <w:bCs/>
          <w:color w:val="auto"/>
          <w:kern w:val="0"/>
        </w:rPr>
        <w:t>时空信息底座</w:t>
      </w:r>
      <w:bookmarkEnd w:id="38"/>
    </w:p>
    <w:p w14:paraId="47A20F28" w14:textId="77777777" w:rsidR="009D5DEA" w:rsidRDefault="00000000">
      <w:pPr>
        <w:spacing w:after="0" w:line="560" w:lineRule="exact"/>
        <w:ind w:firstLineChars="200" w:firstLine="643"/>
      </w:pPr>
      <w:r>
        <w:rPr>
          <w:rFonts w:hint="eastAsia"/>
          <w:b/>
          <w:bCs/>
        </w:rPr>
        <w:t>健全空间地理数据汇聚更新机制。</w:t>
      </w:r>
      <w:r>
        <w:rPr>
          <w:rFonts w:hint="eastAsia"/>
        </w:rPr>
        <w:t>推动建设区级“全域立体感知、数据实时更新、信息动态融合”的城市空间数据底座，并与市级平台对接。通过平台持续汇聚和优化</w:t>
      </w:r>
      <w:proofErr w:type="gramStart"/>
      <w:r>
        <w:rPr>
          <w:rFonts w:hint="eastAsia"/>
        </w:rPr>
        <w:t>龙华区</w:t>
      </w:r>
      <w:proofErr w:type="gramEnd"/>
      <w:r>
        <w:rPr>
          <w:rFonts w:hint="eastAsia"/>
        </w:rPr>
        <w:t>全域</w:t>
      </w:r>
      <w:r>
        <w:rPr>
          <w:rFonts w:ascii="仿宋_GB2312" w:hint="eastAsia"/>
        </w:rPr>
        <w:t>176</w:t>
      </w:r>
      <w:r>
        <w:rPr>
          <w:rFonts w:hint="eastAsia"/>
        </w:rPr>
        <w:t>平方公里高精度模型，不断更新接入重点建筑、道路桥梁、地下管网管线等关键对象的</w:t>
      </w:r>
      <w:r>
        <w:rPr>
          <w:rFonts w:ascii="仿宋_GB2312" w:hint="eastAsia"/>
        </w:rPr>
        <w:t>BIM</w:t>
      </w:r>
      <w:r>
        <w:rPr>
          <w:rFonts w:hint="eastAsia"/>
        </w:rPr>
        <w:t>数据，融合三维实景和多源传感器实时数据，构建空间地理数据与物理世界对象及动态事件之间精确映射和联动机制，积极应用</w:t>
      </w:r>
      <w:r>
        <w:rPr>
          <w:rFonts w:ascii="仿宋_GB2312" w:hint="eastAsia"/>
        </w:rPr>
        <w:t>“高斯泼溅（3DGS）</w:t>
      </w:r>
      <w:r>
        <w:rPr>
          <w:rFonts w:hint="eastAsia"/>
        </w:rPr>
        <w:t>”等前沿三维重建技术，基于</w:t>
      </w:r>
      <w:r>
        <w:rPr>
          <w:rFonts w:ascii="仿宋_GB2312" w:hint="eastAsia"/>
        </w:rPr>
        <w:t>“华为+昇腾”</w:t>
      </w:r>
      <w:r>
        <w:rPr>
          <w:rFonts w:hint="eastAsia"/>
        </w:rPr>
        <w:t>技术生态，持续优化模型构建与更新效率的时效及降低建模成本，实现从传统</w:t>
      </w:r>
      <w:r>
        <w:rPr>
          <w:rFonts w:ascii="仿宋_GB2312" w:hint="eastAsia"/>
        </w:rPr>
        <w:t>“静态GIS图层”向现代“动态数字孪生体”的升级。</w:t>
      </w:r>
    </w:p>
    <w:p w14:paraId="2F2C4082" w14:textId="77777777" w:rsidR="009D5DEA" w:rsidRDefault="00000000">
      <w:pPr>
        <w:spacing w:after="0" w:line="560" w:lineRule="exact"/>
        <w:ind w:firstLineChars="200" w:firstLine="643"/>
        <w:rPr>
          <w:b/>
          <w:bCs/>
        </w:rPr>
      </w:pPr>
      <w:r>
        <w:rPr>
          <w:rFonts w:hint="eastAsia"/>
          <w:b/>
          <w:bCs/>
        </w:rPr>
        <w:t>部署多维度智能感知设施网络。</w:t>
      </w:r>
      <w:r>
        <w:rPr>
          <w:rFonts w:hint="eastAsia"/>
        </w:rPr>
        <w:t>积极探索智能视频监控系统、激光雷达设备、遥感卫星数据应用等前沿感知设施的落地应用。在交通枢纽、城市要地、地下空间等关键区域，构建区级“智能感知神经网络”，探索</w:t>
      </w:r>
      <w:r>
        <w:rPr>
          <w:rFonts w:hint="eastAsia"/>
        </w:rPr>
        <w:lastRenderedPageBreak/>
        <w:t>“</w:t>
      </w:r>
      <w:r>
        <w:rPr>
          <w:rFonts w:ascii="仿宋_GB2312" w:hint="eastAsia"/>
        </w:rPr>
        <w:t>CIM+GIS+BIM+数字孪生+</w:t>
      </w:r>
      <w:r>
        <w:rPr>
          <w:rFonts w:hint="eastAsia"/>
        </w:rPr>
        <w:t>物联网”等技术整合模式，提升对各类突发事件、重要设备状态、复杂环境变化的实时监测与精准感知能力，实现物理世界各种状态信息的实时在线感知与精确映射，夯实数字城市的感知基础。</w:t>
      </w:r>
    </w:p>
    <w:p w14:paraId="4FB37FEF" w14:textId="77777777" w:rsidR="009D5DEA" w:rsidRDefault="00000000">
      <w:pPr>
        <w:pStyle w:val="3"/>
        <w:widowControl/>
        <w:numPr>
          <w:ilvl w:val="0"/>
          <w:numId w:val="11"/>
        </w:numPr>
        <w:spacing w:before="0" w:after="0" w:line="560" w:lineRule="exact"/>
        <w:rPr>
          <w:rFonts w:ascii="仿宋" w:eastAsia="仿宋_GB2312" w:hAnsi="仿宋" w:cs="宋体" w:hint="eastAsia"/>
          <w:b/>
          <w:bCs/>
          <w:color w:val="auto"/>
          <w:kern w:val="0"/>
        </w:rPr>
      </w:pPr>
      <w:bookmarkStart w:id="39" w:name="_Toc220337788"/>
      <w:r>
        <w:rPr>
          <w:rFonts w:ascii="仿宋" w:eastAsia="仿宋_GB2312" w:hAnsi="仿宋" w:cs="宋体" w:hint="eastAsia"/>
          <w:b/>
          <w:bCs/>
          <w:color w:val="auto"/>
          <w:kern w:val="0"/>
        </w:rPr>
        <w:t>打造自进化数字孪生引擎</w:t>
      </w:r>
      <w:bookmarkEnd w:id="39"/>
    </w:p>
    <w:p w14:paraId="343FE352" w14:textId="77777777" w:rsidR="009D5DEA" w:rsidRDefault="00000000">
      <w:pPr>
        <w:spacing w:after="0" w:line="560" w:lineRule="exact"/>
        <w:ind w:firstLineChars="200" w:firstLine="643"/>
      </w:pPr>
      <w:r>
        <w:rPr>
          <w:b/>
          <w:bCs/>
        </w:rPr>
        <w:t>构建自进化</w:t>
      </w:r>
      <w:r>
        <w:rPr>
          <w:rFonts w:hint="eastAsia"/>
          <w:b/>
          <w:bCs/>
        </w:rPr>
        <w:t>数字</w:t>
      </w:r>
      <w:r>
        <w:rPr>
          <w:b/>
          <w:bCs/>
        </w:rPr>
        <w:t>孪生闭环</w:t>
      </w:r>
      <w:r>
        <w:rPr>
          <w:rFonts w:hint="eastAsia"/>
          <w:b/>
          <w:bCs/>
        </w:rPr>
        <w:t>。</w:t>
      </w:r>
      <w:r>
        <w:t>着眼城市全生命周期治理需求，以</w:t>
      </w:r>
      <w:r>
        <w:rPr>
          <w:rFonts w:hint="eastAsia"/>
        </w:rPr>
        <w:t>“</w:t>
      </w:r>
      <w:r>
        <w:t>感知</w:t>
      </w:r>
      <w:r>
        <w:rPr>
          <w:rFonts w:hint="eastAsia"/>
        </w:rPr>
        <w:t>—</w:t>
      </w:r>
      <w:r>
        <w:t>建模</w:t>
      </w:r>
      <w:r>
        <w:rPr>
          <w:rFonts w:hint="eastAsia"/>
        </w:rPr>
        <w:t>—</w:t>
      </w:r>
      <w:r>
        <w:t>仿真</w:t>
      </w:r>
      <w:r>
        <w:rPr>
          <w:rFonts w:hint="eastAsia"/>
        </w:rPr>
        <w:t>—</w:t>
      </w:r>
      <w:r>
        <w:t>评估</w:t>
      </w:r>
      <w:r>
        <w:rPr>
          <w:rFonts w:hint="eastAsia"/>
        </w:rPr>
        <w:t>—</w:t>
      </w:r>
      <w:r>
        <w:t>优化</w:t>
      </w:r>
      <w:r>
        <w:rPr>
          <w:rFonts w:hint="eastAsia"/>
        </w:rPr>
        <w:t>—</w:t>
      </w:r>
      <w:r>
        <w:t>再感知</w:t>
      </w:r>
      <w:r>
        <w:rPr>
          <w:rFonts w:hint="eastAsia"/>
        </w:rPr>
        <w:t>”</w:t>
      </w:r>
      <w:r>
        <w:t>的闭环为主线，打造具备自动更新、持续学习、自主优化能力的城市数字孪生引擎，使孪生模型能够随城市运行状态和业务规则动态演进，不断提升预测预警和辅助决策能力。</w:t>
      </w:r>
    </w:p>
    <w:p w14:paraId="12007F0F" w14:textId="77777777" w:rsidR="009D5DEA" w:rsidRDefault="00000000">
      <w:pPr>
        <w:spacing w:after="0" w:line="560" w:lineRule="exact"/>
        <w:ind w:firstLineChars="200" w:firstLine="643"/>
        <w:rPr>
          <w:rFonts w:ascii="仿宋_GB2312"/>
        </w:rPr>
      </w:pPr>
      <w:r>
        <w:rPr>
          <w:rFonts w:hint="eastAsia"/>
          <w:b/>
          <w:bCs/>
        </w:rPr>
        <w:t>完善城市信息模型（</w:t>
      </w:r>
      <w:r>
        <w:rPr>
          <w:rFonts w:ascii="仿宋_GB2312" w:hint="eastAsia"/>
          <w:b/>
          <w:bCs/>
        </w:rPr>
        <w:t>CIM</w:t>
      </w:r>
      <w:r>
        <w:rPr>
          <w:rFonts w:hint="eastAsia"/>
          <w:b/>
          <w:bCs/>
        </w:rPr>
        <w:t>）</w:t>
      </w:r>
      <w:r>
        <w:rPr>
          <w:b/>
          <w:bCs/>
        </w:rPr>
        <w:t>能力</w:t>
      </w:r>
      <w:r>
        <w:rPr>
          <w:rFonts w:hint="eastAsia"/>
          <w:b/>
          <w:bCs/>
        </w:rPr>
        <w:t>。</w:t>
      </w:r>
      <w:r>
        <w:rPr>
          <w:rFonts w:ascii="仿宋_GB2312" w:hint="eastAsia"/>
        </w:rPr>
        <w:t>构建覆盖“数据接入、模型管理、规则引擎、仿真计算、可视化展现”的一体化能力架构，支持多</w:t>
      </w:r>
      <w:proofErr w:type="gramStart"/>
      <w:r>
        <w:rPr>
          <w:rFonts w:ascii="仿宋_GB2312" w:hint="eastAsia"/>
        </w:rPr>
        <w:t>源数据</w:t>
      </w:r>
      <w:proofErr w:type="gramEnd"/>
      <w:r>
        <w:rPr>
          <w:rFonts w:ascii="仿宋_GB2312" w:hint="eastAsia"/>
        </w:rPr>
        <w:t>按主题、按场景统一建模与复用。推动CIM平台与建筑信息模型（BIM）、地理信息系统（GIS）、物联网（IoT）等异构系统深度集成，统筹建设全区联动</w:t>
      </w:r>
      <w:proofErr w:type="gramStart"/>
      <w:r>
        <w:rPr>
          <w:rFonts w:ascii="仿宋_GB2312" w:hint="eastAsia"/>
        </w:rPr>
        <w:t>的物联感知</w:t>
      </w:r>
      <w:proofErr w:type="gramEnd"/>
      <w:r>
        <w:rPr>
          <w:rFonts w:ascii="仿宋_GB2312" w:hint="eastAsia"/>
        </w:rPr>
        <w:t>体系，在自动感知、智能识别、多尺度场景自动建模、多源异构时空数据融合等关键环节持续攻关，建立模型版本管理和变更追踪机制，实现对地上地下、室内室外、静态资产与动态事件的统一建模和同步更新，为城市规划设计、建设施工、运行维护等提供可持续演进的时空模型基础。</w:t>
      </w:r>
    </w:p>
    <w:p w14:paraId="381713C1" w14:textId="77777777" w:rsidR="009D5DEA" w:rsidRDefault="00000000">
      <w:pPr>
        <w:spacing w:after="0" w:line="560" w:lineRule="exact"/>
        <w:ind w:firstLineChars="200" w:firstLine="643"/>
      </w:pPr>
      <w:r>
        <w:rPr>
          <w:b/>
          <w:bCs/>
        </w:rPr>
        <w:t>构建模型与算法自进化机制。</w:t>
      </w:r>
      <w:r>
        <w:rPr>
          <w:rFonts w:hint="eastAsia"/>
        </w:rPr>
        <w:t>联合区内外高校院所、龙头企业和专业机构，建设集“场景库、模型库、算法库”于一体的数字孪生引擎组件体系，推动自动感知、目标识</w:t>
      </w:r>
      <w:r>
        <w:rPr>
          <w:rFonts w:hint="eastAsia"/>
        </w:rPr>
        <w:lastRenderedPageBreak/>
        <w:t>别、行为分析、多尺度场景自动建模、多源异构数据融合等关键算法模块化、可插拔化。建立基于真实运行数据的模型校准与效果评估机制，形成“数据驱动调参、仿真结果反馈、模型优胜劣汰”的自迭代闭环，推动核心算法和孪生引擎持续优化升级。鼓励研发具有自主知识产权的高性能孪生引擎和行业化解决方案，显著提升孪生系统在复杂场景下的仿真精度、响应速度和承载能力，为智慧城市实现智能预测、滚动推演和动态决策提供强有力的技术支撑。</w:t>
      </w:r>
    </w:p>
    <w:p w14:paraId="685D9A85" w14:textId="77777777" w:rsidR="009D5DEA" w:rsidRDefault="00000000">
      <w:pPr>
        <w:pStyle w:val="3"/>
        <w:widowControl/>
        <w:numPr>
          <w:ilvl w:val="0"/>
          <w:numId w:val="11"/>
        </w:numPr>
        <w:spacing w:before="0" w:after="0" w:line="560" w:lineRule="exact"/>
        <w:rPr>
          <w:rFonts w:ascii="仿宋" w:eastAsia="仿宋_GB2312" w:hAnsi="仿宋" w:cs="宋体" w:hint="eastAsia"/>
          <w:b/>
          <w:bCs/>
          <w:color w:val="auto"/>
          <w:kern w:val="0"/>
        </w:rPr>
      </w:pPr>
      <w:bookmarkStart w:id="40" w:name="_Toc220337789"/>
      <w:r>
        <w:rPr>
          <w:rFonts w:ascii="仿宋" w:eastAsia="仿宋_GB2312" w:hAnsi="仿宋" w:cs="宋体" w:hint="eastAsia"/>
          <w:b/>
          <w:bCs/>
          <w:color w:val="auto"/>
          <w:kern w:val="0"/>
        </w:rPr>
        <w:t>深化</w:t>
      </w:r>
      <w:proofErr w:type="gramStart"/>
      <w:r>
        <w:rPr>
          <w:rFonts w:ascii="仿宋" w:eastAsia="仿宋_GB2312" w:hAnsi="仿宋" w:cs="宋体" w:hint="eastAsia"/>
          <w:b/>
          <w:bCs/>
          <w:color w:val="auto"/>
          <w:kern w:val="0"/>
        </w:rPr>
        <w:t>平台数智化</w:t>
      </w:r>
      <w:proofErr w:type="gramEnd"/>
      <w:r>
        <w:rPr>
          <w:rFonts w:ascii="仿宋" w:eastAsia="仿宋_GB2312" w:hAnsi="仿宋" w:cs="宋体" w:hint="eastAsia"/>
          <w:b/>
          <w:bCs/>
          <w:color w:val="auto"/>
          <w:kern w:val="0"/>
        </w:rPr>
        <w:t>融合应用</w:t>
      </w:r>
      <w:bookmarkEnd w:id="40"/>
    </w:p>
    <w:p w14:paraId="69FDBE20" w14:textId="77777777" w:rsidR="009D5DEA" w:rsidRDefault="00000000">
      <w:pPr>
        <w:spacing w:after="0" w:line="560" w:lineRule="exact"/>
        <w:ind w:firstLineChars="200" w:firstLine="643"/>
        <w:rPr>
          <w:rFonts w:ascii="仿宋_GB2312"/>
        </w:rPr>
      </w:pPr>
      <w:r>
        <w:rPr>
          <w:rFonts w:ascii="仿宋_GB2312" w:hint="eastAsia"/>
          <w:b/>
          <w:bCs/>
        </w:rPr>
        <w:t>推进数字</w:t>
      </w:r>
      <w:proofErr w:type="gramStart"/>
      <w:r>
        <w:rPr>
          <w:rFonts w:ascii="仿宋_GB2312" w:hint="eastAsia"/>
          <w:b/>
          <w:bCs/>
        </w:rPr>
        <w:t>孪生与</w:t>
      </w:r>
      <w:proofErr w:type="gramEnd"/>
      <w:r>
        <w:rPr>
          <w:rFonts w:ascii="仿宋_GB2312" w:hint="eastAsia"/>
          <w:b/>
          <w:bCs/>
        </w:rPr>
        <w:t>AI深度融合。</w:t>
      </w:r>
      <w:r>
        <w:rPr>
          <w:rFonts w:ascii="仿宋_GB2312" w:hint="eastAsia"/>
        </w:rPr>
        <w:t>充分依托人工智能和数字孪生技术，高效整合区级CIM平台资源和智能识别能力，构建覆盖全域的动态精准感知、智能预测预警与复杂场景仿真体系，</w:t>
      </w:r>
      <w:r>
        <w:rPr>
          <w:rFonts w:ascii="仿宋_GB2312"/>
        </w:rPr>
        <w:t>强化对</w:t>
      </w:r>
      <w:r>
        <w:rPr>
          <w:rFonts w:ascii="仿宋_GB2312" w:hint="eastAsia"/>
        </w:rPr>
        <w:t>城市规划、重大项目、城市运行和交通环境等领域的全生命周期数字化监管与智能预警。</w:t>
      </w:r>
      <w:r>
        <w:rPr>
          <w:rFonts w:ascii="仿宋_GB2312" w:hAnsi="仿宋_GB2312" w:cs="仿宋_GB2312" w:hint="eastAsia"/>
        </w:rPr>
        <w:t>持续完善数字治理“龙·眼”AI引擎，优化升级</w:t>
      </w:r>
      <w:proofErr w:type="gramStart"/>
      <w:r>
        <w:rPr>
          <w:rFonts w:ascii="仿宋_GB2312" w:hAnsi="仿宋_GB2312" w:cs="仿宋_GB2312" w:hint="eastAsia"/>
        </w:rPr>
        <w:t>龙华区</w:t>
      </w:r>
      <w:proofErr w:type="gramEnd"/>
      <w:r>
        <w:rPr>
          <w:rFonts w:ascii="仿宋_GB2312" w:hAnsi="仿宋_GB2312" w:cs="仿宋_GB2312" w:hint="eastAsia"/>
        </w:rPr>
        <w:t>智能运算平台相关算法，结合新技术发展和新业务需求，为全区治安防控、城市管理等工作提供基础支撑。</w:t>
      </w:r>
    </w:p>
    <w:p w14:paraId="4673BB59" w14:textId="77777777" w:rsidR="009D5DEA" w:rsidRDefault="00000000">
      <w:pPr>
        <w:spacing w:after="0" w:line="560" w:lineRule="exact"/>
        <w:ind w:firstLineChars="200" w:firstLine="643"/>
        <w:rPr>
          <w:rFonts w:ascii="仿宋_GB2312"/>
        </w:rPr>
      </w:pPr>
      <w:r>
        <w:rPr>
          <w:rFonts w:ascii="仿宋_GB2312" w:hint="eastAsia"/>
          <w:b/>
          <w:bCs/>
        </w:rPr>
        <w:t>打造智慧治理中枢。</w:t>
      </w:r>
      <w:r>
        <w:rPr>
          <w:rFonts w:ascii="仿宋_GB2312" w:hint="eastAsia"/>
        </w:rPr>
        <w:t>统筹接入安全、城管、交通、水务、应急等重点领域业务系统，建设集感知汇聚、综合</w:t>
      </w:r>
      <w:proofErr w:type="gramStart"/>
      <w:r>
        <w:rPr>
          <w:rFonts w:ascii="仿宋_GB2312" w:hint="eastAsia"/>
        </w:rPr>
        <w:t>研</w:t>
      </w:r>
      <w:proofErr w:type="gramEnd"/>
      <w:r>
        <w:rPr>
          <w:rFonts w:ascii="仿宋_GB2312" w:hint="eastAsia"/>
        </w:rPr>
        <w:t>判、协同指挥、推演评估于一体的城市智慧治理指挥中枢。通过“</w:t>
      </w:r>
      <w:proofErr w:type="gramStart"/>
      <w:r>
        <w:rPr>
          <w:rFonts w:ascii="仿宋_GB2312" w:hint="eastAsia"/>
        </w:rPr>
        <w:t>一屏观</w:t>
      </w:r>
      <w:proofErr w:type="gramEnd"/>
      <w:r>
        <w:rPr>
          <w:rFonts w:ascii="仿宋_GB2312" w:hint="eastAsia"/>
        </w:rPr>
        <w:t>全局、一网管全城、一键调资源”，实现城市运行状态的“可全面感知、可深度分析、可高效指挥、可仿真预演”感知分析与仿真模拟</w:t>
      </w:r>
      <w:r>
        <w:rPr>
          <w:rFonts w:ascii="仿宋_GB2312"/>
        </w:rPr>
        <w:t>的一体化融合</w:t>
      </w:r>
      <w:r>
        <w:rPr>
          <w:rFonts w:ascii="仿宋_GB2312" w:hint="eastAsia"/>
        </w:rPr>
        <w:t>，提升突发</w:t>
      </w:r>
      <w:r>
        <w:rPr>
          <w:rFonts w:ascii="仿宋_GB2312" w:hint="eastAsia"/>
        </w:rPr>
        <w:lastRenderedPageBreak/>
        <w:t>事件发现预警、指挥调度和联动处置能力，为科学决策和应急指挥提供实时、权威的数据支撑。</w:t>
      </w:r>
    </w:p>
    <w:p w14:paraId="60E72A7C" w14:textId="77777777" w:rsidR="009D5DEA" w:rsidRDefault="00000000">
      <w:pPr>
        <w:pStyle w:val="2"/>
        <w:numPr>
          <w:ilvl w:val="0"/>
          <w:numId w:val="10"/>
        </w:numPr>
        <w:spacing w:before="0" w:after="0" w:line="560" w:lineRule="exact"/>
        <w:ind w:left="1360" w:hanging="720"/>
        <w:rPr>
          <w:rFonts w:ascii="楷体_GB2312" w:eastAsia="楷体_GB2312" w:hAnsi="黑体" w:hint="eastAsia"/>
          <w:color w:val="000000" w:themeColor="text1"/>
          <w:sz w:val="32"/>
          <w:szCs w:val="32"/>
        </w:rPr>
      </w:pPr>
      <w:bookmarkStart w:id="41" w:name="_Toc220337790"/>
      <w:r>
        <w:rPr>
          <w:rFonts w:ascii="楷体_GB2312" w:eastAsia="楷体_GB2312" w:hAnsi="黑体" w:hint="eastAsia"/>
          <w:color w:val="000000" w:themeColor="text1"/>
          <w:sz w:val="32"/>
          <w:szCs w:val="32"/>
        </w:rPr>
        <w:t>构建人工智能发展体系</w:t>
      </w:r>
      <w:bookmarkEnd w:id="41"/>
    </w:p>
    <w:p w14:paraId="1F55B921" w14:textId="77777777" w:rsidR="009D5DEA" w:rsidRDefault="00000000">
      <w:pPr>
        <w:pStyle w:val="3"/>
        <w:widowControl/>
        <w:numPr>
          <w:ilvl w:val="0"/>
          <w:numId w:val="12"/>
        </w:numPr>
        <w:spacing w:before="0" w:after="0" w:line="560" w:lineRule="exact"/>
        <w:rPr>
          <w:rFonts w:ascii="仿宋" w:eastAsia="仿宋_GB2312" w:hAnsi="仿宋" w:cs="宋体" w:hint="eastAsia"/>
          <w:b/>
          <w:bCs/>
          <w:color w:val="auto"/>
          <w:kern w:val="0"/>
        </w:rPr>
      </w:pPr>
      <w:bookmarkStart w:id="42" w:name="_Toc220337791"/>
      <w:r>
        <w:rPr>
          <w:rFonts w:ascii="仿宋" w:eastAsia="仿宋_GB2312" w:hAnsi="仿宋" w:cs="宋体" w:hint="eastAsia"/>
          <w:b/>
          <w:bCs/>
          <w:color w:val="auto"/>
          <w:kern w:val="0"/>
        </w:rPr>
        <w:t>健全</w:t>
      </w:r>
      <w:r>
        <w:rPr>
          <w:rFonts w:ascii="仿宋_GB2312" w:eastAsia="仿宋_GB2312" w:hAnsi="仿宋" w:cs="宋体" w:hint="eastAsia"/>
          <w:b/>
          <w:bCs/>
          <w:color w:val="auto"/>
          <w:kern w:val="0"/>
        </w:rPr>
        <w:t>“1+N”</w:t>
      </w:r>
      <w:r>
        <w:rPr>
          <w:rFonts w:ascii="仿宋" w:eastAsia="仿宋_GB2312" w:hAnsi="仿宋" w:cs="宋体" w:hint="eastAsia"/>
          <w:b/>
          <w:bCs/>
          <w:color w:val="auto"/>
          <w:kern w:val="0"/>
        </w:rPr>
        <w:t>人工智能总框架</w:t>
      </w:r>
      <w:bookmarkEnd w:id="42"/>
    </w:p>
    <w:p w14:paraId="36ABF7E9" w14:textId="77777777" w:rsidR="009D5DEA" w:rsidRDefault="00000000">
      <w:pPr>
        <w:spacing w:after="0" w:line="560" w:lineRule="exact"/>
        <w:ind w:firstLineChars="200" w:firstLine="643"/>
        <w:rPr>
          <w:rFonts w:ascii="仿宋_GB2312"/>
        </w:rPr>
      </w:pPr>
      <w:r>
        <w:rPr>
          <w:rFonts w:ascii="仿宋_GB2312" w:hint="eastAsia"/>
          <w:b/>
          <w:bCs/>
        </w:rPr>
        <w:t>统筹建设AI发展体系。</w:t>
      </w:r>
      <w:r>
        <w:rPr>
          <w:rFonts w:ascii="仿宋_GB2312" w:hint="eastAsia"/>
        </w:rPr>
        <w:t>紧跟国家及省市相关部署，系统承接“人工智能+”行动计划，推动人工智能建设总体框架从“1+4+N”（1个通用大模型底座+教育、医疗、城市、司法4个领域专属模型+N</w:t>
      </w:r>
      <w:proofErr w:type="gramStart"/>
      <w:r>
        <w:rPr>
          <w:rFonts w:ascii="仿宋_GB2312" w:hint="eastAsia"/>
        </w:rPr>
        <w:t>个</w:t>
      </w:r>
      <w:proofErr w:type="gramEnd"/>
      <w:r>
        <w:rPr>
          <w:rFonts w:ascii="仿宋_GB2312" w:hint="eastAsia"/>
        </w:rPr>
        <w:t>业务场景）演进为更集约的“1+N”模式。围绕“1个人工智能（AI）中台+N</w:t>
      </w:r>
      <w:proofErr w:type="gramStart"/>
      <w:r>
        <w:rPr>
          <w:rFonts w:ascii="仿宋_GB2312" w:hint="eastAsia"/>
        </w:rPr>
        <w:t>个</w:t>
      </w:r>
      <w:proofErr w:type="gramEnd"/>
      <w:r>
        <w:rPr>
          <w:rFonts w:ascii="仿宋_GB2312" w:hint="eastAsia"/>
        </w:rPr>
        <w:t>行业场景应用”的总体框架，构建技术底座、应用场景与安全治理协同推进的发展体系，聚力打造人工智能创新应用高地。</w:t>
      </w:r>
    </w:p>
    <w:p w14:paraId="7E528613" w14:textId="77777777" w:rsidR="009D5DEA" w:rsidRDefault="00000000">
      <w:pPr>
        <w:spacing w:after="0" w:line="560" w:lineRule="exact"/>
        <w:ind w:firstLineChars="200" w:firstLine="643"/>
        <w:rPr>
          <w:rFonts w:ascii="仿宋_GB2312"/>
        </w:rPr>
      </w:pPr>
      <w:r>
        <w:rPr>
          <w:rFonts w:ascii="仿宋_GB2312" w:hint="eastAsia"/>
          <w:b/>
          <w:bCs/>
        </w:rPr>
        <w:t>做强1个</w:t>
      </w:r>
      <w:proofErr w:type="gramStart"/>
      <w:r>
        <w:rPr>
          <w:rFonts w:ascii="仿宋_GB2312" w:hint="eastAsia"/>
          <w:b/>
          <w:bCs/>
        </w:rPr>
        <w:t>龙华区</w:t>
      </w:r>
      <w:proofErr w:type="gramEnd"/>
      <w:r>
        <w:rPr>
          <w:rFonts w:ascii="仿宋_GB2312" w:hint="eastAsia"/>
          <w:b/>
          <w:bCs/>
        </w:rPr>
        <w:t>人工智能（AI）中台。</w:t>
      </w:r>
      <w:r>
        <w:rPr>
          <w:rFonts w:ascii="仿宋_GB2312" w:hint="eastAsia"/>
        </w:rPr>
        <w:t>依托模型纳管平台、智能体平台、知识库平台等核心组件完善人工智能（AI）中台能力，并纳管多个通用大模型及</w:t>
      </w:r>
      <w:r>
        <w:rPr>
          <w:rFonts w:ascii="仿宋_GB2312" w:hint="eastAsia"/>
          <w:color w:val="000000" w:themeColor="text1"/>
        </w:rPr>
        <w:t>行业专属模型（教育、医疗、政务、司法等），提供文本生成、语言理解、知识问答、逻辑推理、数学能力等大模型底座能力，构建覆盖“数据汇聚—知识沉淀—智能体编排”的全区AI能力底座，提供一体化人工智能服务支撑，为整个体系筑牢根基。</w:t>
      </w:r>
    </w:p>
    <w:p w14:paraId="3EEE7E57" w14:textId="77777777" w:rsidR="009D5DEA" w:rsidRDefault="00000000">
      <w:pPr>
        <w:spacing w:after="0" w:line="560" w:lineRule="exact"/>
        <w:ind w:firstLineChars="200" w:firstLine="643"/>
        <w:rPr>
          <w:rFonts w:ascii="仿宋_GB2312"/>
        </w:rPr>
      </w:pPr>
      <w:r>
        <w:rPr>
          <w:rFonts w:ascii="仿宋_GB2312" w:hint="eastAsia"/>
          <w:b/>
          <w:bCs/>
        </w:rPr>
        <w:t xml:space="preserve">统筹布局 N </w:t>
      </w:r>
      <w:proofErr w:type="gramStart"/>
      <w:r>
        <w:rPr>
          <w:rFonts w:ascii="仿宋_GB2312" w:hint="eastAsia"/>
          <w:b/>
          <w:bCs/>
        </w:rPr>
        <w:t>个</w:t>
      </w:r>
      <w:proofErr w:type="gramEnd"/>
      <w:r>
        <w:rPr>
          <w:rFonts w:ascii="仿宋_GB2312" w:hint="eastAsia"/>
          <w:b/>
          <w:bCs/>
        </w:rPr>
        <w:t>重点领域应用。</w:t>
      </w:r>
      <w:r>
        <w:rPr>
          <w:rFonts w:ascii="仿宋_GB2312" w:hint="eastAsia"/>
          <w:color w:val="000000" w:themeColor="text1"/>
        </w:rPr>
        <w:t>深化重点领域场景应用，聚焦政务服务、城市治理、教育教学、医疗健康、公共安全等关键领域，统筹推进政务应用场景有序开放，以场景为牵引带动各领域智能化升级，打造一批具有龙华特色的人工智能示范应用，为民生服务和社会治理全面赋能。</w:t>
      </w:r>
    </w:p>
    <w:p w14:paraId="5E7197C3" w14:textId="77777777" w:rsidR="009D5DEA" w:rsidRDefault="00000000">
      <w:pPr>
        <w:pStyle w:val="3"/>
        <w:widowControl/>
        <w:numPr>
          <w:ilvl w:val="0"/>
          <w:numId w:val="12"/>
        </w:numPr>
        <w:spacing w:before="0" w:after="0" w:line="560" w:lineRule="exact"/>
        <w:rPr>
          <w:rFonts w:ascii="仿宋" w:eastAsia="仿宋_GB2312" w:hAnsi="仿宋" w:cs="宋体" w:hint="eastAsia"/>
          <w:b/>
          <w:bCs/>
          <w:color w:val="auto"/>
          <w:kern w:val="0"/>
        </w:rPr>
      </w:pPr>
      <w:bookmarkStart w:id="43" w:name="_Toc220337792"/>
      <w:r>
        <w:rPr>
          <w:rFonts w:ascii="仿宋" w:eastAsia="仿宋_GB2312" w:hAnsi="仿宋" w:cs="宋体"/>
          <w:b/>
          <w:bCs/>
          <w:color w:val="auto"/>
          <w:kern w:val="0"/>
        </w:rPr>
        <w:lastRenderedPageBreak/>
        <w:t>构建人工智能应用支撑体系</w:t>
      </w:r>
      <w:bookmarkEnd w:id="43"/>
    </w:p>
    <w:p w14:paraId="46D7EA9B" w14:textId="77777777" w:rsidR="009D5DEA" w:rsidRDefault="00000000">
      <w:pPr>
        <w:spacing w:after="0" w:line="560" w:lineRule="exact"/>
        <w:ind w:firstLineChars="200" w:firstLine="643"/>
        <w:rPr>
          <w:rFonts w:ascii="仿宋_GB2312"/>
          <w:color w:val="000000" w:themeColor="text1"/>
        </w:rPr>
      </w:pPr>
      <w:r>
        <w:rPr>
          <w:rFonts w:ascii="仿宋_GB2312" w:hint="eastAsia"/>
          <w:b/>
          <w:bCs/>
          <w:color w:val="000000" w:themeColor="text1"/>
        </w:rPr>
        <w:t>打造智能</w:t>
      </w:r>
      <w:proofErr w:type="gramStart"/>
      <w:r>
        <w:rPr>
          <w:rFonts w:ascii="仿宋_GB2312" w:hint="eastAsia"/>
          <w:b/>
          <w:bCs/>
          <w:color w:val="000000" w:themeColor="text1"/>
        </w:rPr>
        <w:t>体开发</w:t>
      </w:r>
      <w:proofErr w:type="gramEnd"/>
      <w:r>
        <w:rPr>
          <w:rFonts w:ascii="仿宋_GB2312" w:hint="eastAsia"/>
          <w:b/>
          <w:bCs/>
          <w:color w:val="000000" w:themeColor="text1"/>
        </w:rPr>
        <w:t>平台。</w:t>
      </w:r>
      <w:r>
        <w:rPr>
          <w:rFonts w:ascii="仿宋_GB2312" w:hint="eastAsia"/>
          <w:color w:val="000000" w:themeColor="text1"/>
        </w:rPr>
        <w:t>为智能体的设计、开发、调试、部署提供一体化工具和运行环境，支持智能体从需求建模、流程配置到在线运维的全流程管理，具有立体感知、全域协同、精准判断与持续进化能力，实现对政务场景的深度适配与动态响应。提供低代码、可视化的智能</w:t>
      </w:r>
      <w:proofErr w:type="gramStart"/>
      <w:r>
        <w:rPr>
          <w:rFonts w:ascii="仿宋_GB2312" w:hint="eastAsia"/>
          <w:color w:val="000000" w:themeColor="text1"/>
        </w:rPr>
        <w:t>体开发</w:t>
      </w:r>
      <w:proofErr w:type="gramEnd"/>
      <w:r>
        <w:rPr>
          <w:rFonts w:ascii="仿宋_GB2312" w:hint="eastAsia"/>
          <w:color w:val="000000" w:themeColor="text1"/>
        </w:rPr>
        <w:t>能力，支持非技术人员通过图形化界面、模块化组件和拖拉拽式操作，便捷构建贴合自身业务场景的轻量化AI应用，降低技术门槛，提升应用开发效率与灵活性，满足政务办公中高频迭代、快速响应的实际需求。集中纳管三方平台模型、本地化模型、MCP服务、知识库和智能体应用，提升资源复用率和系统安全性，构建统一的智能体开发、应用的生态。支持通过API接口与业务系统进行数据交互，将智能化能力赋能客户现有的应用系统、业务流程，驱动业务场景的智能化升级与效率跃迁。</w:t>
      </w:r>
    </w:p>
    <w:p w14:paraId="6450232F" w14:textId="77777777" w:rsidR="009D5DEA" w:rsidRDefault="00000000">
      <w:pPr>
        <w:spacing w:after="0" w:line="560" w:lineRule="exact"/>
        <w:ind w:firstLineChars="200" w:firstLine="643"/>
        <w:rPr>
          <w:rFonts w:ascii="仿宋_GB2312"/>
          <w:color w:val="000000" w:themeColor="text1"/>
        </w:rPr>
      </w:pPr>
      <w:r>
        <w:rPr>
          <w:rFonts w:ascii="仿宋_GB2312" w:hint="eastAsia"/>
          <w:b/>
          <w:bCs/>
          <w:color w:val="000000" w:themeColor="text1"/>
        </w:rPr>
        <w:t>打造知识库管理平台。</w:t>
      </w:r>
      <w:r>
        <w:rPr>
          <w:rFonts w:ascii="仿宋_GB2312" w:hint="eastAsia"/>
          <w:color w:val="000000" w:themeColor="text1"/>
        </w:rPr>
        <w:t>系统化沉淀权威可用的政务知识资产，围绕政策法规、办事指南、业务规则、处置规范等核心内容，提供知识的收集、整理、存储、检索与更新能力，打造一个集中管理、共享使用的知识平台。支持精准的知识检索、高效的知识问答、灵活的知识API调用、安全的知识管控等功能，保障知识在各类政务场景中的高可用性与可解释性。深度对接通用大模型、行业大模型及智能体平台，为政府部门的决策分析、业务办理和流程优化提供专业、可信的知识支撑，显著提升智能应用的准确</w:t>
      </w:r>
      <w:r>
        <w:rPr>
          <w:rFonts w:ascii="仿宋_GB2312" w:hint="eastAsia"/>
          <w:color w:val="000000" w:themeColor="text1"/>
        </w:rPr>
        <w:lastRenderedPageBreak/>
        <w:t>性与服务效能。依托知识运营与开发管理等模块，推动知识资产的持续更新与价值转化，支撑治理体系和治理能力现代化，促进政务服务和治理由“经验驱动”向“智能驱动”转变。</w:t>
      </w:r>
    </w:p>
    <w:p w14:paraId="7162AAF9" w14:textId="77777777" w:rsidR="009D5DEA" w:rsidRDefault="00000000">
      <w:pPr>
        <w:spacing w:after="0" w:line="560" w:lineRule="exact"/>
        <w:ind w:firstLineChars="200" w:firstLine="643"/>
        <w:rPr>
          <w:rFonts w:ascii="仿宋_GB2312"/>
          <w:color w:val="000000" w:themeColor="text1"/>
        </w:rPr>
      </w:pPr>
      <w:r>
        <w:rPr>
          <w:rFonts w:ascii="仿宋_GB2312" w:hint="eastAsia"/>
          <w:b/>
          <w:bCs/>
          <w:color w:val="000000" w:themeColor="text1"/>
        </w:rPr>
        <w:t>打造内容审核平台。</w:t>
      </w:r>
      <w:r>
        <w:rPr>
          <w:rFonts w:ascii="仿宋_GB2312" w:hint="eastAsia"/>
          <w:color w:val="000000" w:themeColor="text1"/>
        </w:rPr>
        <w:t>构筑大模型应用安全防线，提升大模型应用场景下的合</w:t>
      </w:r>
      <w:proofErr w:type="gramStart"/>
      <w:r>
        <w:rPr>
          <w:rFonts w:ascii="仿宋_GB2312" w:hint="eastAsia"/>
          <w:color w:val="000000" w:themeColor="text1"/>
        </w:rPr>
        <w:t>规</w:t>
      </w:r>
      <w:proofErr w:type="gramEnd"/>
      <w:r>
        <w:rPr>
          <w:rFonts w:ascii="仿宋_GB2312" w:hint="eastAsia"/>
          <w:color w:val="000000" w:themeColor="text1"/>
        </w:rPr>
        <w:t>保障水平。通过综合运用语义理解、敏感词库、审核模型等技术，实现对大模型输入输出内容的自动监测和智能审核，快速识别并拦截违规、不良或敏感信息，确保内容安全防线牢固可靠。支持灵活配置审核策略，可根据应用特点、不同平台及场景需求定制差异化的审核规则，提升审核精准度与适应性。</w:t>
      </w:r>
      <w:proofErr w:type="gramStart"/>
      <w:r>
        <w:rPr>
          <w:rFonts w:ascii="仿宋_GB2312" w:hint="eastAsia"/>
          <w:color w:val="000000" w:themeColor="text1"/>
        </w:rPr>
        <w:t>强化机审与人审</w:t>
      </w:r>
      <w:proofErr w:type="gramEnd"/>
      <w:r>
        <w:rPr>
          <w:rFonts w:ascii="仿宋_GB2312" w:hint="eastAsia"/>
          <w:color w:val="000000" w:themeColor="text1"/>
        </w:rPr>
        <w:t>协同机制，全面记录文本审核明细，支撑全链路审核日志追踪与审计分析。通过与模型纳管、日志审计等机制联动，形成“事前规则约束、事中智能拦截、事后可追溯分析”的闭环内容安全治理体系，为大模型在政务服务、城市治理等关键场景的安全合</w:t>
      </w:r>
      <w:proofErr w:type="gramStart"/>
      <w:r>
        <w:rPr>
          <w:rFonts w:ascii="仿宋_GB2312" w:hint="eastAsia"/>
          <w:color w:val="000000" w:themeColor="text1"/>
        </w:rPr>
        <w:t>规</w:t>
      </w:r>
      <w:proofErr w:type="gramEnd"/>
      <w:r>
        <w:rPr>
          <w:rFonts w:ascii="仿宋_GB2312" w:hint="eastAsia"/>
          <w:color w:val="000000" w:themeColor="text1"/>
        </w:rPr>
        <w:t>应用提供坚实支撑。</w:t>
      </w:r>
    </w:p>
    <w:p w14:paraId="7145F7AF" w14:textId="77777777" w:rsidR="009D5DEA" w:rsidRDefault="00000000">
      <w:pPr>
        <w:spacing w:after="0" w:line="560" w:lineRule="exact"/>
        <w:ind w:firstLineChars="200" w:firstLine="643"/>
        <w:rPr>
          <w:rFonts w:ascii="仿宋_GB2312"/>
          <w:color w:val="000000" w:themeColor="text1"/>
        </w:rPr>
      </w:pPr>
      <w:r>
        <w:rPr>
          <w:rFonts w:ascii="仿宋_GB2312" w:hint="eastAsia"/>
          <w:b/>
          <w:bCs/>
          <w:color w:val="000000" w:themeColor="text1"/>
        </w:rPr>
        <w:t>打造模型纳管平台。</w:t>
      </w:r>
      <w:r>
        <w:rPr>
          <w:rFonts w:ascii="仿宋_GB2312" w:hint="eastAsia"/>
          <w:color w:val="000000" w:themeColor="text1"/>
        </w:rPr>
        <w:t>构建全区统一的AI能力“资源池”与“服务市场”，提供一站式AI模型服务管理能力，实现全区AI资源的统筹调度、按需分配与降本增效。聚焦模型从接入、管理、评测到运营的全生命周期管理，对星火、DeepSeek等通用大模型及多个行业专属模型进行统一纳管，涵盖模型开发、上线到下线的各个阶段。提供模型展示、在线体验、标准化接入、模型评测等功能，助力用户快速找到、验证、集成和运营所需的AI模型，提升模型使用效</w:t>
      </w:r>
      <w:r>
        <w:rPr>
          <w:rFonts w:ascii="仿宋_GB2312" w:hint="eastAsia"/>
          <w:color w:val="000000" w:themeColor="text1"/>
        </w:rPr>
        <w:lastRenderedPageBreak/>
        <w:t>率，保障AI场景应用顺畅运行，加速AI能力在实际业务场景中的落地应用。与模型流量网关协作，为AI模型应用提供统一的请求转发、协议转换、身份认证、安全防护、流量控制等能力，提升模型资源利用效率和安全可控水平。</w:t>
      </w:r>
    </w:p>
    <w:p w14:paraId="243BDDB3" w14:textId="77777777" w:rsidR="009D5DEA" w:rsidRDefault="00000000">
      <w:pPr>
        <w:pStyle w:val="3"/>
        <w:widowControl/>
        <w:numPr>
          <w:ilvl w:val="0"/>
          <w:numId w:val="12"/>
        </w:numPr>
        <w:spacing w:before="0" w:after="0" w:line="560" w:lineRule="exact"/>
        <w:rPr>
          <w:rFonts w:ascii="仿宋" w:eastAsia="仿宋_GB2312" w:hAnsi="仿宋" w:cs="宋体" w:hint="eastAsia"/>
          <w:b/>
          <w:bCs/>
          <w:color w:val="auto"/>
          <w:kern w:val="0"/>
        </w:rPr>
      </w:pPr>
      <w:bookmarkStart w:id="44" w:name="_Toc220337793"/>
      <w:r>
        <w:rPr>
          <w:rFonts w:ascii="仿宋" w:eastAsia="仿宋_GB2312" w:hAnsi="仿宋" w:cs="宋体"/>
          <w:b/>
          <w:bCs/>
          <w:color w:val="auto"/>
          <w:kern w:val="0"/>
        </w:rPr>
        <w:t>拓展人工智能创新应用场景</w:t>
      </w:r>
      <w:bookmarkEnd w:id="44"/>
    </w:p>
    <w:p w14:paraId="27B4EFE0" w14:textId="77777777" w:rsidR="009D5DEA" w:rsidRDefault="00000000">
      <w:pPr>
        <w:spacing w:after="0" w:line="560" w:lineRule="exact"/>
        <w:ind w:firstLineChars="200" w:firstLine="643"/>
        <w:rPr>
          <w:rFonts w:ascii="仿宋_GB2312"/>
          <w:b/>
          <w:bCs/>
        </w:rPr>
      </w:pPr>
      <w:r>
        <w:rPr>
          <w:rFonts w:ascii="仿宋_GB2312" w:hint="eastAsia"/>
          <w:b/>
          <w:bCs/>
        </w:rPr>
        <w:t>健全“政务服务+AI”服务模式。</w:t>
      </w:r>
      <w:r>
        <w:rPr>
          <w:rFonts w:ascii="仿宋_GB2312" w:hint="eastAsia"/>
        </w:rPr>
        <w:t>推进“互联网+政务服务”向“AI+政务服务”转变，坚持包容审慎原则，健全人工智能管理规范，为政务领域人工智能安全有序应用提供制度保障。统筹构建全区一体化智能服务基座，推动AI能力在政务服务中的共性支撑与技术赋能。</w:t>
      </w:r>
      <w:r>
        <w:rPr>
          <w:rFonts w:ascii="仿宋_GB2312"/>
        </w:rPr>
        <w:t>以场景为牵引，推动跨部门智能服务资源共享与流程联通，提升全区智能化服务的整体供给能力与协同水平，为政务领域人工智能安全有序应用提供制度与技术基础。</w:t>
      </w:r>
    </w:p>
    <w:p w14:paraId="636321AA" w14:textId="77777777" w:rsidR="009D5DEA" w:rsidRDefault="00000000">
      <w:pPr>
        <w:spacing w:after="0" w:line="560" w:lineRule="exact"/>
        <w:ind w:firstLineChars="200" w:firstLine="643"/>
        <w:rPr>
          <w:rFonts w:ascii="仿宋_GB2312"/>
        </w:rPr>
      </w:pPr>
      <w:r>
        <w:rPr>
          <w:rFonts w:ascii="仿宋_GB2312" w:hint="eastAsia"/>
          <w:b/>
          <w:bCs/>
        </w:rPr>
        <w:t>深化“城市治理+AI”示范应用。</w:t>
      </w:r>
      <w:r>
        <w:rPr>
          <w:rFonts w:ascii="仿宋_GB2312" w:hint="eastAsia"/>
        </w:rPr>
        <w:t>围绕城市管理重点业务，打造人工智能驱动的智慧治理应用体系。利用AI智能体平台和知识图谱技术，实现工</w:t>
      </w:r>
      <w:proofErr w:type="gramStart"/>
      <w:r>
        <w:rPr>
          <w:rFonts w:ascii="仿宋_GB2312" w:hint="eastAsia"/>
        </w:rPr>
        <w:t>单事件</w:t>
      </w:r>
      <w:proofErr w:type="gramEnd"/>
      <w:r>
        <w:rPr>
          <w:rFonts w:ascii="仿宋_GB2312" w:hint="eastAsia"/>
        </w:rPr>
        <w:t>的自动识别分类、智能派单调度和处置决策，提升城市事件处理的及时性和精准度。同时，引入预测预警模型，对城市运行中的风险隐患进行智能</w:t>
      </w:r>
      <w:proofErr w:type="gramStart"/>
      <w:r>
        <w:rPr>
          <w:rFonts w:ascii="仿宋_GB2312" w:hint="eastAsia"/>
        </w:rPr>
        <w:t>研</w:t>
      </w:r>
      <w:proofErr w:type="gramEnd"/>
      <w:r>
        <w:rPr>
          <w:rFonts w:ascii="仿宋_GB2312" w:hint="eastAsia"/>
        </w:rPr>
        <w:t>判和提前预警，增强城市治理的主动性和预见性。通过“AI+城市治理”，全面提高城市管理的精细化、智能化水平，助力城市治理现代化。</w:t>
      </w:r>
    </w:p>
    <w:p w14:paraId="6D0F66EC" w14:textId="77777777" w:rsidR="009D5DEA" w:rsidRDefault="00000000">
      <w:pPr>
        <w:spacing w:after="0" w:line="560" w:lineRule="exact"/>
        <w:ind w:firstLineChars="200" w:firstLine="643"/>
        <w:rPr>
          <w:rFonts w:ascii="仿宋_GB2312"/>
        </w:rPr>
      </w:pPr>
      <w:r>
        <w:rPr>
          <w:rFonts w:ascii="仿宋_GB2312" w:hint="eastAsia"/>
          <w:b/>
          <w:bCs/>
        </w:rPr>
        <w:t>拓展“公共服务+AI”应用空间。</w:t>
      </w:r>
      <w:r>
        <w:rPr>
          <w:rFonts w:ascii="仿宋_GB2312" w:hint="eastAsia"/>
        </w:rPr>
        <w:t>支持在教育、医疗、养老、司法等公共服务领域推广人工智能应用，</w:t>
      </w:r>
      <w:r>
        <w:rPr>
          <w:rFonts w:ascii="仿宋_GB2312"/>
        </w:rPr>
        <w:t>围绕</w:t>
      </w:r>
      <w:r>
        <w:rPr>
          <w:rFonts w:ascii="仿宋_GB2312" w:hint="eastAsia"/>
        </w:rPr>
        <w:t>“学有所教、病有所</w:t>
      </w:r>
      <w:proofErr w:type="gramStart"/>
      <w:r>
        <w:rPr>
          <w:rFonts w:ascii="仿宋_GB2312" w:hint="eastAsia"/>
        </w:rPr>
        <w:t>医</w:t>
      </w:r>
      <w:proofErr w:type="gramEnd"/>
      <w:r>
        <w:rPr>
          <w:rFonts w:ascii="仿宋_GB2312" w:hint="eastAsia"/>
        </w:rPr>
        <w:t>、老有所养、弱有所扶”</w:t>
      </w:r>
      <w:r>
        <w:rPr>
          <w:rFonts w:ascii="仿宋_GB2312"/>
        </w:rPr>
        <w:t>等重点需求，</w:t>
      </w:r>
      <w:r>
        <w:rPr>
          <w:rFonts w:ascii="仿宋_GB2312"/>
        </w:rPr>
        <w:lastRenderedPageBreak/>
        <w:t>优化服务供给模式和业务流程，推动</w:t>
      </w:r>
      <w:r>
        <w:rPr>
          <w:rFonts w:ascii="仿宋_GB2312" w:hint="eastAsia"/>
        </w:rPr>
        <w:t>智慧医疗</w:t>
      </w:r>
      <w:r>
        <w:rPr>
          <w:rFonts w:ascii="仿宋_GB2312"/>
        </w:rPr>
        <w:t>、智慧</w:t>
      </w:r>
      <w:r>
        <w:rPr>
          <w:rFonts w:ascii="仿宋_GB2312" w:hint="eastAsia"/>
        </w:rPr>
        <w:t>教育</w:t>
      </w:r>
      <w:r>
        <w:rPr>
          <w:rFonts w:ascii="仿宋_GB2312"/>
        </w:rPr>
        <w:t>、智慧养老等场景有序发展</w:t>
      </w:r>
      <w:r>
        <w:rPr>
          <w:rFonts w:ascii="仿宋_GB2312" w:hint="eastAsia"/>
        </w:rPr>
        <w:t>。探索</w:t>
      </w:r>
      <w:r>
        <w:rPr>
          <w:rFonts w:ascii="仿宋_GB2312"/>
        </w:rPr>
        <w:t>智慧</w:t>
      </w:r>
      <w:r>
        <w:rPr>
          <w:rFonts w:ascii="仿宋_GB2312" w:hint="eastAsia"/>
        </w:rPr>
        <w:t>能源、智慧</w:t>
      </w:r>
      <w:r>
        <w:rPr>
          <w:rFonts w:ascii="仿宋_GB2312"/>
        </w:rPr>
        <w:t>出行、</w:t>
      </w:r>
      <w:proofErr w:type="gramStart"/>
      <w:r>
        <w:rPr>
          <w:rFonts w:ascii="仿宋_GB2312"/>
        </w:rPr>
        <w:t>智慧文旅等</w:t>
      </w:r>
      <w:proofErr w:type="gramEnd"/>
      <w:r>
        <w:rPr>
          <w:rFonts w:ascii="仿宋_GB2312"/>
        </w:rPr>
        <w:t>新型服务同步纳入公共服务体系整体布局</w:t>
      </w:r>
      <w:r>
        <w:rPr>
          <w:rFonts w:ascii="仿宋_GB2312" w:hint="eastAsia"/>
        </w:rPr>
        <w:t>，鼓励和</w:t>
      </w:r>
      <w:r>
        <w:rPr>
          <w:rFonts w:ascii="仿宋_GB2312"/>
        </w:rPr>
        <w:t>引导在</w:t>
      </w:r>
      <w:r>
        <w:rPr>
          <w:rFonts w:ascii="仿宋_GB2312" w:hint="eastAsia"/>
        </w:rPr>
        <w:t>能源管理、</w:t>
      </w:r>
      <w:r>
        <w:rPr>
          <w:rFonts w:ascii="仿宋_GB2312"/>
        </w:rPr>
        <w:t>公共出行、旅游景区</w:t>
      </w:r>
      <w:r>
        <w:rPr>
          <w:rFonts w:ascii="仿宋_GB2312" w:hint="eastAsia"/>
        </w:rPr>
        <w:t>和</w:t>
      </w:r>
      <w:r>
        <w:rPr>
          <w:rFonts w:ascii="仿宋_GB2312"/>
        </w:rPr>
        <w:t>文化场馆等环节创新智能</w:t>
      </w:r>
      <w:r>
        <w:rPr>
          <w:rFonts w:ascii="仿宋_GB2312" w:hint="eastAsia"/>
        </w:rPr>
        <w:t>应用，形成体系完备、场景丰富的“公共服务+AI”应用格局。</w:t>
      </w:r>
    </w:p>
    <w:p w14:paraId="02EC68B8" w14:textId="77777777" w:rsidR="009D5DEA" w:rsidRDefault="00000000">
      <w:pPr>
        <w:spacing w:after="0" w:line="560" w:lineRule="exact"/>
        <w:ind w:firstLineChars="200" w:firstLine="643"/>
        <w:rPr>
          <w:rFonts w:ascii="仿宋_GB2312"/>
        </w:rPr>
      </w:pPr>
      <w:r>
        <w:rPr>
          <w:rFonts w:ascii="仿宋_GB2312" w:hint="eastAsia"/>
          <w:b/>
          <w:bCs/>
        </w:rPr>
        <w:t>推进“智能制造+AI”融合升级。</w:t>
      </w:r>
      <w:proofErr w:type="gramStart"/>
      <w:r>
        <w:rPr>
          <w:rFonts w:ascii="仿宋_GB2312" w:hint="eastAsia"/>
        </w:rPr>
        <w:t>鼓励链主企业</w:t>
      </w:r>
      <w:proofErr w:type="gramEnd"/>
      <w:r>
        <w:rPr>
          <w:rFonts w:ascii="仿宋_GB2312" w:hint="eastAsia"/>
        </w:rPr>
        <w:t>及上下游企业依托区级数据</w:t>
      </w:r>
      <w:proofErr w:type="gramStart"/>
      <w:r>
        <w:rPr>
          <w:rFonts w:ascii="仿宋_GB2312" w:hint="eastAsia"/>
        </w:rPr>
        <w:t>与算力</w:t>
      </w:r>
      <w:proofErr w:type="gramEnd"/>
      <w:r>
        <w:rPr>
          <w:rFonts w:ascii="仿宋_GB2312" w:hint="eastAsia"/>
        </w:rPr>
        <w:t>能力，组建行业创新联盟，利用人工智能技术对产品设计、自动化生产、故障分析、质量检测、智能分拣、智能客服等关键节点赋能，推动制造业向智能化、精细化、绿色化方向升级。</w:t>
      </w:r>
    </w:p>
    <w:p w14:paraId="427A0D6C" w14:textId="77777777" w:rsidR="009D5DEA" w:rsidRDefault="00000000">
      <w:pPr>
        <w:spacing w:after="0" w:line="560" w:lineRule="exact"/>
        <w:ind w:firstLineChars="200" w:firstLine="643"/>
        <w:rPr>
          <w:rFonts w:ascii="仿宋_GB2312"/>
        </w:rPr>
      </w:pPr>
      <w:r>
        <w:rPr>
          <w:rFonts w:ascii="仿宋_GB2312" w:hint="eastAsia"/>
          <w:b/>
          <w:bCs/>
        </w:rPr>
        <w:t>优化AI场景供需对接机制。</w:t>
      </w:r>
      <w:r>
        <w:rPr>
          <w:rFonts w:ascii="仿宋_GB2312" w:hint="eastAsia"/>
        </w:rPr>
        <w:t>完善人工智能应用场景需求征集、发布和对接机制，健全区级AI产业供需对接细则，实施“以场景招项目、以项目聚产业”的场景招商模式，推动优质AI企业、科研机构在龙华集聚发展，形成政务需求牵引、市场主体参与、产业协同共赢的“AI+”发展格局。</w:t>
      </w:r>
    </w:p>
    <w:p w14:paraId="5F61B303" w14:textId="77777777" w:rsidR="009D5DEA" w:rsidRDefault="00000000">
      <w:pPr>
        <w:pStyle w:val="1"/>
        <w:numPr>
          <w:ilvl w:val="0"/>
          <w:numId w:val="1"/>
        </w:numPr>
        <w:spacing w:before="0" w:after="0" w:line="560" w:lineRule="exact"/>
        <w:rPr>
          <w:rFonts w:ascii="黑体" w:eastAsia="黑体" w:hAnsi="黑体" w:hint="eastAsia"/>
          <w:color w:val="000000" w:themeColor="text1"/>
          <w:sz w:val="32"/>
          <w:szCs w:val="32"/>
        </w:rPr>
      </w:pPr>
      <w:bookmarkStart w:id="45" w:name="_Toc220337794"/>
      <w:r>
        <w:rPr>
          <w:rFonts w:ascii="黑体" w:eastAsia="黑体" w:hAnsi="黑体" w:hint="eastAsia"/>
          <w:color w:val="000000" w:themeColor="text1"/>
          <w:sz w:val="32"/>
          <w:szCs w:val="32"/>
        </w:rPr>
        <w:t>赋能智慧应用创新，</w:t>
      </w:r>
      <w:proofErr w:type="gramStart"/>
      <w:r>
        <w:rPr>
          <w:rFonts w:ascii="黑体" w:eastAsia="黑体" w:hAnsi="黑体" w:hint="eastAsia"/>
          <w:color w:val="000000" w:themeColor="text1"/>
          <w:sz w:val="32"/>
          <w:szCs w:val="32"/>
        </w:rPr>
        <w:t>打造数智示范</w:t>
      </w:r>
      <w:proofErr w:type="gramEnd"/>
      <w:r>
        <w:rPr>
          <w:rFonts w:ascii="黑体" w:eastAsia="黑体" w:hAnsi="黑体" w:hint="eastAsia"/>
          <w:color w:val="000000" w:themeColor="text1"/>
          <w:sz w:val="32"/>
          <w:szCs w:val="32"/>
        </w:rPr>
        <w:t>高地</w:t>
      </w:r>
      <w:bookmarkEnd w:id="45"/>
    </w:p>
    <w:p w14:paraId="421D7592" w14:textId="77777777" w:rsidR="009D5DEA" w:rsidRDefault="00000000">
      <w:pPr>
        <w:pStyle w:val="2"/>
        <w:numPr>
          <w:ilvl w:val="0"/>
          <w:numId w:val="13"/>
        </w:numPr>
        <w:spacing w:before="0" w:after="0" w:line="560" w:lineRule="exact"/>
        <w:rPr>
          <w:rFonts w:ascii="楷体_GB2312" w:eastAsia="楷体_GB2312" w:hAnsi="黑体" w:hint="eastAsia"/>
          <w:color w:val="000000" w:themeColor="text1"/>
          <w:sz w:val="32"/>
          <w:szCs w:val="32"/>
        </w:rPr>
      </w:pPr>
      <w:bookmarkStart w:id="46" w:name="_Toc220337795"/>
      <w:r>
        <w:rPr>
          <w:rFonts w:ascii="楷体_GB2312" w:eastAsia="楷体_GB2312" w:hAnsi="黑体" w:hint="eastAsia"/>
          <w:color w:val="000000" w:themeColor="text1"/>
          <w:sz w:val="32"/>
          <w:szCs w:val="32"/>
        </w:rPr>
        <w:t>培育经济发展新动能</w:t>
      </w:r>
      <w:bookmarkEnd w:id="46"/>
    </w:p>
    <w:p w14:paraId="7F344910" w14:textId="77777777" w:rsidR="009D5DEA" w:rsidRDefault="00000000">
      <w:pPr>
        <w:pStyle w:val="3"/>
        <w:widowControl/>
        <w:numPr>
          <w:ilvl w:val="0"/>
          <w:numId w:val="14"/>
        </w:numPr>
        <w:spacing w:before="0" w:after="0" w:line="560" w:lineRule="exact"/>
        <w:rPr>
          <w:rFonts w:ascii="仿宋" w:eastAsia="仿宋_GB2312" w:hAnsi="仿宋" w:cs="宋体" w:hint="eastAsia"/>
          <w:b/>
          <w:bCs/>
          <w:color w:val="auto"/>
          <w:kern w:val="0"/>
        </w:rPr>
      </w:pPr>
      <w:bookmarkStart w:id="47" w:name="_Toc220337796"/>
      <w:r>
        <w:rPr>
          <w:rFonts w:ascii="仿宋" w:eastAsia="仿宋_GB2312" w:hAnsi="仿宋" w:cs="宋体"/>
          <w:b/>
          <w:bCs/>
          <w:color w:val="auto"/>
          <w:kern w:val="0"/>
        </w:rPr>
        <w:t>深化</w:t>
      </w:r>
      <w:r>
        <w:rPr>
          <w:rFonts w:ascii="仿宋" w:eastAsia="仿宋_GB2312" w:hAnsi="仿宋" w:cs="宋体" w:hint="eastAsia"/>
          <w:b/>
          <w:bCs/>
          <w:color w:val="auto"/>
          <w:kern w:val="0"/>
        </w:rPr>
        <w:t>“数据要素×”</w:t>
      </w:r>
      <w:r>
        <w:rPr>
          <w:rFonts w:ascii="仿宋" w:eastAsia="仿宋_GB2312" w:hAnsi="仿宋" w:cs="宋体"/>
          <w:b/>
          <w:bCs/>
          <w:color w:val="auto"/>
          <w:kern w:val="0"/>
        </w:rPr>
        <w:t>行动</w:t>
      </w:r>
      <w:bookmarkEnd w:id="47"/>
    </w:p>
    <w:p w14:paraId="13E3E1A7" w14:textId="77777777" w:rsidR="009D5DEA" w:rsidRDefault="00000000">
      <w:pPr>
        <w:spacing w:after="0" w:line="560" w:lineRule="exact"/>
        <w:ind w:firstLineChars="200" w:firstLine="643"/>
      </w:pPr>
      <w:r>
        <w:rPr>
          <w:b/>
          <w:bCs/>
        </w:rPr>
        <w:t>激发数据要素驱动效能。</w:t>
      </w:r>
      <w:r>
        <w:t>以制度创新破解数据流通瓶颈，释放数据要素潜能，推动数据与实体经济全链条、多维度融合，培育新质生产力，构筑面向未来的数字竞争优势</w:t>
      </w:r>
      <w:r>
        <w:rPr>
          <w:rFonts w:hint="eastAsia"/>
        </w:rPr>
        <w:t>，</w:t>
      </w:r>
      <w:r>
        <w:t>通过强化基础制度与基础设施建设，促进数据合</w:t>
      </w:r>
      <w:proofErr w:type="gramStart"/>
      <w:r>
        <w:t>规</w:t>
      </w:r>
      <w:proofErr w:type="gramEnd"/>
      <w:r>
        <w:t>高效流通使用，使其成为驱动</w:t>
      </w:r>
      <w:proofErr w:type="gramStart"/>
      <w:r>
        <w:t>龙华区</w:t>
      </w:r>
      <w:proofErr w:type="gramEnd"/>
      <w:r>
        <w:t>经济高质量发展的核心</w:t>
      </w:r>
      <w:r>
        <w:lastRenderedPageBreak/>
        <w:t>增长引擎</w:t>
      </w:r>
      <w:r>
        <w:rPr>
          <w:rFonts w:hint="eastAsia"/>
        </w:rPr>
        <w:t>。</w:t>
      </w:r>
    </w:p>
    <w:p w14:paraId="28547A71" w14:textId="77777777" w:rsidR="009D5DEA" w:rsidRDefault="00000000">
      <w:pPr>
        <w:spacing w:after="0" w:line="560" w:lineRule="exact"/>
        <w:ind w:firstLineChars="200" w:firstLine="643"/>
      </w:pPr>
      <w:r>
        <w:rPr>
          <w:b/>
          <w:bCs/>
        </w:rPr>
        <w:t>完善数据要素供给体系。</w:t>
      </w:r>
      <w:r>
        <w:t>依托区级数</w:t>
      </w:r>
      <w:proofErr w:type="gramStart"/>
      <w:r>
        <w:t>据资源</w:t>
      </w:r>
      <w:proofErr w:type="gramEnd"/>
      <w:r>
        <w:t>平台、经济大脑等基础设施，统筹推进政务数据、公共服务数据和重点行业数据汇聚共享，健全数据目录、分级分类、质量管理和动态更新机制，建设若干高质量基础数据资源库和主题数据库，提升数据要素供给的可用性与精细度。</w:t>
      </w:r>
    </w:p>
    <w:p w14:paraId="4BEA126C" w14:textId="77777777" w:rsidR="009D5DEA" w:rsidRDefault="00000000">
      <w:pPr>
        <w:spacing w:after="0" w:line="560" w:lineRule="exact"/>
        <w:ind w:firstLineChars="200" w:firstLine="643"/>
      </w:pPr>
      <w:r>
        <w:rPr>
          <w:rFonts w:hint="eastAsia"/>
          <w:b/>
          <w:bCs/>
        </w:rPr>
        <w:t>做深做实“数据要素×”重点场景。</w:t>
      </w:r>
      <w:r>
        <w:rPr>
          <w:rFonts w:hint="eastAsia"/>
        </w:rPr>
        <w:t>围绕“数据要素×制造业、×金融、×交通物流、×商贸文旅、×医疗教育”等重点领域，会同工信、发改、商务、文</w:t>
      </w:r>
      <w:proofErr w:type="gramStart"/>
      <w:r>
        <w:rPr>
          <w:rFonts w:hint="eastAsia"/>
        </w:rPr>
        <w:t>广旅体等</w:t>
      </w:r>
      <w:proofErr w:type="gramEnd"/>
      <w:r>
        <w:rPr>
          <w:rFonts w:hint="eastAsia"/>
        </w:rPr>
        <w:t>部门滚动梳理“数据要素×”场景清单，聚焦产业链协同、精准营销、智能风控、供应链优化等方向，打造一批可复制、可推广的融合应用项目，推动传统产业实现“以数促智、以智提质”。</w:t>
      </w:r>
    </w:p>
    <w:p w14:paraId="6DD19D1C" w14:textId="77777777" w:rsidR="009D5DEA" w:rsidRDefault="00000000">
      <w:pPr>
        <w:spacing w:after="0" w:line="560" w:lineRule="exact"/>
        <w:ind w:firstLineChars="200" w:firstLine="643"/>
      </w:pPr>
      <w:r>
        <w:rPr>
          <w:rFonts w:hint="eastAsia"/>
          <w:b/>
          <w:bCs/>
        </w:rPr>
        <w:t>健全数据要素安全合</w:t>
      </w:r>
      <w:proofErr w:type="gramStart"/>
      <w:r>
        <w:rPr>
          <w:rFonts w:hint="eastAsia"/>
          <w:b/>
          <w:bCs/>
        </w:rPr>
        <w:t>规</w:t>
      </w:r>
      <w:proofErr w:type="gramEnd"/>
      <w:r>
        <w:rPr>
          <w:rFonts w:hint="eastAsia"/>
          <w:b/>
          <w:bCs/>
        </w:rPr>
        <w:t>机制。</w:t>
      </w:r>
      <w:r>
        <w:rPr>
          <w:rFonts w:hint="eastAsia"/>
        </w:rPr>
        <w:t>严格落实《深圳经济特区数据条例》等上位法规，健全数据分级分类、全生命周期管理、安全审查和风险评估等制度，探索公共数据授权运营和数据跨境流动的合</w:t>
      </w:r>
      <w:proofErr w:type="gramStart"/>
      <w:r>
        <w:rPr>
          <w:rFonts w:hint="eastAsia"/>
        </w:rPr>
        <w:t>规</w:t>
      </w:r>
      <w:proofErr w:type="gramEnd"/>
      <w:r>
        <w:rPr>
          <w:rFonts w:hint="eastAsia"/>
        </w:rPr>
        <w:t>路径，构建“供得出、流得动、用得好、保安全”的数据要素流通生态，为“数据要素×”行动提供可持续的制度保障。</w:t>
      </w:r>
    </w:p>
    <w:p w14:paraId="1D85403F" w14:textId="77777777" w:rsidR="009D5DEA" w:rsidRDefault="00000000">
      <w:pPr>
        <w:pStyle w:val="3"/>
        <w:widowControl/>
        <w:numPr>
          <w:ilvl w:val="0"/>
          <w:numId w:val="14"/>
        </w:numPr>
        <w:spacing w:before="0" w:after="0" w:line="560" w:lineRule="exact"/>
        <w:rPr>
          <w:rFonts w:ascii="仿宋" w:eastAsia="仿宋_GB2312" w:hAnsi="仿宋" w:cs="宋体" w:hint="eastAsia"/>
          <w:b/>
          <w:bCs/>
          <w:color w:val="auto"/>
          <w:kern w:val="0"/>
        </w:rPr>
      </w:pPr>
      <w:bookmarkStart w:id="48" w:name="_Toc220337797"/>
      <w:r>
        <w:rPr>
          <w:rFonts w:ascii="仿宋" w:eastAsia="仿宋_GB2312" w:hAnsi="仿宋" w:cs="宋体" w:hint="eastAsia"/>
          <w:b/>
          <w:bCs/>
          <w:color w:val="auto"/>
          <w:kern w:val="0"/>
        </w:rPr>
        <w:t>拓展数据要素市场生态</w:t>
      </w:r>
      <w:bookmarkEnd w:id="48"/>
    </w:p>
    <w:p w14:paraId="1BFE7B25" w14:textId="77777777" w:rsidR="009D5DEA" w:rsidRDefault="00000000">
      <w:pPr>
        <w:spacing w:after="0" w:line="560" w:lineRule="exact"/>
        <w:ind w:firstLineChars="200" w:firstLine="643"/>
      </w:pPr>
      <w:r>
        <w:rPr>
          <w:b/>
          <w:bCs/>
        </w:rPr>
        <w:t>打通数据价值闭环。</w:t>
      </w:r>
      <w:r>
        <w:rPr>
          <w:rFonts w:hint="eastAsia"/>
        </w:rPr>
        <w:t>依托深圳数据交易所和区级公共数据授权运营单位，加快构建覆盖数据服务、解决方案与应用模型等多元形态的数据产品矩阵，持续迭代“龙数贸”“龙数贷”等创新型数据产品和服务，推动政务数据与产</w:t>
      </w:r>
      <w:r>
        <w:rPr>
          <w:rFonts w:hint="eastAsia"/>
        </w:rPr>
        <w:lastRenderedPageBreak/>
        <w:t>业数据、金融数据安全融合，通过数据产品场内交易、</w:t>
      </w:r>
      <w:proofErr w:type="gramStart"/>
      <w:r>
        <w:rPr>
          <w:rFonts w:hint="eastAsia"/>
        </w:rPr>
        <w:t>数商生态</w:t>
      </w:r>
      <w:proofErr w:type="gramEnd"/>
      <w:r>
        <w:rPr>
          <w:rFonts w:hint="eastAsia"/>
        </w:rPr>
        <w:t>培育、数据资产入表等市场化机制，打通“供给—流通—应用—收益”闭环，放大数据要素对实体经济的乘数效应。</w:t>
      </w:r>
    </w:p>
    <w:p w14:paraId="0CC6EE25" w14:textId="77777777" w:rsidR="009D5DEA" w:rsidRDefault="00000000">
      <w:pPr>
        <w:spacing w:after="0" w:line="560" w:lineRule="exact"/>
        <w:ind w:firstLineChars="200" w:firstLine="643"/>
      </w:pPr>
      <w:r>
        <w:rPr>
          <w:b/>
          <w:bCs/>
        </w:rPr>
        <w:t>深化数据要素市场化配置改革。</w:t>
      </w:r>
      <w:r>
        <w:t>重点推动数据资产管理及价值形成，以数据资产形态落实数据权益，持续深化</w:t>
      </w:r>
      <w:proofErr w:type="gramStart"/>
      <w:r>
        <w:t>龙华区数据</w:t>
      </w:r>
      <w:proofErr w:type="gramEnd"/>
      <w:r>
        <w:t>要素市场化改革。创新数据治理与流通机制，</w:t>
      </w:r>
      <w:r>
        <w:rPr>
          <w:rFonts w:hint="eastAsia"/>
        </w:rPr>
        <w:t>开展数据基础制度建设</w:t>
      </w:r>
      <w:r>
        <w:t>，依托可信数据流通空间拓展产业赋能、城市治理、民生服务三大类应用场景，升级</w:t>
      </w:r>
      <w:r>
        <w:rPr>
          <w:rFonts w:hint="eastAsia"/>
        </w:rPr>
        <w:t>“</w:t>
      </w:r>
      <w:r>
        <w:t>龙数贸</w:t>
      </w:r>
      <w:r>
        <w:rPr>
          <w:rFonts w:hint="eastAsia"/>
        </w:rPr>
        <w:t>”</w:t>
      </w:r>
      <w:r>
        <w:t>跨境贸易服务、建设智能制造与产业链协同数据空间，培育数据产业生态，带动数字产业集聚发展。</w:t>
      </w:r>
    </w:p>
    <w:p w14:paraId="46AAC1A8" w14:textId="77777777" w:rsidR="009D5DEA" w:rsidRDefault="00000000">
      <w:pPr>
        <w:spacing w:after="0" w:line="560" w:lineRule="exact"/>
        <w:ind w:firstLineChars="200" w:firstLine="643"/>
        <w:rPr>
          <w:rFonts w:ascii="仿宋_GB2312"/>
        </w:rPr>
      </w:pPr>
      <w:r>
        <w:rPr>
          <w:rFonts w:ascii="仿宋_GB2312" w:hint="eastAsia"/>
          <w:b/>
          <w:bCs/>
        </w:rPr>
        <w:t>赋能</w:t>
      </w:r>
      <w:proofErr w:type="gramStart"/>
      <w:r>
        <w:rPr>
          <w:rFonts w:ascii="仿宋_GB2312" w:hint="eastAsia"/>
          <w:b/>
          <w:bCs/>
        </w:rPr>
        <w:t>低空经济与具身</w:t>
      </w:r>
      <w:proofErr w:type="gramEnd"/>
      <w:r>
        <w:rPr>
          <w:rFonts w:ascii="仿宋_GB2312" w:hint="eastAsia"/>
          <w:b/>
          <w:bCs/>
        </w:rPr>
        <w:t>智能等数据密集型产业。</w:t>
      </w:r>
      <w:r>
        <w:rPr>
          <w:rFonts w:ascii="仿宋_GB2312" w:hint="eastAsia"/>
        </w:rPr>
        <w:t>依托龙华全信</w:t>
      </w:r>
      <w:proofErr w:type="gramStart"/>
      <w:r>
        <w:rPr>
          <w:rFonts w:ascii="仿宋_GB2312" w:hint="eastAsia"/>
        </w:rPr>
        <w:t>创数字</w:t>
      </w:r>
      <w:proofErr w:type="gramEnd"/>
      <w:r>
        <w:rPr>
          <w:rFonts w:ascii="仿宋_GB2312" w:hint="eastAsia"/>
        </w:rPr>
        <w:t>孪生城区和全域高精度实景三维模型，</w:t>
      </w:r>
      <w:proofErr w:type="gramStart"/>
      <w:r>
        <w:rPr>
          <w:rFonts w:ascii="仿宋_GB2312" w:hint="eastAsia"/>
        </w:rPr>
        <w:t>做优做</w:t>
      </w:r>
      <w:proofErr w:type="gramEnd"/>
      <w:r>
        <w:rPr>
          <w:rFonts w:ascii="仿宋_GB2312" w:hint="eastAsia"/>
        </w:rPr>
        <w:t>强政务低空飞行服务平台，持续汇聚空域规划、气象监测、人口企业、</w:t>
      </w:r>
      <w:proofErr w:type="gramStart"/>
      <w:r>
        <w:rPr>
          <w:rFonts w:ascii="仿宋_GB2312" w:hint="eastAsia"/>
        </w:rPr>
        <w:t>物联感知</w:t>
      </w:r>
      <w:proofErr w:type="gramEnd"/>
      <w:r>
        <w:rPr>
          <w:rFonts w:ascii="仿宋_GB2312" w:hint="eastAsia"/>
        </w:rPr>
        <w:t>等多源时空数据，推动形成“低空空域一张图”和“时空数据一体化”管理能力，为无人机物流配送、设施巡检、应急救援、城市巡查等场景提供高质量数据底座。以政务低空飞行服务平台为牵引，创新三维时空数据共建共享机制，深化与</w:t>
      </w:r>
      <w:proofErr w:type="gramStart"/>
      <w:r>
        <w:rPr>
          <w:rFonts w:ascii="仿宋_GB2312" w:hint="eastAsia"/>
        </w:rPr>
        <w:t>市空间</w:t>
      </w:r>
      <w:proofErr w:type="gramEnd"/>
      <w:r>
        <w:rPr>
          <w:rFonts w:ascii="仿宋_GB2312" w:hint="eastAsia"/>
        </w:rPr>
        <w:t>地理信息中心、</w:t>
      </w:r>
      <w:proofErr w:type="gramStart"/>
      <w:r>
        <w:rPr>
          <w:rFonts w:ascii="仿宋_GB2312" w:hint="eastAsia"/>
        </w:rPr>
        <w:t>低空企业</w:t>
      </w:r>
      <w:proofErr w:type="gramEnd"/>
      <w:r>
        <w:rPr>
          <w:rFonts w:ascii="仿宋_GB2312" w:hint="eastAsia"/>
        </w:rPr>
        <w:t>等主体协同，探索空间数据产品开发和交易模式，加速时空数据要素化运营进程，服务千亿级</w:t>
      </w:r>
      <w:proofErr w:type="gramStart"/>
      <w:r>
        <w:rPr>
          <w:rFonts w:ascii="仿宋_GB2312" w:hint="eastAsia"/>
        </w:rPr>
        <w:t>低空经济和具身</w:t>
      </w:r>
      <w:proofErr w:type="gramEnd"/>
      <w:r>
        <w:rPr>
          <w:rFonts w:ascii="仿宋_GB2312" w:hint="eastAsia"/>
        </w:rPr>
        <w:t>智能等新质生产力发展。</w:t>
      </w:r>
    </w:p>
    <w:p w14:paraId="1FD4170F" w14:textId="77777777" w:rsidR="009D5DEA" w:rsidRDefault="00000000">
      <w:pPr>
        <w:spacing w:after="0" w:line="560" w:lineRule="exact"/>
        <w:ind w:firstLineChars="200" w:firstLine="643"/>
      </w:pPr>
      <w:r>
        <w:rPr>
          <w:rFonts w:ascii="仿宋_GB2312" w:hint="eastAsia"/>
          <w:b/>
          <w:bCs/>
        </w:rPr>
        <w:t>拓展“数据即服务”“模型即服务”等新业态。</w:t>
      </w:r>
      <w:r>
        <w:rPr>
          <w:rFonts w:ascii="仿宋_GB2312" w:hint="eastAsia"/>
        </w:rPr>
        <w:t>依托区联合创新中心</w:t>
      </w:r>
      <w:proofErr w:type="gramStart"/>
      <w:r>
        <w:rPr>
          <w:rFonts w:ascii="仿宋_GB2312" w:hint="eastAsia"/>
        </w:rPr>
        <w:t>和算力平台</w:t>
      </w:r>
      <w:proofErr w:type="gramEnd"/>
      <w:r>
        <w:rPr>
          <w:rFonts w:ascii="仿宋_GB2312" w:hint="eastAsia"/>
        </w:rPr>
        <w:t>，围绕重点领域高质量数据集和</w:t>
      </w:r>
      <w:r>
        <w:rPr>
          <w:rFonts w:ascii="仿宋_GB2312" w:hint="eastAsia"/>
        </w:rPr>
        <w:lastRenderedPageBreak/>
        <w:t>可信数据流通基础设施，开放标准化接口和基础算法能力，面向园区、龙头企业和创新团队提供“数据即服务（DaaS）”“模型即服务（</w:t>
      </w:r>
      <w:proofErr w:type="spellStart"/>
      <w:r>
        <w:rPr>
          <w:rFonts w:ascii="仿宋_GB2312" w:hint="eastAsia"/>
        </w:rPr>
        <w:t>MaaS</w:t>
      </w:r>
      <w:proofErr w:type="spellEnd"/>
      <w:r>
        <w:rPr>
          <w:rFonts w:ascii="仿宋_GB2312" w:hint="eastAsia"/>
        </w:rPr>
        <w:t>）”等新型服务，支持在城市治理、</w:t>
      </w:r>
      <w:r>
        <w:t>开源鸿蒙</w:t>
      </w:r>
      <w:r>
        <w:rPr>
          <w:rFonts w:hint="eastAsia"/>
        </w:rPr>
        <w:t>、</w:t>
      </w:r>
      <w:proofErr w:type="gramStart"/>
      <w:r>
        <w:rPr>
          <w:rFonts w:hint="eastAsia"/>
        </w:rPr>
        <w:t>低空经济</w:t>
      </w:r>
      <w:proofErr w:type="gramEnd"/>
      <w:r>
        <w:rPr>
          <w:rFonts w:ascii="仿宋_GB2312" w:hint="eastAsia"/>
        </w:rPr>
        <w:t>等方向开展联合创新，打造一批可在全市乃至大湾区复制推广的“数据要素×产业”标杆项目，持续放大高质量数据集对区域产业发展的乘数效应。</w:t>
      </w:r>
    </w:p>
    <w:p w14:paraId="268569CD" w14:textId="77777777" w:rsidR="009D5DEA" w:rsidRDefault="00000000">
      <w:pPr>
        <w:pStyle w:val="2"/>
        <w:numPr>
          <w:ilvl w:val="0"/>
          <w:numId w:val="13"/>
        </w:numPr>
        <w:spacing w:before="0" w:after="0" w:line="560" w:lineRule="exact"/>
        <w:ind w:left="1360" w:hanging="720"/>
        <w:rPr>
          <w:rFonts w:ascii="楷体_GB2312" w:eastAsia="楷体_GB2312" w:hAnsi="黑体" w:hint="eastAsia"/>
          <w:color w:val="000000" w:themeColor="text1"/>
          <w:sz w:val="32"/>
          <w:szCs w:val="32"/>
        </w:rPr>
      </w:pPr>
      <w:bookmarkStart w:id="49" w:name="_Toc220337798"/>
      <w:r>
        <w:rPr>
          <w:rFonts w:ascii="楷体_GB2312" w:eastAsia="楷体_GB2312" w:hAnsi="黑体" w:hint="eastAsia"/>
          <w:color w:val="000000" w:themeColor="text1"/>
          <w:sz w:val="32"/>
          <w:szCs w:val="32"/>
        </w:rPr>
        <w:t>打造基层治理新模式</w:t>
      </w:r>
      <w:bookmarkEnd w:id="49"/>
    </w:p>
    <w:p w14:paraId="67389EA9" w14:textId="77777777" w:rsidR="009D5DEA" w:rsidRDefault="00000000">
      <w:pPr>
        <w:pStyle w:val="3"/>
        <w:widowControl/>
        <w:numPr>
          <w:ilvl w:val="0"/>
          <w:numId w:val="15"/>
        </w:numPr>
        <w:spacing w:before="0" w:after="0" w:line="560" w:lineRule="exact"/>
        <w:rPr>
          <w:rFonts w:ascii="仿宋" w:eastAsia="仿宋_GB2312" w:hAnsi="仿宋" w:cs="宋体" w:hint="eastAsia"/>
          <w:b/>
          <w:bCs/>
          <w:color w:val="auto"/>
          <w:kern w:val="0"/>
        </w:rPr>
      </w:pPr>
      <w:bookmarkStart w:id="50" w:name="_Toc220337799"/>
      <w:r>
        <w:rPr>
          <w:rFonts w:ascii="仿宋" w:eastAsia="仿宋_GB2312" w:hAnsi="仿宋" w:cs="宋体" w:hint="eastAsia"/>
          <w:b/>
          <w:bCs/>
          <w:color w:val="auto"/>
          <w:kern w:val="0"/>
        </w:rPr>
        <w:t>构建智慧高效治理体系</w:t>
      </w:r>
      <w:bookmarkEnd w:id="50"/>
    </w:p>
    <w:p w14:paraId="022B9449" w14:textId="77777777" w:rsidR="009D5DEA" w:rsidRDefault="00000000">
      <w:pPr>
        <w:spacing w:after="0" w:line="560" w:lineRule="exact"/>
        <w:ind w:firstLineChars="200" w:firstLine="643"/>
        <w:rPr>
          <w:b/>
        </w:rPr>
      </w:pPr>
      <w:r>
        <w:rPr>
          <w:rFonts w:hint="eastAsia"/>
          <w:b/>
        </w:rPr>
        <w:t>强化数字治理技术支撑。</w:t>
      </w:r>
      <w:r>
        <w:rPr>
          <w:rFonts w:hint="eastAsia"/>
          <w:bCs/>
        </w:rPr>
        <w:t>推动人工智能、大数据、数字</w:t>
      </w:r>
      <w:proofErr w:type="gramStart"/>
      <w:r>
        <w:rPr>
          <w:rFonts w:hint="eastAsia"/>
          <w:bCs/>
        </w:rPr>
        <w:t>孪生等</w:t>
      </w:r>
      <w:proofErr w:type="gramEnd"/>
      <w:r>
        <w:rPr>
          <w:rFonts w:hint="eastAsia"/>
          <w:bCs/>
        </w:rPr>
        <w:t>技术在政务服务、城市运行、公共安全等领域集成应用。优先在就业、健康、养老、教育、文化等民生领域降低人工智能技术应用门槛，加快健康助手、智能</w:t>
      </w:r>
      <w:proofErr w:type="gramStart"/>
      <w:r>
        <w:rPr>
          <w:rFonts w:hint="eastAsia"/>
          <w:bCs/>
        </w:rPr>
        <w:t>学伴等</w:t>
      </w:r>
      <w:proofErr w:type="gramEnd"/>
      <w:r>
        <w:rPr>
          <w:rFonts w:hint="eastAsia"/>
          <w:bCs/>
        </w:rPr>
        <w:t>人工智能产品与服务的普惠化应用，拓展民生诉求、网格事件、</w:t>
      </w:r>
      <w:proofErr w:type="gramStart"/>
      <w:r>
        <w:rPr>
          <w:rFonts w:hint="eastAsia"/>
          <w:bCs/>
        </w:rPr>
        <w:t>物联感知</w:t>
      </w:r>
      <w:proofErr w:type="gramEnd"/>
      <w:r>
        <w:rPr>
          <w:rFonts w:hint="eastAsia"/>
          <w:bCs/>
        </w:rPr>
        <w:t>等数据的智能识别、分拨和闭环处置应用。有序推进人工智能在社会治理、安全治理、生态治理等领域的深度应用，构建“区—街道—社区”多级协同的智能治理体系，形成高效多元的现代治理格局。</w:t>
      </w:r>
    </w:p>
    <w:p w14:paraId="5CE474A8" w14:textId="77777777" w:rsidR="009D5DEA" w:rsidRDefault="00000000">
      <w:pPr>
        <w:spacing w:after="0" w:line="560" w:lineRule="exact"/>
        <w:ind w:firstLineChars="200" w:firstLine="643"/>
        <w:rPr>
          <w:bCs/>
        </w:rPr>
      </w:pPr>
      <w:r>
        <w:rPr>
          <w:rFonts w:hint="eastAsia"/>
          <w:b/>
        </w:rPr>
        <w:t>赋能国土空间全周期数字化治理</w:t>
      </w:r>
      <w:r>
        <w:rPr>
          <w:rFonts w:hint="eastAsia"/>
          <w:bCs/>
        </w:rPr>
        <w:t>。夯实全区统一的空间治理数据底座，统筹时空基础数据、遥感影像和</w:t>
      </w:r>
      <w:proofErr w:type="gramStart"/>
      <w:r>
        <w:rPr>
          <w:rFonts w:hint="eastAsia"/>
          <w:bCs/>
        </w:rPr>
        <w:t>物联</w:t>
      </w:r>
      <w:proofErr w:type="gramEnd"/>
      <w:r>
        <w:rPr>
          <w:rFonts w:hint="eastAsia"/>
          <w:bCs/>
        </w:rPr>
        <w:t>感知资源，完善专项规划底图底数清单与动态更新机制，为“多规合一”提供权威数据支撑。深化城市运行“一网统管”在空间治理领域的应用，联动城市级国土空间规划实施监测网络建设，构建覆盖规划编制、审批监管、实施评估的业务联动网络、信息系统网络和开放治理网络，统筹</w:t>
      </w:r>
      <w:r>
        <w:rPr>
          <w:rFonts w:hint="eastAsia"/>
          <w:bCs/>
        </w:rPr>
        <w:lastRenderedPageBreak/>
        <w:t>建设与完善全区统一的“一张图”和城市信息模型平台。推动建设项目从立项、规划到验收、登记的全流程数据贯通与业务协同，支撑房屋建筑“落图赋码”，实现对土地开发、楼宇建设、工地监管、环境监测等关键信息的“一图统</w:t>
      </w:r>
      <w:proofErr w:type="gramStart"/>
      <w:r>
        <w:rPr>
          <w:rFonts w:hint="eastAsia"/>
          <w:bCs/>
        </w:rPr>
        <w:t>览</w:t>
      </w:r>
      <w:proofErr w:type="gramEnd"/>
      <w:r>
        <w:rPr>
          <w:rFonts w:hint="eastAsia"/>
          <w:bCs/>
        </w:rPr>
        <w:t>”和智能闭环管理，全面提升城市规划、建设与管理的整体效能。</w:t>
      </w:r>
    </w:p>
    <w:p w14:paraId="435C3D74" w14:textId="77777777" w:rsidR="009D5DEA" w:rsidRDefault="00000000">
      <w:pPr>
        <w:spacing w:after="0" w:line="560" w:lineRule="exact"/>
        <w:ind w:firstLineChars="200" w:firstLine="643"/>
        <w:rPr>
          <w:bCs/>
        </w:rPr>
      </w:pPr>
      <w:r>
        <w:rPr>
          <w:rFonts w:hint="eastAsia"/>
          <w:b/>
        </w:rPr>
        <w:t>推动数字治理体系整体流程迭代</w:t>
      </w:r>
      <w:r>
        <w:rPr>
          <w:rFonts w:hint="eastAsia"/>
          <w:bCs/>
        </w:rPr>
        <w:t>。以城市运行“一网统管”为牵引，统筹接入城市运行、社会治安、应急管理、生态环境等多</w:t>
      </w:r>
      <w:proofErr w:type="gramStart"/>
      <w:r>
        <w:rPr>
          <w:rFonts w:hint="eastAsia"/>
          <w:bCs/>
        </w:rPr>
        <w:t>源业务</w:t>
      </w:r>
      <w:proofErr w:type="gramEnd"/>
      <w:r>
        <w:rPr>
          <w:rFonts w:hint="eastAsia"/>
          <w:bCs/>
        </w:rPr>
        <w:t>系统和感知设施，构建横向到边、纵向到底的运行监测、风险预警、协同指挥、评估反馈闭环链条。深化“区—街道—社区”三级联动，健全事件归集、分级响应、协同处置机制，完善“首接负责、限时办结、闭环管理”等工作规则，推动更多治理事项纳入线上闭环管理。加强对重点区域、重点领域、重点人群的智能</w:t>
      </w:r>
      <w:proofErr w:type="gramStart"/>
      <w:r>
        <w:rPr>
          <w:rFonts w:hint="eastAsia"/>
          <w:bCs/>
        </w:rPr>
        <w:t>研</w:t>
      </w:r>
      <w:proofErr w:type="gramEnd"/>
      <w:r>
        <w:rPr>
          <w:rFonts w:hint="eastAsia"/>
          <w:bCs/>
        </w:rPr>
        <w:t>判和趋势分析，提升对突发事件、重大风险的预测预警和综合防控能力，推动城市治理模式由经验驱动向数据驱动、由粗放管理向</w:t>
      </w:r>
      <w:proofErr w:type="gramStart"/>
      <w:r>
        <w:rPr>
          <w:rFonts w:hint="eastAsia"/>
          <w:bCs/>
        </w:rPr>
        <w:t>精细智治转变</w:t>
      </w:r>
      <w:proofErr w:type="gramEnd"/>
      <w:r>
        <w:rPr>
          <w:rFonts w:hint="eastAsia"/>
          <w:bCs/>
        </w:rPr>
        <w:t>。</w:t>
      </w:r>
    </w:p>
    <w:p w14:paraId="44AE759D" w14:textId="77777777" w:rsidR="009D5DEA" w:rsidRDefault="00000000">
      <w:pPr>
        <w:pStyle w:val="3"/>
        <w:widowControl/>
        <w:numPr>
          <w:ilvl w:val="0"/>
          <w:numId w:val="15"/>
        </w:numPr>
        <w:spacing w:before="0" w:after="0" w:line="560" w:lineRule="exact"/>
        <w:rPr>
          <w:rFonts w:ascii="仿宋" w:eastAsia="仿宋_GB2312" w:hAnsi="仿宋" w:cs="宋体" w:hint="eastAsia"/>
          <w:b/>
          <w:bCs/>
          <w:color w:val="auto"/>
          <w:kern w:val="0"/>
        </w:rPr>
      </w:pPr>
      <w:bookmarkStart w:id="51" w:name="OLE_LINK84"/>
      <w:bookmarkStart w:id="52" w:name="_Toc220337800"/>
      <w:r>
        <w:rPr>
          <w:rFonts w:ascii="仿宋" w:eastAsia="仿宋_GB2312" w:hAnsi="仿宋" w:cs="宋体" w:hint="eastAsia"/>
          <w:b/>
          <w:bCs/>
          <w:color w:val="auto"/>
          <w:kern w:val="0"/>
        </w:rPr>
        <w:t>优化数字营商环境</w:t>
      </w:r>
      <w:bookmarkEnd w:id="51"/>
      <w:r>
        <w:rPr>
          <w:rFonts w:ascii="仿宋" w:eastAsia="仿宋_GB2312" w:hAnsi="仿宋" w:cs="宋体" w:hint="eastAsia"/>
          <w:b/>
          <w:bCs/>
          <w:color w:val="auto"/>
          <w:kern w:val="0"/>
        </w:rPr>
        <w:t>体系</w:t>
      </w:r>
      <w:bookmarkEnd w:id="52"/>
    </w:p>
    <w:p w14:paraId="73E2E624" w14:textId="77777777" w:rsidR="009D5DEA" w:rsidRDefault="00000000">
      <w:pPr>
        <w:spacing w:after="0" w:line="560" w:lineRule="exact"/>
        <w:ind w:firstLineChars="200" w:firstLine="643"/>
      </w:pPr>
      <w:r>
        <w:rPr>
          <w:rFonts w:hint="eastAsia"/>
          <w:b/>
          <w:bCs/>
        </w:rPr>
        <w:t>深化“互联网</w:t>
      </w:r>
      <w:r>
        <w:rPr>
          <w:rFonts w:ascii="仿宋_GB2312" w:hint="eastAsia"/>
          <w:b/>
          <w:bCs/>
        </w:rPr>
        <w:t>+</w:t>
      </w:r>
      <w:r>
        <w:rPr>
          <w:rFonts w:hint="eastAsia"/>
          <w:b/>
          <w:bCs/>
        </w:rPr>
        <w:t>监管”体系建设。</w:t>
      </w:r>
      <w:r>
        <w:rPr>
          <w:rFonts w:hint="eastAsia"/>
        </w:rPr>
        <w:t>全面推广“</w:t>
      </w:r>
      <w:r>
        <w:t>扫码入企</w:t>
      </w:r>
      <w:r>
        <w:rPr>
          <w:rFonts w:hint="eastAsia"/>
        </w:rPr>
        <w:t>”，强化监管信息归集共享、有效利用。推行“</w:t>
      </w:r>
      <w:proofErr w:type="gramStart"/>
      <w:r>
        <w:rPr>
          <w:rFonts w:hint="eastAsia"/>
        </w:rPr>
        <w:t>一</w:t>
      </w:r>
      <w:proofErr w:type="gramEnd"/>
      <w:r>
        <w:rPr>
          <w:rFonts w:hint="eastAsia"/>
        </w:rPr>
        <w:t>企一码”智慧监管模式，实现执法检查全流程可追溯、可监督。建立跨部门联合检查机制，动态完善监管清单，杜绝多头重复执法，减轻企业负担。</w:t>
      </w:r>
    </w:p>
    <w:p w14:paraId="62A3F8AC" w14:textId="77777777" w:rsidR="009D5DEA" w:rsidRDefault="00000000">
      <w:pPr>
        <w:spacing w:after="0" w:line="560" w:lineRule="exact"/>
        <w:ind w:firstLineChars="200" w:firstLine="643"/>
      </w:pPr>
      <w:r>
        <w:rPr>
          <w:rFonts w:hint="eastAsia"/>
          <w:b/>
          <w:bCs/>
        </w:rPr>
        <w:t>提升涉</w:t>
      </w:r>
      <w:proofErr w:type="gramStart"/>
      <w:r>
        <w:rPr>
          <w:rFonts w:hint="eastAsia"/>
          <w:b/>
          <w:bCs/>
        </w:rPr>
        <w:t>企综合</w:t>
      </w:r>
      <w:proofErr w:type="gramEnd"/>
      <w:r>
        <w:rPr>
          <w:rFonts w:hint="eastAsia"/>
          <w:b/>
          <w:bCs/>
        </w:rPr>
        <w:t>服务能力</w:t>
      </w:r>
      <w:r>
        <w:rPr>
          <w:rFonts w:hint="eastAsia"/>
        </w:rPr>
        <w:t>。深化惠企服务“高效办成一</w:t>
      </w:r>
      <w:r>
        <w:rPr>
          <w:rFonts w:hint="eastAsia"/>
        </w:rPr>
        <w:lastRenderedPageBreak/>
        <w:t>件事”改革，加大政务服务资源、市场服务资源整合力度，在监管基础上拓展“</w:t>
      </w:r>
      <w:r>
        <w:t>扫码入企</w:t>
      </w:r>
      <w:r>
        <w:rPr>
          <w:rFonts w:hint="eastAsia"/>
        </w:rPr>
        <w:t>”多场景集成应用，提升中小企业公共服务普惠化、便利化、精准化水平。</w:t>
      </w:r>
    </w:p>
    <w:p w14:paraId="4787D997" w14:textId="77777777" w:rsidR="009D5DEA" w:rsidRDefault="00000000">
      <w:pPr>
        <w:spacing w:after="0" w:line="560" w:lineRule="exact"/>
        <w:ind w:firstLineChars="200" w:firstLine="643"/>
      </w:pPr>
      <w:r>
        <w:rPr>
          <w:rFonts w:hint="eastAsia"/>
          <w:b/>
          <w:bCs/>
        </w:rPr>
        <w:t>健全企业诉求闭环办理机制。</w:t>
      </w:r>
      <w:r>
        <w:rPr>
          <w:rFonts w:hint="eastAsia"/>
        </w:rPr>
        <w:t>用好用活“深</w:t>
      </w:r>
      <w:proofErr w:type="spellStart"/>
      <w:r>
        <w:rPr>
          <w:rFonts w:ascii="仿宋_GB2312" w:hint="eastAsia"/>
        </w:rPr>
        <w:t>i</w:t>
      </w:r>
      <w:proofErr w:type="spellEnd"/>
      <w:r>
        <w:rPr>
          <w:rFonts w:hint="eastAsia"/>
        </w:rPr>
        <w:t>企”“</w:t>
      </w:r>
      <w:proofErr w:type="spellStart"/>
      <w:r>
        <w:rPr>
          <w:rFonts w:ascii="仿宋_GB2312" w:hint="eastAsia"/>
        </w:rPr>
        <w:t>i</w:t>
      </w:r>
      <w:proofErr w:type="spellEnd"/>
      <w:r>
        <w:rPr>
          <w:rFonts w:hint="eastAsia"/>
        </w:rPr>
        <w:t>龙华”“龙惠企”“企事速办”等企业服务渠道，优化企业诉求受理、分类</w:t>
      </w:r>
      <w:proofErr w:type="gramStart"/>
      <w:r>
        <w:rPr>
          <w:rFonts w:hint="eastAsia"/>
        </w:rPr>
        <w:t>研</w:t>
      </w:r>
      <w:proofErr w:type="gramEnd"/>
      <w:r>
        <w:rPr>
          <w:rFonts w:hint="eastAsia"/>
        </w:rPr>
        <w:t>判、智能分办、跟踪督办和反馈评价等流程，健全“诉求直达—智能分办—效能监察”的全流程闭环工作机制。</w:t>
      </w:r>
    </w:p>
    <w:p w14:paraId="41B36067" w14:textId="77777777" w:rsidR="009D5DEA" w:rsidRDefault="00000000">
      <w:pPr>
        <w:spacing w:after="0" w:line="560" w:lineRule="exact"/>
        <w:ind w:firstLineChars="200" w:firstLine="643"/>
      </w:pPr>
      <w:r>
        <w:rPr>
          <w:rFonts w:hint="eastAsia"/>
          <w:b/>
          <w:bCs/>
        </w:rPr>
        <w:t>强化</w:t>
      </w:r>
      <w:r>
        <w:rPr>
          <w:b/>
          <w:bCs/>
        </w:rPr>
        <w:t>惠企服务数字化</w:t>
      </w:r>
      <w:r>
        <w:rPr>
          <w:rFonts w:hint="eastAsia"/>
          <w:b/>
          <w:bCs/>
        </w:rPr>
        <w:t>水平。</w:t>
      </w:r>
      <w:r>
        <w:rPr>
          <w:rFonts w:hint="eastAsia"/>
        </w:rPr>
        <w:t>深化企业全景信用画像，依托企业标签、信用画像和产业画像，拓展在政务服务、项目审批、政策兑现等场景中应用，探索企业诉求画像化管理和精准服务推送，推动惠企政策“免申即享”、高频事项即来即办，持续提升企业获得感和满意度。</w:t>
      </w:r>
    </w:p>
    <w:p w14:paraId="19863480" w14:textId="77777777" w:rsidR="009D5DEA" w:rsidRDefault="00000000">
      <w:pPr>
        <w:spacing w:after="0" w:line="560" w:lineRule="exact"/>
        <w:ind w:firstLineChars="200" w:firstLine="643"/>
      </w:pPr>
      <w:r>
        <w:rPr>
          <w:rFonts w:hint="eastAsia"/>
          <w:b/>
          <w:bCs/>
        </w:rPr>
        <w:t>支撑“智慧城管”体系建设。</w:t>
      </w:r>
      <w:r>
        <w:rPr>
          <w:rFonts w:hint="eastAsia"/>
        </w:rPr>
        <w:t>进一步提升城市管理和综合执法数字化能力、智能化应用水平和数据汇聚分析应用能力，推进严格规范公正文明执法，打造城市管理现代化的先行示范标杆。</w:t>
      </w:r>
    </w:p>
    <w:p w14:paraId="4C98C740" w14:textId="77777777" w:rsidR="009D5DEA" w:rsidRDefault="00000000">
      <w:pPr>
        <w:pStyle w:val="3"/>
        <w:widowControl/>
        <w:numPr>
          <w:ilvl w:val="0"/>
          <w:numId w:val="15"/>
        </w:numPr>
        <w:spacing w:before="0" w:after="0" w:line="560" w:lineRule="exact"/>
        <w:rPr>
          <w:rFonts w:ascii="仿宋" w:eastAsia="仿宋_GB2312" w:hAnsi="仿宋" w:cs="宋体" w:hint="eastAsia"/>
          <w:b/>
          <w:bCs/>
          <w:color w:val="auto"/>
          <w:kern w:val="0"/>
        </w:rPr>
      </w:pPr>
      <w:bookmarkStart w:id="53" w:name="_Toc220337801"/>
      <w:r>
        <w:rPr>
          <w:rFonts w:ascii="仿宋" w:eastAsia="仿宋_GB2312" w:hAnsi="仿宋" w:cs="宋体" w:hint="eastAsia"/>
          <w:b/>
          <w:bCs/>
          <w:color w:val="auto"/>
          <w:kern w:val="0"/>
        </w:rPr>
        <w:t>健全机关智慧运行体系</w:t>
      </w:r>
      <w:bookmarkEnd w:id="53"/>
    </w:p>
    <w:p w14:paraId="1C20B74C" w14:textId="77777777" w:rsidR="009D5DEA" w:rsidRDefault="00000000">
      <w:pPr>
        <w:spacing w:after="0" w:line="560" w:lineRule="exact"/>
        <w:ind w:firstLineChars="200" w:firstLine="643"/>
      </w:pPr>
      <w:r>
        <w:rPr>
          <w:b/>
          <w:bCs/>
        </w:rPr>
        <w:t>健全数字机关标准规范体系。</w:t>
      </w:r>
      <w:r>
        <w:rPr>
          <w:rFonts w:hint="eastAsia"/>
        </w:rPr>
        <w:t>统筹推进机关各类业务系统、办公终端与一体化协同办公平台的规范整合与协同升级，逐步建立健全覆盖系统接入、数据接口、权限管理、</w:t>
      </w:r>
      <w:r>
        <w:t>安全审查、运行维护</w:t>
      </w:r>
      <w:r>
        <w:rPr>
          <w:rFonts w:hint="eastAsia"/>
        </w:rPr>
        <w:t>等关键环节的统一管理制度与技术标准，推动机关内部业务系统互联互通、流程协同和安全可控，为数字机关建设提供统一规范支撑。</w:t>
      </w:r>
    </w:p>
    <w:p w14:paraId="2E24984E" w14:textId="77777777" w:rsidR="009D5DEA" w:rsidRDefault="00000000">
      <w:pPr>
        <w:spacing w:after="0" w:line="560" w:lineRule="exact"/>
        <w:ind w:firstLineChars="200" w:firstLine="643"/>
      </w:pPr>
      <w:r>
        <w:rPr>
          <w:b/>
          <w:bCs/>
        </w:rPr>
        <w:lastRenderedPageBreak/>
        <w:t>探索建设节约集约、绿色低碳的数字机关。</w:t>
      </w:r>
      <w:r>
        <w:t>坚持集约建设与绿色运维并重，推动机关信息系统向云化、平台化、集约化方向演进，减少重复建设和</w:t>
      </w:r>
      <w:proofErr w:type="gramStart"/>
      <w:r>
        <w:t>分散运</w:t>
      </w:r>
      <w:proofErr w:type="gramEnd"/>
      <w:r>
        <w:t>维。积极推广电子签章、电子档案等应用，稳步减少纸质流转和线下办理，提升机关运行的节能减排水平。推动资源共享共用和结构优化，逐步形成运转高效、节约集约、绿色低碳的现代化数字机关新形态。</w:t>
      </w:r>
    </w:p>
    <w:p w14:paraId="4CF3BCEE" w14:textId="77777777" w:rsidR="009D5DEA" w:rsidRDefault="00000000">
      <w:pPr>
        <w:pStyle w:val="3"/>
        <w:widowControl/>
        <w:numPr>
          <w:ilvl w:val="0"/>
          <w:numId w:val="15"/>
        </w:numPr>
        <w:spacing w:before="0" w:after="0" w:line="560" w:lineRule="exact"/>
        <w:rPr>
          <w:rFonts w:ascii="仿宋" w:eastAsia="仿宋_GB2312" w:hAnsi="仿宋" w:cs="宋体" w:hint="eastAsia"/>
          <w:b/>
          <w:bCs/>
          <w:color w:val="auto"/>
          <w:kern w:val="0"/>
        </w:rPr>
      </w:pPr>
      <w:bookmarkStart w:id="54" w:name="_Toc220337802"/>
      <w:r>
        <w:rPr>
          <w:rFonts w:ascii="仿宋" w:eastAsia="仿宋_GB2312" w:hAnsi="仿宋" w:cs="宋体" w:hint="eastAsia"/>
          <w:b/>
          <w:bCs/>
          <w:color w:val="auto"/>
          <w:kern w:val="0"/>
        </w:rPr>
        <w:t>完善基层智慧治理能力</w:t>
      </w:r>
      <w:bookmarkEnd w:id="54"/>
    </w:p>
    <w:p w14:paraId="3DA3D313" w14:textId="77777777" w:rsidR="009D5DEA" w:rsidRDefault="00000000">
      <w:pPr>
        <w:spacing w:after="0" w:line="560" w:lineRule="exact"/>
        <w:ind w:firstLineChars="200" w:firstLine="643"/>
        <w:rPr>
          <w:b/>
          <w:bCs/>
        </w:rPr>
      </w:pPr>
      <w:r>
        <w:rPr>
          <w:rFonts w:hint="eastAsia"/>
          <w:b/>
          <w:bCs/>
        </w:rPr>
        <w:t>健全民生诉求一体化办理机制。</w:t>
      </w:r>
      <w:r>
        <w:rPr>
          <w:rFonts w:hint="eastAsia"/>
        </w:rPr>
        <w:t>积极对接市民生诉求服务一体化平台，完善“综合受理、智能分拨、高效办理、跟踪督办、评价反馈”闭环机制，推动企业群众诉求、网格事件等多源事项统一归集、统一分拨、统一跟办，提升诉求化解的精准性与时效性。持续推进通用大模型、语义识别等新技术在民生诉求领域的部署、应用和优化，推动民生诉求领域数据跨部门跨层级依法有序共享和联合分析，强化</w:t>
      </w:r>
      <w:proofErr w:type="gramStart"/>
      <w:r>
        <w:rPr>
          <w:rFonts w:hint="eastAsia"/>
        </w:rPr>
        <w:t>类案治理</w:t>
      </w:r>
      <w:proofErr w:type="gramEnd"/>
      <w:r>
        <w:rPr>
          <w:rFonts w:hint="eastAsia"/>
        </w:rPr>
        <w:t>和源头治理能力，推动基层治理由“事后响应”向“主动服务”“未诉先办”升级。</w:t>
      </w:r>
    </w:p>
    <w:p w14:paraId="50E546DC" w14:textId="77777777" w:rsidR="009D5DEA" w:rsidRDefault="00000000">
      <w:pPr>
        <w:spacing w:after="0" w:line="560" w:lineRule="exact"/>
        <w:ind w:firstLineChars="200" w:firstLine="643"/>
      </w:pPr>
      <w:r>
        <w:rPr>
          <w:rFonts w:hint="eastAsia"/>
          <w:b/>
          <w:bCs/>
        </w:rPr>
        <w:t>构建人机协同的基层智慧治理体系。</w:t>
      </w:r>
      <w:r>
        <w:rPr>
          <w:rFonts w:hint="eastAsia"/>
        </w:rPr>
        <w:t>完善“区—街道—社区”三级智慧治理平台体系，推动各类基层治理应用与区级智能中枢协同联动，形成上下贯通、左右协同的工作格局。构建覆盖居民服务、一线作业和管理决策全链条的工作机制，依托“</w:t>
      </w:r>
      <w:r>
        <w:rPr>
          <w:rFonts w:ascii="仿宋_GB2312" w:hint="eastAsia"/>
        </w:rPr>
        <w:t xml:space="preserve">AI </w:t>
      </w:r>
      <w:r>
        <w:rPr>
          <w:rFonts w:hint="eastAsia"/>
        </w:rPr>
        <w:t>调解员”、“</w:t>
      </w:r>
      <w:r>
        <w:rPr>
          <w:rFonts w:ascii="仿宋_GB2312" w:hint="eastAsia"/>
        </w:rPr>
        <w:t xml:space="preserve">AI </w:t>
      </w:r>
      <w:r>
        <w:rPr>
          <w:rFonts w:hint="eastAsia"/>
        </w:rPr>
        <w:t>法律服务员”等智能应用，优化基层矛盾纠纷化解、普法宣传和法律咨询等服务模式，提升社区法治服务的可及性和精准度。统筹用</w:t>
      </w:r>
      <w:r>
        <w:rPr>
          <w:rFonts w:hint="eastAsia"/>
        </w:rPr>
        <w:lastRenderedPageBreak/>
        <w:t>好“龙平安”等社会治理平台，打通矛盾纠纷发现、分流交办、处置化解、提醒督办、综合</w:t>
      </w:r>
      <w:proofErr w:type="gramStart"/>
      <w:r>
        <w:rPr>
          <w:rFonts w:hint="eastAsia"/>
        </w:rPr>
        <w:t>研判全</w:t>
      </w:r>
      <w:proofErr w:type="gramEnd"/>
      <w:r>
        <w:rPr>
          <w:rFonts w:hint="eastAsia"/>
        </w:rPr>
        <w:t>流程线上闭环，构建对敏感线索、重点区域、重点群体的立体化、网状防控体系，持续提升防风险、保稳定、促和谐的能力水平。</w:t>
      </w:r>
    </w:p>
    <w:p w14:paraId="06DC404A" w14:textId="77777777" w:rsidR="009D5DEA" w:rsidRDefault="00000000">
      <w:pPr>
        <w:spacing w:after="0" w:line="560" w:lineRule="exact"/>
        <w:ind w:firstLineChars="200" w:firstLine="643"/>
        <w:rPr>
          <w:rFonts w:ascii="仿宋_GB2312"/>
        </w:rPr>
      </w:pPr>
      <w:r>
        <w:rPr>
          <w:rFonts w:hint="eastAsia"/>
          <w:b/>
          <w:bCs/>
        </w:rPr>
        <w:t>提升社区精细化服务与决策支撑能力。</w:t>
      </w:r>
      <w:r>
        <w:rPr>
          <w:rFonts w:ascii="仿宋_GB2312" w:hint="eastAsia"/>
        </w:rPr>
        <w:t>建设社区智能客服体系，通过常驻社区</w:t>
      </w:r>
      <w:proofErr w:type="gramStart"/>
      <w:r>
        <w:rPr>
          <w:rFonts w:ascii="仿宋_GB2312" w:hint="eastAsia"/>
        </w:rPr>
        <w:t>微信群</w:t>
      </w:r>
      <w:proofErr w:type="gramEnd"/>
      <w:r>
        <w:rPr>
          <w:rFonts w:ascii="仿宋_GB2312" w:hint="eastAsia"/>
        </w:rPr>
        <w:t>、小程序等渠道，实现居民咨询受理、需求响应的即时办理与精准引导，延伸基层服务触角，提升特殊群体、困难群体等重点对象的服务可及性。打造基层工作者智能辅助工具，集成政策法规、业务手册、典型案例等知识资源，为社区工作者提供政策解读、矛盾调处、风险识别等全方位支持，促进优秀做法标准化、制度化、长效化，切实为基层减负增效。建设基层治理决策智能分析系统，深度挖掘社情民意、诉求趋势和风险隐患等数据，智能识别热点问题、薄弱环节和潜在风险，为街道、社区提供分级分类的决策参考和干预建议，推动基层治理模式从“人海战术”向“智慧赋能”、从经验驱动向数据驱动加快转型，预期到“十五五”期末基本形成人人参与、处处感知、事事可治的基层智慧治理新格局。</w:t>
      </w:r>
    </w:p>
    <w:p w14:paraId="4A9B0C9B" w14:textId="77777777" w:rsidR="009D5DEA" w:rsidRDefault="00000000">
      <w:pPr>
        <w:pStyle w:val="2"/>
        <w:numPr>
          <w:ilvl w:val="0"/>
          <w:numId w:val="13"/>
        </w:numPr>
        <w:spacing w:before="0" w:after="0" w:line="560" w:lineRule="exact"/>
        <w:ind w:left="1360" w:hanging="720"/>
        <w:rPr>
          <w:rFonts w:ascii="楷体_GB2312" w:eastAsia="楷体_GB2312" w:hAnsi="黑体" w:hint="eastAsia"/>
          <w:color w:val="000000" w:themeColor="text1"/>
          <w:sz w:val="32"/>
          <w:szCs w:val="32"/>
        </w:rPr>
      </w:pPr>
      <w:bookmarkStart w:id="55" w:name="_Toc220337803"/>
      <w:r>
        <w:rPr>
          <w:rFonts w:ascii="楷体_GB2312" w:eastAsia="楷体_GB2312" w:hAnsi="黑体" w:hint="eastAsia"/>
          <w:color w:val="000000" w:themeColor="text1"/>
          <w:sz w:val="32"/>
          <w:szCs w:val="32"/>
        </w:rPr>
        <w:t>拓展城区建设新场景</w:t>
      </w:r>
      <w:bookmarkEnd w:id="55"/>
    </w:p>
    <w:p w14:paraId="393F7937" w14:textId="77777777" w:rsidR="009D5DEA" w:rsidRDefault="00000000">
      <w:pPr>
        <w:pStyle w:val="3"/>
        <w:widowControl/>
        <w:numPr>
          <w:ilvl w:val="0"/>
          <w:numId w:val="16"/>
        </w:numPr>
        <w:spacing w:before="0" w:after="0" w:line="560" w:lineRule="exact"/>
        <w:rPr>
          <w:rFonts w:ascii="仿宋" w:eastAsia="仿宋_GB2312" w:hAnsi="仿宋" w:cs="宋体" w:hint="eastAsia"/>
          <w:b/>
          <w:bCs/>
          <w:color w:val="auto"/>
          <w:kern w:val="0"/>
        </w:rPr>
      </w:pPr>
      <w:bookmarkStart w:id="56" w:name="_Toc220337804"/>
      <w:r>
        <w:rPr>
          <w:rFonts w:ascii="仿宋" w:eastAsia="仿宋_GB2312" w:hAnsi="仿宋" w:cs="宋体" w:hint="eastAsia"/>
          <w:b/>
          <w:bCs/>
          <w:color w:val="auto"/>
          <w:kern w:val="0"/>
        </w:rPr>
        <w:t>拓展数字孪生场景应用</w:t>
      </w:r>
      <w:bookmarkEnd w:id="56"/>
    </w:p>
    <w:p w14:paraId="531A03D4" w14:textId="77777777" w:rsidR="009D5DEA" w:rsidRDefault="00000000">
      <w:pPr>
        <w:spacing w:after="0" w:line="560" w:lineRule="exact"/>
        <w:ind w:firstLineChars="200" w:firstLine="640"/>
      </w:pPr>
      <w:r>
        <w:rPr>
          <w:rFonts w:hint="eastAsia"/>
        </w:rPr>
        <w:t>依托</w:t>
      </w:r>
      <w:r>
        <w:t>数字孪生底座</w:t>
      </w:r>
      <w:r>
        <w:rPr>
          <w:rFonts w:hint="eastAsia"/>
        </w:rPr>
        <w:t>，</w:t>
      </w:r>
      <w:r>
        <w:t>立足龙华空间格局和产业结构，系统推进数字孪生技术在数字能源、智慧交通、智能建造、数字健康、新一代智慧物流等重点领域的探索应用，</w:t>
      </w:r>
      <w:r>
        <w:rPr>
          <w:rFonts w:hint="eastAsia"/>
        </w:rPr>
        <w:t>建立健全“</w:t>
      </w:r>
      <w:r>
        <w:t>可视、可感、可算、可控</w:t>
      </w:r>
      <w:r>
        <w:rPr>
          <w:rFonts w:hint="eastAsia"/>
        </w:rPr>
        <w:t>”</w:t>
      </w:r>
      <w:r>
        <w:t>的场景</w:t>
      </w:r>
      <w:proofErr w:type="gramStart"/>
      <w:r>
        <w:t>化数字</w:t>
      </w:r>
      <w:proofErr w:type="gramEnd"/>
      <w:r>
        <w:t>孪生体系。</w:t>
      </w:r>
      <w:r>
        <w:lastRenderedPageBreak/>
        <w:t>围绕重点产业园区、重大基础设施、城市交通走廊、重点建设工程和民生服务载体，推进各类感知数据、业务数据、时空数据的深度汇聚与模型构建，打造一批具有实时监测、仿真推演、辅助决策能力的数字孪生示范场景。探索在能源调度优化、交通组织与拥堵治理、工程建设全过程管控、仓储物流路径优化等场景中嵌入数字孪生应用，提升风险预警、防灾减灾、运行调度和资源配置能力。鼓励龙头企业、科研机构和平台公司共同参与孪生模型开发和方案集成，积极培育</w:t>
      </w:r>
      <w:r>
        <w:rPr>
          <w:rFonts w:hint="eastAsia"/>
        </w:rPr>
        <w:t>“</w:t>
      </w:r>
      <w:r>
        <w:t>数字孪生</w:t>
      </w:r>
      <w:r>
        <w:rPr>
          <w:rFonts w:ascii="仿宋_GB2312" w:hAnsi="Segoe UI Emoji" w:cs="Segoe UI Emoji" w:hint="eastAsia"/>
        </w:rPr>
        <w:t>+</w:t>
      </w:r>
      <w:r>
        <w:t>产业发展</w:t>
      </w:r>
      <w:r>
        <w:rPr>
          <w:rFonts w:hint="eastAsia"/>
        </w:rPr>
        <w:t>”</w:t>
      </w:r>
      <w:r>
        <w:t>新模式，带动传统产业数字化转型、智能化升级和</w:t>
      </w:r>
      <w:proofErr w:type="gramStart"/>
      <w:r>
        <w:t>集群化</w:t>
      </w:r>
      <w:proofErr w:type="gramEnd"/>
      <w:r>
        <w:t>发展，打造</w:t>
      </w:r>
      <w:proofErr w:type="gramStart"/>
      <w:r>
        <w:t>龙华数实</w:t>
      </w:r>
      <w:proofErr w:type="gramEnd"/>
      <w:r>
        <w:t>融合的标杆应用高地。</w:t>
      </w:r>
    </w:p>
    <w:p w14:paraId="2811B57B" w14:textId="77777777" w:rsidR="009D5DEA" w:rsidRDefault="00000000">
      <w:pPr>
        <w:pStyle w:val="3"/>
        <w:widowControl/>
        <w:numPr>
          <w:ilvl w:val="0"/>
          <w:numId w:val="16"/>
        </w:numPr>
        <w:spacing w:before="0" w:after="0" w:line="560" w:lineRule="exact"/>
        <w:rPr>
          <w:rFonts w:ascii="仿宋" w:eastAsia="仿宋_GB2312" w:hAnsi="仿宋" w:cs="宋体" w:hint="eastAsia"/>
          <w:b/>
          <w:bCs/>
          <w:color w:val="auto"/>
          <w:kern w:val="0"/>
        </w:rPr>
      </w:pPr>
      <w:bookmarkStart w:id="57" w:name="_Toc220337805"/>
      <w:r>
        <w:rPr>
          <w:rFonts w:ascii="仿宋" w:eastAsia="仿宋_GB2312" w:hAnsi="仿宋" w:cs="宋体" w:hint="eastAsia"/>
          <w:b/>
          <w:bCs/>
          <w:color w:val="auto"/>
          <w:kern w:val="0"/>
        </w:rPr>
        <w:t>培育数字</w:t>
      </w:r>
      <w:proofErr w:type="gramStart"/>
      <w:r>
        <w:rPr>
          <w:rFonts w:ascii="仿宋" w:eastAsia="仿宋_GB2312" w:hAnsi="仿宋" w:cs="宋体" w:hint="eastAsia"/>
          <w:b/>
          <w:bCs/>
          <w:color w:val="auto"/>
          <w:kern w:val="0"/>
        </w:rPr>
        <w:t>孪生产业</w:t>
      </w:r>
      <w:proofErr w:type="gramEnd"/>
      <w:r>
        <w:rPr>
          <w:rFonts w:ascii="仿宋" w:eastAsia="仿宋_GB2312" w:hAnsi="仿宋" w:cs="宋体" w:hint="eastAsia"/>
          <w:b/>
          <w:bCs/>
          <w:color w:val="auto"/>
          <w:kern w:val="0"/>
        </w:rPr>
        <w:t>生态</w:t>
      </w:r>
      <w:bookmarkEnd w:id="57"/>
    </w:p>
    <w:p w14:paraId="4A6C04E0" w14:textId="77777777" w:rsidR="009D5DEA" w:rsidRDefault="00000000">
      <w:pPr>
        <w:spacing w:after="0" w:line="560" w:lineRule="exact"/>
        <w:ind w:firstLineChars="200" w:firstLine="640"/>
      </w:pPr>
      <w:r>
        <w:t>立足龙华制造业大区、创新型城区和数字经济集聚区的定位，打造具有龙华特色的数字孪生服务体系，面向城市运行管理、产业园区运营、智能制造、智慧物流、公共服务和社区治理等重点领域提供</w:t>
      </w:r>
      <w:proofErr w:type="gramStart"/>
      <w:r>
        <w:t>一体化数智服务</w:t>
      </w:r>
      <w:proofErr w:type="gramEnd"/>
      <w:r>
        <w:t>。优化公共数据、产业数据和</w:t>
      </w:r>
      <w:proofErr w:type="gramStart"/>
      <w:r>
        <w:t>物联</w:t>
      </w:r>
      <w:proofErr w:type="gramEnd"/>
      <w:r>
        <w:t>感知数据等要素供给，建设开放兼容的数字孪生基础平台和应用支撑环境，推动模型开发、场景定制、系统集成和运维服务等环节协同发展。鼓励头部企业、专业服务机构和创新团队在龙华设立区域总部、研发中心和创新基地，支持建设数字孪生联合实验室、产业联盟和示范园区，形成</w:t>
      </w:r>
      <w:r>
        <w:rPr>
          <w:rFonts w:hint="eastAsia"/>
        </w:rPr>
        <w:t>“</w:t>
      </w:r>
      <w:r>
        <w:t>平台</w:t>
      </w:r>
      <w:r>
        <w:rPr>
          <w:rFonts w:hint="eastAsia"/>
        </w:rPr>
        <w:t>＋</w:t>
      </w:r>
      <w:r>
        <w:t>技术</w:t>
      </w:r>
      <w:r>
        <w:rPr>
          <w:rFonts w:hint="eastAsia"/>
        </w:rPr>
        <w:t>＋</w:t>
      </w:r>
      <w:r>
        <w:t>应用</w:t>
      </w:r>
      <w:r>
        <w:rPr>
          <w:rFonts w:hint="eastAsia"/>
        </w:rPr>
        <w:t>＋</w:t>
      </w:r>
      <w:r>
        <w:t>服务</w:t>
      </w:r>
      <w:r>
        <w:rPr>
          <w:rFonts w:hint="eastAsia"/>
        </w:rPr>
        <w:t>”</w:t>
      </w:r>
      <w:r>
        <w:t>协同演进的产业生态。通过应用示范、场景开放、政企协同创新等方式，培育一批具有示范效应的数字孪生标杆项目，</w:t>
      </w:r>
      <w:r>
        <w:lastRenderedPageBreak/>
        <w:t>带动上下游产业链集聚发展，打造具有核心竞争力和辐射带动能力的数字</w:t>
      </w:r>
      <w:proofErr w:type="gramStart"/>
      <w:r>
        <w:t>孪生产业</w:t>
      </w:r>
      <w:proofErr w:type="gramEnd"/>
      <w:r>
        <w:t>集群。</w:t>
      </w:r>
    </w:p>
    <w:p w14:paraId="2D03F35F" w14:textId="77777777" w:rsidR="009D5DEA" w:rsidRDefault="00000000">
      <w:pPr>
        <w:pStyle w:val="3"/>
        <w:widowControl/>
        <w:numPr>
          <w:ilvl w:val="0"/>
          <w:numId w:val="16"/>
        </w:numPr>
        <w:spacing w:before="0" w:after="0" w:line="560" w:lineRule="exact"/>
        <w:rPr>
          <w:rFonts w:ascii="仿宋" w:eastAsia="仿宋_GB2312" w:hAnsi="仿宋" w:cs="宋体" w:hint="eastAsia"/>
          <w:b/>
          <w:bCs/>
          <w:color w:val="auto"/>
          <w:kern w:val="0"/>
        </w:rPr>
      </w:pPr>
      <w:bookmarkStart w:id="58" w:name="_Toc220337806"/>
      <w:r>
        <w:rPr>
          <w:rFonts w:ascii="仿宋" w:eastAsia="仿宋_GB2312" w:hAnsi="仿宋" w:cs="宋体" w:hint="eastAsia"/>
          <w:b/>
          <w:bCs/>
          <w:color w:val="auto"/>
          <w:kern w:val="0"/>
        </w:rPr>
        <w:t>建设美丽宜</w:t>
      </w:r>
      <w:proofErr w:type="gramStart"/>
      <w:r>
        <w:rPr>
          <w:rFonts w:ascii="仿宋" w:eastAsia="仿宋_GB2312" w:hAnsi="仿宋" w:cs="宋体" w:hint="eastAsia"/>
          <w:b/>
          <w:bCs/>
          <w:color w:val="auto"/>
          <w:kern w:val="0"/>
        </w:rPr>
        <w:t>居</w:t>
      </w:r>
      <w:r>
        <w:rPr>
          <w:rFonts w:ascii="仿宋" w:eastAsia="仿宋_GB2312" w:hAnsi="仿宋" w:cs="宋体"/>
          <w:b/>
          <w:bCs/>
          <w:color w:val="auto"/>
          <w:kern w:val="0"/>
        </w:rPr>
        <w:t>数字</w:t>
      </w:r>
      <w:proofErr w:type="gramEnd"/>
      <w:r>
        <w:rPr>
          <w:rFonts w:ascii="仿宋" w:eastAsia="仿宋_GB2312" w:hAnsi="仿宋" w:cs="宋体"/>
          <w:b/>
          <w:bCs/>
          <w:color w:val="auto"/>
          <w:kern w:val="0"/>
        </w:rPr>
        <w:t>城区</w:t>
      </w:r>
      <w:bookmarkEnd w:id="58"/>
    </w:p>
    <w:p w14:paraId="0B9C4FDE" w14:textId="77777777" w:rsidR="009D5DEA" w:rsidRDefault="00000000">
      <w:pPr>
        <w:spacing w:after="0" w:line="560" w:lineRule="exact"/>
        <w:ind w:firstLineChars="200" w:firstLine="643"/>
      </w:pPr>
      <w:r>
        <w:rPr>
          <w:rFonts w:hint="eastAsia"/>
          <w:b/>
          <w:bCs/>
        </w:rPr>
        <w:t>深化生态环境治理能力。</w:t>
      </w:r>
      <w:r>
        <w:rPr>
          <w:rFonts w:hint="eastAsia"/>
        </w:rPr>
        <w:t>强化生态环境</w:t>
      </w:r>
      <w:proofErr w:type="gramStart"/>
      <w:r>
        <w:rPr>
          <w:rFonts w:hint="eastAsia"/>
        </w:rPr>
        <w:t>数智治理</w:t>
      </w:r>
      <w:proofErr w:type="gramEnd"/>
      <w:r>
        <w:rPr>
          <w:rFonts w:hint="eastAsia"/>
        </w:rPr>
        <w:t>支撑，完善</w:t>
      </w:r>
      <w:proofErr w:type="gramStart"/>
      <w:r>
        <w:rPr>
          <w:rFonts w:hint="eastAsia"/>
        </w:rPr>
        <w:t>龙华区</w:t>
      </w:r>
      <w:proofErr w:type="gramEnd"/>
      <w:r>
        <w:rPr>
          <w:rFonts w:hint="eastAsia"/>
        </w:rPr>
        <w:t>生态环境感知网络和专题数据库建设，推动水环境、空气质量、噪声监测、河道水体、工地扬尘、重点排放口等多源监测数据纳入统一管理体系，探索生态环境场景在数字孪生平台的落地应用。探索运用无人机巡查、</w:t>
      </w:r>
      <w:proofErr w:type="gramStart"/>
      <w:r>
        <w:rPr>
          <w:rFonts w:hint="eastAsia"/>
        </w:rPr>
        <w:t>走航监测</w:t>
      </w:r>
      <w:proofErr w:type="gramEnd"/>
      <w:r>
        <w:rPr>
          <w:rFonts w:hint="eastAsia"/>
        </w:rPr>
        <w:t>、视频智能识别等非现场监管手段及智能分析模型，构建覆盖重点流域、重点区域、重点园区的生态环境线上监测与预警应用场景，提升污染发现、溯源分析和执法取证的智能化水平。稳步推进生态环境数据规范管理和汇聚共享，探索在生态补偿评估、河湖治理成效评估、园区绿色发展评价等领域开展数据资产应用试点，形成生态环境数据价值转化路径。</w:t>
      </w:r>
    </w:p>
    <w:p w14:paraId="06B0AEA6" w14:textId="77777777" w:rsidR="009D5DEA" w:rsidRDefault="00000000">
      <w:pPr>
        <w:spacing w:after="0" w:line="560" w:lineRule="exact"/>
        <w:ind w:firstLineChars="200" w:firstLine="643"/>
      </w:pPr>
      <w:r>
        <w:rPr>
          <w:b/>
          <w:bCs/>
        </w:rPr>
        <w:t>构建全域</w:t>
      </w:r>
      <w:r>
        <w:rPr>
          <w:rFonts w:hint="eastAsia"/>
          <w:b/>
          <w:bCs/>
        </w:rPr>
        <w:t>协同的</w:t>
      </w:r>
      <w:r>
        <w:rPr>
          <w:b/>
          <w:bCs/>
        </w:rPr>
        <w:t>智慧</w:t>
      </w:r>
      <w:r>
        <w:rPr>
          <w:rFonts w:hint="eastAsia"/>
          <w:b/>
          <w:bCs/>
        </w:rPr>
        <w:t>水务</w:t>
      </w:r>
      <w:r>
        <w:rPr>
          <w:b/>
          <w:bCs/>
        </w:rPr>
        <w:t>治理体系。</w:t>
      </w:r>
      <w:r>
        <w:t>深化智慧水务</w:t>
      </w:r>
      <w:r>
        <w:rPr>
          <w:rFonts w:hint="eastAsia"/>
        </w:rPr>
        <w:t>“</w:t>
      </w:r>
      <w:r>
        <w:t>感知</w:t>
      </w:r>
      <w:r>
        <w:rPr>
          <w:rFonts w:hint="eastAsia"/>
        </w:rPr>
        <w:t>—</w:t>
      </w:r>
      <w:r>
        <w:t>决策</w:t>
      </w:r>
      <w:r>
        <w:rPr>
          <w:rFonts w:hint="eastAsia"/>
        </w:rPr>
        <w:t>—</w:t>
      </w:r>
      <w:r>
        <w:t>执行</w:t>
      </w:r>
      <w:r>
        <w:rPr>
          <w:rFonts w:hint="eastAsia"/>
        </w:rPr>
        <w:t>”</w:t>
      </w:r>
      <w:r>
        <w:t>一体化能力，构建覆盖水源、供水、排水、</w:t>
      </w:r>
      <w:proofErr w:type="gramStart"/>
      <w:r>
        <w:t>防洪全</w:t>
      </w:r>
      <w:proofErr w:type="gramEnd"/>
      <w:r>
        <w:t>链条的数字孪生水利水务业务体系。在水务数字管理方面，重点推进供水系统</w:t>
      </w:r>
      <w:r>
        <w:rPr>
          <w:rFonts w:hint="eastAsia"/>
        </w:rPr>
        <w:t>“</w:t>
      </w:r>
      <w:r>
        <w:t>从源头到龙头</w:t>
      </w:r>
      <w:r>
        <w:rPr>
          <w:rFonts w:hint="eastAsia"/>
        </w:rPr>
        <w:t>”</w:t>
      </w:r>
      <w:r>
        <w:t>的全流程韧性建设，推动人工智能在水情预报、管网调度、应急指挥中的深度应用，深化</w:t>
      </w:r>
      <w:r>
        <w:rPr>
          <w:rFonts w:hint="eastAsia"/>
        </w:rPr>
        <w:t>“</w:t>
      </w:r>
      <w:r>
        <w:t>厂网河库</w:t>
      </w:r>
      <w:r>
        <w:rPr>
          <w:rFonts w:hint="eastAsia"/>
        </w:rPr>
        <w:t>”</w:t>
      </w:r>
      <w:r>
        <w:t>一体化数字运维能力，持续巩固和提升水环境综合治理成效，实现水务业务的全程数字化与智能化闭环管理。水利方面，着力构筑洪涝灾害防御工程体系与生态化河湖健康体系，推进骨干</w:t>
      </w:r>
      <w:r>
        <w:lastRenderedPageBreak/>
        <w:t>河道堤防的提标加固，系统化提升区域的蓄滞洪与水源涵养能力，为</w:t>
      </w:r>
      <w:proofErr w:type="gramStart"/>
      <w:r>
        <w:t>龙华区</w:t>
      </w:r>
      <w:proofErr w:type="gramEnd"/>
      <w:r>
        <w:t>提供坚实可靠的水安全支撑与水生态保障。</w:t>
      </w:r>
    </w:p>
    <w:p w14:paraId="4328D638" w14:textId="77777777" w:rsidR="009D5DEA" w:rsidRDefault="00000000">
      <w:pPr>
        <w:spacing w:after="0" w:line="560" w:lineRule="exact"/>
        <w:ind w:firstLineChars="200" w:firstLine="643"/>
      </w:pPr>
      <w:r>
        <w:rPr>
          <w:rFonts w:hint="eastAsia"/>
          <w:b/>
          <w:bCs/>
        </w:rPr>
        <w:t>探索智慧能源体系建设。</w:t>
      </w:r>
      <w:r>
        <w:rPr>
          <w:rFonts w:hint="eastAsia"/>
        </w:rPr>
        <w:t>推动</w:t>
      </w:r>
      <w:proofErr w:type="gramStart"/>
      <w:r>
        <w:rPr>
          <w:rFonts w:hint="eastAsia"/>
        </w:rPr>
        <w:t>龙华区</w:t>
      </w:r>
      <w:proofErr w:type="gramEnd"/>
      <w:r>
        <w:rPr>
          <w:rFonts w:hint="eastAsia"/>
        </w:rPr>
        <w:t>电力、燃气、热力、分布式光伏、充电设施等能源相关数据有序汇聚，支撑园区、楼宇、企业等多层级用能监测与分析。探索在重点园区、重点楼宇、重点社区开展</w:t>
      </w:r>
      <w:proofErr w:type="gramStart"/>
      <w:r>
        <w:rPr>
          <w:rFonts w:hint="eastAsia"/>
        </w:rPr>
        <w:t>近零碳试点</w:t>
      </w:r>
      <w:proofErr w:type="gramEnd"/>
      <w:r>
        <w:rPr>
          <w:rFonts w:hint="eastAsia"/>
        </w:rPr>
        <w:t>，探索建设用能与碳排放在线监测看板和多维分析模型，为碳排放核算、减排路径优化和绿色改造评估提供数据支撑。鼓励有条件的园区和企业依托区级数据能力，开展企业碳足迹跟踪与用能精细化管理实践，服务龙华制造业强区、产业升级和绿色发展目标。</w:t>
      </w:r>
    </w:p>
    <w:p w14:paraId="10AEF9DD" w14:textId="77777777" w:rsidR="009D5DEA" w:rsidRDefault="00000000">
      <w:pPr>
        <w:spacing w:after="0" w:line="560" w:lineRule="exact"/>
        <w:ind w:firstLineChars="200" w:firstLine="643"/>
      </w:pPr>
      <w:r>
        <w:rPr>
          <w:rFonts w:hint="eastAsia"/>
          <w:b/>
          <w:bCs/>
        </w:rPr>
        <w:t>强化智慧交通综合管理能力</w:t>
      </w:r>
      <w:r>
        <w:rPr>
          <w:rFonts w:hint="eastAsia"/>
        </w:rPr>
        <w:t>。加强协同联动，推动道路交通、公共交通、停车设施、慢行系统等多</w:t>
      </w:r>
      <w:proofErr w:type="gramStart"/>
      <w:r>
        <w:rPr>
          <w:rFonts w:hint="eastAsia"/>
        </w:rPr>
        <w:t>源交通</w:t>
      </w:r>
      <w:proofErr w:type="gramEnd"/>
      <w:r>
        <w:rPr>
          <w:rFonts w:hint="eastAsia"/>
        </w:rPr>
        <w:t>数据有序汇聚和共享应用，形成覆盖重点路口、重点路段、重点片区的综合交通感知体系。深化智慧交通智能化水平，支持建设交通运行“一张图”和出行服务“一张网”，在信号灯优化配时、交通流量监测、违法行为抓拍、高</w:t>
      </w:r>
      <w:proofErr w:type="gramStart"/>
      <w:r>
        <w:rPr>
          <w:rFonts w:hint="eastAsia"/>
        </w:rPr>
        <w:t>峰拥</w:t>
      </w:r>
      <w:proofErr w:type="gramEnd"/>
      <w:r>
        <w:rPr>
          <w:rFonts w:hint="eastAsia"/>
        </w:rPr>
        <w:t>堵预警等场景推广视频智能分析和人工智能算法应用，提升交通运行监测与决策支撑能力，强化智慧交通综合管理能力，优化智慧出行服务质量。</w:t>
      </w:r>
    </w:p>
    <w:p w14:paraId="23B44CC2" w14:textId="77777777" w:rsidR="009D5DEA" w:rsidRDefault="00000000">
      <w:pPr>
        <w:spacing w:after="0" w:line="560" w:lineRule="exact"/>
        <w:ind w:firstLineChars="200" w:firstLine="643"/>
      </w:pPr>
      <w:r>
        <w:rPr>
          <w:rFonts w:hint="eastAsia"/>
          <w:b/>
          <w:bCs/>
        </w:rPr>
        <w:t>倡导绿色低碳生活方式。</w:t>
      </w:r>
      <w:r>
        <w:rPr>
          <w:rFonts w:hint="eastAsia"/>
        </w:rPr>
        <w:t>在智慧交通、智慧旅游、智慧医疗、智慧社区等智慧城市生活场景建设中，扩大智慧低碳生活设施覆盖，丰富交通出行、垃圾分类回收、废旧</w:t>
      </w:r>
      <w:r>
        <w:rPr>
          <w:rFonts w:hint="eastAsia"/>
        </w:rPr>
        <w:lastRenderedPageBreak/>
        <w:t>物资循环利用、智能家居等绿色生活智慧应用。</w:t>
      </w:r>
      <w:proofErr w:type="gramStart"/>
      <w:r>
        <w:rPr>
          <w:rFonts w:hint="eastAsia"/>
        </w:rPr>
        <w:t>探索近零碳</w:t>
      </w:r>
      <w:proofErr w:type="gramEnd"/>
      <w:r>
        <w:rPr>
          <w:rFonts w:hint="eastAsia"/>
        </w:rPr>
        <w:t>社区建设，支持智能门禁、智慧停车、智能水电表、智能垃圾分类回收设施、智能快递物流设施建设，推行绿色建筑。</w:t>
      </w:r>
    </w:p>
    <w:p w14:paraId="56F16E2A" w14:textId="77777777" w:rsidR="009D5DEA" w:rsidRDefault="00000000">
      <w:pPr>
        <w:pStyle w:val="3"/>
        <w:widowControl/>
        <w:numPr>
          <w:ilvl w:val="0"/>
          <w:numId w:val="16"/>
        </w:numPr>
        <w:spacing w:before="0" w:after="0" w:line="560" w:lineRule="exact"/>
        <w:rPr>
          <w:rFonts w:ascii="仿宋" w:eastAsia="仿宋_GB2312" w:hAnsi="仿宋" w:cs="宋体" w:hint="eastAsia"/>
          <w:b/>
          <w:bCs/>
          <w:color w:val="auto"/>
          <w:kern w:val="0"/>
        </w:rPr>
      </w:pPr>
      <w:bookmarkStart w:id="59" w:name="_Toc220337807"/>
      <w:r>
        <w:rPr>
          <w:rFonts w:ascii="仿宋" w:eastAsia="仿宋_GB2312" w:hAnsi="仿宋" w:cs="宋体" w:hint="eastAsia"/>
          <w:b/>
          <w:bCs/>
          <w:color w:val="auto"/>
          <w:kern w:val="0"/>
        </w:rPr>
        <w:t>筑牢城市韧性安全底座</w:t>
      </w:r>
      <w:bookmarkEnd w:id="59"/>
    </w:p>
    <w:p w14:paraId="071C2A3C" w14:textId="77777777" w:rsidR="009D5DEA" w:rsidRDefault="00000000">
      <w:pPr>
        <w:spacing w:after="0" w:line="560" w:lineRule="exact"/>
        <w:ind w:firstLineChars="200" w:firstLine="643"/>
        <w:rPr>
          <w:b/>
          <w:bCs/>
        </w:rPr>
      </w:pPr>
      <w:r>
        <w:rPr>
          <w:rFonts w:hint="eastAsia"/>
          <w:b/>
          <w:bCs/>
        </w:rPr>
        <w:t>加强全方位应急管理数字支撑。</w:t>
      </w:r>
      <w:r>
        <w:rPr>
          <w:rFonts w:hint="eastAsia"/>
        </w:rPr>
        <w:t>汇集各</w:t>
      </w:r>
      <w:proofErr w:type="gramStart"/>
      <w:r>
        <w:rPr>
          <w:rFonts w:hint="eastAsia"/>
        </w:rPr>
        <w:t>部门物联感知</w:t>
      </w:r>
      <w:proofErr w:type="gramEnd"/>
      <w:r>
        <w:rPr>
          <w:rFonts w:hint="eastAsia"/>
        </w:rPr>
        <w:t>数据，</w:t>
      </w:r>
      <w:r>
        <w:t>推动水务、气象、应急、城管、交通等</w:t>
      </w:r>
      <w:proofErr w:type="gramStart"/>
      <w:r>
        <w:t>部门物联感知</w:t>
      </w:r>
      <w:proofErr w:type="gramEnd"/>
      <w:r>
        <w:t>和业务数据有序汇聚，</w:t>
      </w:r>
      <w:r>
        <w:rPr>
          <w:rFonts w:hint="eastAsia"/>
        </w:rPr>
        <w:t>完善</w:t>
      </w:r>
      <w:proofErr w:type="gramStart"/>
      <w:r>
        <w:t>龙华区</w:t>
      </w:r>
      <w:proofErr w:type="gramEnd"/>
      <w:r>
        <w:rPr>
          <w:rFonts w:hint="eastAsia"/>
        </w:rPr>
        <w:t>应急管理主题数据库，梳理整合全区应急管理数据，对自然灾害、森林火灾火情、城市生命线等数据进行标准化处理。重点强化水务、风暴潮、地质灾害、气象等数据的监测预警和风险</w:t>
      </w:r>
      <w:proofErr w:type="gramStart"/>
      <w:r>
        <w:rPr>
          <w:rFonts w:hint="eastAsia"/>
        </w:rPr>
        <w:t>研</w:t>
      </w:r>
      <w:proofErr w:type="gramEnd"/>
      <w:r>
        <w:rPr>
          <w:rFonts w:hint="eastAsia"/>
        </w:rPr>
        <w:t>判能力，构建上下一体、协同联动的应急指挥调度机制，优化应急资源、救援队伍智能调度，提升突发事件处置指挥调度效率。加强无人机、应急通信车、卫星手机在特大暴雨等特殊时期的应急保障，探索构建覆盖重点片区的应急救援</w:t>
      </w:r>
      <w:r>
        <w:rPr>
          <w:rFonts w:ascii="仿宋_GB2312" w:hint="eastAsia"/>
        </w:rPr>
        <w:t>“5分钟响应圈”</w:t>
      </w:r>
      <w:r>
        <w:rPr>
          <w:rFonts w:hint="eastAsia"/>
        </w:rPr>
        <w:t>。</w:t>
      </w:r>
    </w:p>
    <w:p w14:paraId="5E8D05A1" w14:textId="77777777" w:rsidR="009D5DEA" w:rsidRDefault="00000000">
      <w:pPr>
        <w:spacing w:after="0" w:line="560" w:lineRule="exact"/>
        <w:ind w:firstLineChars="200" w:firstLine="643"/>
      </w:pPr>
      <w:r>
        <w:rPr>
          <w:b/>
          <w:bCs/>
        </w:rPr>
        <w:t>推动公安工作规范化</w:t>
      </w:r>
      <w:r>
        <w:rPr>
          <w:rFonts w:hint="eastAsia"/>
          <w:b/>
          <w:bCs/>
        </w:rPr>
        <w:t>、</w:t>
      </w:r>
      <w:r>
        <w:rPr>
          <w:b/>
          <w:bCs/>
        </w:rPr>
        <w:t>智慧化</w:t>
      </w:r>
      <w:r>
        <w:t>。</w:t>
      </w:r>
      <w:r>
        <w:rPr>
          <w:rFonts w:hint="eastAsia"/>
        </w:rPr>
        <w:t>支撑</w:t>
      </w:r>
      <w:r>
        <w:t>构建</w:t>
      </w:r>
      <w:r>
        <w:rPr>
          <w:rFonts w:hint="eastAsia"/>
        </w:rPr>
        <w:t>“</w:t>
      </w:r>
      <w:r>
        <w:t>专业</w:t>
      </w:r>
      <w:r>
        <w:rPr>
          <w:rFonts w:ascii="仿宋_GB2312" w:hint="eastAsia"/>
        </w:rPr>
        <w:t>＋</w:t>
      </w:r>
      <w:r>
        <w:t>机制</w:t>
      </w:r>
      <w:r>
        <w:rPr>
          <w:rFonts w:ascii="仿宋_GB2312" w:hint="eastAsia"/>
        </w:rPr>
        <w:t>＋</w:t>
      </w:r>
      <w:r>
        <w:t>大数据</w:t>
      </w:r>
      <w:r>
        <w:rPr>
          <w:rFonts w:hint="eastAsia"/>
        </w:rPr>
        <w:t>”</w:t>
      </w:r>
      <w:r>
        <w:t>的龙华警务运行机制，打造</w:t>
      </w:r>
      <w:r>
        <w:rPr>
          <w:rFonts w:hint="eastAsia"/>
        </w:rPr>
        <w:t>“</w:t>
      </w:r>
      <w:r>
        <w:t>统筹发展、服务实战</w:t>
      </w:r>
      <w:r>
        <w:rPr>
          <w:rFonts w:hint="eastAsia"/>
        </w:rPr>
        <w:t>”</w:t>
      </w:r>
      <w:r>
        <w:t>的大模型体系。以</w:t>
      </w:r>
      <w:proofErr w:type="gramStart"/>
      <w:r>
        <w:t>警跃计划</w:t>
      </w:r>
      <w:proofErr w:type="gramEnd"/>
      <w:r>
        <w:rPr>
          <w:rFonts w:hint="eastAsia"/>
        </w:rPr>
        <w:t>“</w:t>
      </w:r>
      <w:r>
        <w:t>规范执法</w:t>
      </w:r>
      <w:r>
        <w:rPr>
          <w:rFonts w:hint="eastAsia"/>
        </w:rPr>
        <w:t>”</w:t>
      </w:r>
      <w:r>
        <w:t>领域建设规划为引领，紧扣</w:t>
      </w:r>
      <w:r>
        <w:rPr>
          <w:rFonts w:hint="eastAsia"/>
        </w:rPr>
        <w:t>“</w:t>
      </w:r>
      <w:r>
        <w:t>规范执法、智慧办案</w:t>
      </w:r>
      <w:r>
        <w:rPr>
          <w:rFonts w:hint="eastAsia"/>
        </w:rPr>
        <w:t>”</w:t>
      </w:r>
      <w:r>
        <w:t>主线，全面赋能案件实现</w:t>
      </w:r>
      <w:r>
        <w:rPr>
          <w:rFonts w:hint="eastAsia"/>
        </w:rPr>
        <w:t>“</w:t>
      </w:r>
      <w:r>
        <w:t>规范办、高效办、安全办</w:t>
      </w:r>
      <w:r>
        <w:rPr>
          <w:rFonts w:hint="eastAsia"/>
        </w:rPr>
        <w:t>”</w:t>
      </w:r>
      <w:r>
        <w:t>。充分发挥声纹特征认定违法犯罪嫌疑人的证据价值，完善案件事实认定的证据链条。通过全区大模型体系化建设，实现</w:t>
      </w:r>
      <w:r>
        <w:rPr>
          <w:rFonts w:hint="eastAsia"/>
        </w:rPr>
        <w:t>“</w:t>
      </w:r>
      <w:r>
        <w:t>数据全域贯通、能力全面跃升、应用全警覆盖</w:t>
      </w:r>
      <w:r>
        <w:rPr>
          <w:rFonts w:hint="eastAsia"/>
        </w:rPr>
        <w:t>”</w:t>
      </w:r>
      <w:r>
        <w:t>，全力打造全国公</w:t>
      </w:r>
      <w:r>
        <w:lastRenderedPageBreak/>
        <w:t>安大模型建设应用标杆，推动基层工作效率、民警获得感与实战能力实现显著提升。</w:t>
      </w:r>
    </w:p>
    <w:p w14:paraId="631DD66A" w14:textId="77777777" w:rsidR="009D5DEA" w:rsidRDefault="00000000">
      <w:pPr>
        <w:spacing w:after="0" w:line="560" w:lineRule="exact"/>
        <w:ind w:firstLineChars="200" w:firstLine="643"/>
      </w:pPr>
      <w:r>
        <w:rPr>
          <w:rFonts w:hint="eastAsia"/>
          <w:b/>
          <w:bCs/>
        </w:rPr>
        <w:t>夯实数字技</w:t>
      </w:r>
      <w:proofErr w:type="gramStart"/>
      <w:r>
        <w:rPr>
          <w:rFonts w:hint="eastAsia"/>
          <w:b/>
          <w:bCs/>
        </w:rPr>
        <w:t>防保障</w:t>
      </w:r>
      <w:proofErr w:type="gramEnd"/>
      <w:r>
        <w:rPr>
          <w:rFonts w:hint="eastAsia"/>
          <w:b/>
          <w:bCs/>
        </w:rPr>
        <w:t>能力。</w:t>
      </w:r>
      <w:r>
        <w:rPr>
          <w:rFonts w:hint="eastAsia"/>
        </w:rPr>
        <w:t>助力推进城区数字化公共安全防护体系建设，</w:t>
      </w:r>
      <w:r>
        <w:t>依托</w:t>
      </w:r>
      <w:r>
        <w:rPr>
          <w:rFonts w:hint="eastAsia"/>
        </w:rPr>
        <w:t>数字孪生、视频联网共享和</w:t>
      </w:r>
      <w:proofErr w:type="gramStart"/>
      <w:r>
        <w:rPr>
          <w:rFonts w:hint="eastAsia"/>
        </w:rPr>
        <w:t>物联</w:t>
      </w:r>
      <w:proofErr w:type="gramEnd"/>
      <w:r>
        <w:rPr>
          <w:rFonts w:hint="eastAsia"/>
        </w:rPr>
        <w:t>感知等平台资源</w:t>
      </w:r>
      <w:r>
        <w:t>，推动公安、应急管理、住建、交通、城管等部门相关数据有序汇聚和融合分析</w:t>
      </w:r>
      <w:r>
        <w:rPr>
          <w:rFonts w:hint="eastAsia"/>
        </w:rPr>
        <w:t>，完善</w:t>
      </w:r>
      <w:proofErr w:type="gramStart"/>
      <w:r>
        <w:rPr>
          <w:rFonts w:hint="eastAsia"/>
        </w:rPr>
        <w:t>龙华区</w:t>
      </w:r>
      <w:proofErr w:type="gramEnd"/>
      <w:r>
        <w:rPr>
          <w:rFonts w:hint="eastAsia"/>
        </w:rPr>
        <w:t>公共安全主题数据库，提升安全风险综合感知与</w:t>
      </w:r>
      <w:proofErr w:type="gramStart"/>
      <w:r>
        <w:rPr>
          <w:rFonts w:hint="eastAsia"/>
        </w:rPr>
        <w:t>研</w:t>
      </w:r>
      <w:proofErr w:type="gramEnd"/>
      <w:r>
        <w:rPr>
          <w:rFonts w:hint="eastAsia"/>
        </w:rPr>
        <w:t>判能力。支持</w:t>
      </w:r>
      <w:r>
        <w:rPr>
          <w:rFonts w:ascii="仿宋_GB2312" w:hint="eastAsia"/>
        </w:rPr>
        <w:t>5G</w:t>
      </w:r>
      <w:r>
        <w:rPr>
          <w:rFonts w:hint="eastAsia"/>
        </w:rPr>
        <w:t>警务场景化应用，推进视频智能分析应用，拓展视频智能分析、智能巡检、实时预警等功能，不断提升视频资源的统筹利用和实战效能。</w:t>
      </w:r>
      <w:r>
        <w:t>运用人工智能大模型、物联网等先进技术，围绕建筑施工、道路运输、危险化学品、粉尘涉爆、涉氨制冷、锂电池生产储存等传统高危行业，推进重点企业和园区建设在线监测、智能预警和事故后果模拟分析等数字化监管应用，实现对重点部位和关键环节的全天候、全流程技防覆盖。聚焦城中村、建筑工地、老旧工业园区等安全生产事故易发多发区域，完善视频监控、</w:t>
      </w:r>
      <w:proofErr w:type="gramStart"/>
      <w:r>
        <w:t>物联感知</w:t>
      </w:r>
      <w:proofErr w:type="gramEnd"/>
      <w:r>
        <w:t>、网格巡查等手段的融合应用，切实提升</w:t>
      </w:r>
      <w:proofErr w:type="gramStart"/>
      <w:r>
        <w:t>龙华区</w:t>
      </w:r>
      <w:proofErr w:type="gramEnd"/>
      <w:r>
        <w:t>本质安全水平和城市安全韧性。</w:t>
      </w:r>
    </w:p>
    <w:p w14:paraId="0AB7940D" w14:textId="77777777" w:rsidR="009D5DEA" w:rsidRDefault="00000000">
      <w:pPr>
        <w:pStyle w:val="2"/>
        <w:numPr>
          <w:ilvl w:val="0"/>
          <w:numId w:val="13"/>
        </w:numPr>
        <w:spacing w:before="0" w:after="0" w:line="560" w:lineRule="exact"/>
        <w:ind w:left="1360" w:hanging="720"/>
        <w:rPr>
          <w:rFonts w:ascii="楷体_GB2312" w:eastAsia="楷体_GB2312" w:hAnsi="黑体" w:hint="eastAsia"/>
          <w:color w:val="000000" w:themeColor="text1"/>
          <w:sz w:val="32"/>
          <w:szCs w:val="32"/>
        </w:rPr>
      </w:pPr>
      <w:bookmarkStart w:id="60" w:name="_Toc220337808"/>
      <w:r>
        <w:rPr>
          <w:rFonts w:ascii="楷体_GB2312" w:eastAsia="楷体_GB2312" w:hAnsi="黑体" w:hint="eastAsia"/>
          <w:color w:val="000000" w:themeColor="text1"/>
          <w:sz w:val="32"/>
          <w:szCs w:val="32"/>
        </w:rPr>
        <w:t>激发普惠服务新效能</w:t>
      </w:r>
      <w:bookmarkEnd w:id="60"/>
    </w:p>
    <w:p w14:paraId="3FB76DA5" w14:textId="77777777" w:rsidR="009D5DEA" w:rsidRDefault="00000000">
      <w:pPr>
        <w:pStyle w:val="3"/>
        <w:widowControl/>
        <w:numPr>
          <w:ilvl w:val="0"/>
          <w:numId w:val="17"/>
        </w:numPr>
        <w:spacing w:before="0" w:after="0" w:line="560" w:lineRule="exact"/>
        <w:rPr>
          <w:rFonts w:ascii="仿宋" w:eastAsia="仿宋_GB2312" w:hAnsi="仿宋" w:cs="宋体" w:hint="eastAsia"/>
          <w:b/>
          <w:bCs/>
          <w:color w:val="auto"/>
          <w:kern w:val="0"/>
        </w:rPr>
      </w:pPr>
      <w:bookmarkStart w:id="61" w:name="_Toc220337809"/>
      <w:r>
        <w:rPr>
          <w:rFonts w:ascii="仿宋" w:eastAsia="仿宋_GB2312" w:hAnsi="仿宋" w:cs="宋体" w:hint="eastAsia"/>
          <w:b/>
          <w:bCs/>
          <w:color w:val="auto"/>
          <w:kern w:val="0"/>
        </w:rPr>
        <w:t>构建统一便捷的数字服务体系</w:t>
      </w:r>
      <w:bookmarkEnd w:id="61"/>
    </w:p>
    <w:p w14:paraId="7AF6323F" w14:textId="77777777" w:rsidR="009D5DEA" w:rsidRDefault="00000000">
      <w:pPr>
        <w:spacing w:after="0" w:line="560" w:lineRule="exact"/>
        <w:ind w:firstLine="643"/>
        <w:rPr>
          <w:b/>
          <w:bCs/>
        </w:rPr>
      </w:pPr>
      <w:bookmarkStart w:id="62" w:name="OLE_LINK183"/>
      <w:r>
        <w:rPr>
          <w:rFonts w:hint="eastAsia"/>
          <w:b/>
          <w:bCs/>
        </w:rPr>
        <w:t>强化服务渠道协同融合。</w:t>
      </w:r>
      <w:bookmarkEnd w:id="62"/>
      <w:r>
        <w:rPr>
          <w:rFonts w:hint="eastAsia"/>
        </w:rPr>
        <w:t>统一服务标准与业务流程，强化政务服务中心、政府网站、移动端、自助终端等各类服务渠道的协同融合，推动办事指南、事项信息、办理结果等数据同源管理和同步更新，确保企业和群众在区、街</w:t>
      </w:r>
      <w:r>
        <w:rPr>
          <w:rFonts w:hint="eastAsia"/>
        </w:rPr>
        <w:lastRenderedPageBreak/>
        <w:t>道和社区不同场景下获得无缝衔接、标准统一的服务体验。</w:t>
      </w:r>
    </w:p>
    <w:p w14:paraId="51F29CE3" w14:textId="77777777" w:rsidR="009D5DEA" w:rsidRDefault="00000000">
      <w:pPr>
        <w:spacing w:after="0" w:line="560" w:lineRule="exact"/>
        <w:ind w:firstLine="643"/>
      </w:pPr>
      <w:r>
        <w:rPr>
          <w:rFonts w:hint="eastAsia"/>
          <w:b/>
          <w:bCs/>
        </w:rPr>
        <w:t>以“一网通享”打造便捷高效整体服务。</w:t>
      </w:r>
      <w:r>
        <w:rPr>
          <w:rFonts w:hint="eastAsia"/>
        </w:rPr>
        <w:t>深化公共服务“一网通享”，推动政务服务、公共服务与社区服务在资源、数据和流程上的一体化布局与协同供给。全力依托“</w:t>
      </w:r>
      <w:proofErr w:type="spellStart"/>
      <w:r>
        <w:rPr>
          <w:rFonts w:ascii="仿宋_GB2312" w:hint="eastAsia"/>
        </w:rPr>
        <w:t>i</w:t>
      </w:r>
      <w:proofErr w:type="spellEnd"/>
      <w:r>
        <w:rPr>
          <w:rFonts w:hint="eastAsia"/>
        </w:rPr>
        <w:t>深圳”统一城市服务入口，做精做强“</w:t>
      </w:r>
      <w:proofErr w:type="spellStart"/>
      <w:r>
        <w:rPr>
          <w:rFonts w:ascii="仿宋_GB2312" w:hint="eastAsia"/>
        </w:rPr>
        <w:t>i</w:t>
      </w:r>
      <w:proofErr w:type="spellEnd"/>
      <w:r>
        <w:rPr>
          <w:rFonts w:hint="eastAsia"/>
        </w:rPr>
        <w:t>龙华”区级特色服务专区，围绕“全生命周期”与“全天候生活”需求，持续汇聚并优化养老服务、医疗健康、文化教育、就业招聘、文体活动、交通出行、生活缴费及社区治理等高频服务应用，</w:t>
      </w:r>
      <w:proofErr w:type="gramStart"/>
      <w:r>
        <w:rPr>
          <w:rFonts w:hint="eastAsia"/>
        </w:rPr>
        <w:t>构建线</w:t>
      </w:r>
      <w:proofErr w:type="gramEnd"/>
      <w:r>
        <w:rPr>
          <w:rFonts w:hint="eastAsia"/>
        </w:rPr>
        <w:t>上线下融合、标准统一与特色兼具的“市级统一入口</w:t>
      </w:r>
      <w:r>
        <w:rPr>
          <w:rFonts w:ascii="仿宋_GB2312" w:hint="eastAsia"/>
        </w:rPr>
        <w:t xml:space="preserve">+ </w:t>
      </w:r>
      <w:r>
        <w:rPr>
          <w:rFonts w:hint="eastAsia"/>
        </w:rPr>
        <w:t>区级特色专区”整体服务格局。</w:t>
      </w:r>
    </w:p>
    <w:p w14:paraId="63798FFF" w14:textId="77777777" w:rsidR="009D5DEA" w:rsidRDefault="00000000">
      <w:pPr>
        <w:spacing w:after="0" w:line="560" w:lineRule="exact"/>
        <w:ind w:firstLine="643"/>
      </w:pPr>
      <w:r>
        <w:rPr>
          <w:b/>
          <w:bCs/>
        </w:rPr>
        <w:t>推动政务应用鸿蒙化适配升级</w:t>
      </w:r>
      <w:r>
        <w:rPr>
          <w:rFonts w:hint="eastAsia"/>
          <w:b/>
          <w:bCs/>
        </w:rPr>
        <w:t>。</w:t>
      </w:r>
      <w:r>
        <w:t>统筹推进</w:t>
      </w:r>
      <w:r>
        <w:rPr>
          <w:rFonts w:hint="eastAsia"/>
        </w:rPr>
        <w:t>“</w:t>
      </w:r>
      <w:proofErr w:type="spellStart"/>
      <w:r>
        <w:rPr>
          <w:rFonts w:ascii="仿宋_GB2312" w:hint="eastAsia"/>
        </w:rPr>
        <w:t>i</w:t>
      </w:r>
      <w:proofErr w:type="spellEnd"/>
      <w:r>
        <w:rPr>
          <w:rFonts w:ascii="仿宋_GB2312" w:hint="eastAsia"/>
        </w:rPr>
        <w:t>龙华”</w:t>
      </w:r>
      <w:r>
        <w:rPr>
          <w:rFonts w:hint="eastAsia"/>
        </w:rPr>
        <w:t>等区级核心政务应用完成鸿蒙原生适配</w:t>
      </w:r>
      <w:r>
        <w:t>，利用其分布式能力实现服务在手机、平板、智慧屏等多终端间的无缝流转与一致体验。</w:t>
      </w:r>
      <w:r>
        <w:rPr>
          <w:rFonts w:hint="eastAsia"/>
        </w:rPr>
        <w:t>强化自主可控与内生安全，依托鸿蒙系统底层架构增强政务数据全生命周期安全防护能力。打造覆盖政务服务、医疗教育、交通出行等高频场景的鸿蒙原生服务入口，并积极融入全区“鸿蒙</w:t>
      </w:r>
      <w:r>
        <w:rPr>
          <w:rFonts w:hint="eastAsia"/>
        </w:rPr>
        <w:t>+</w:t>
      </w:r>
      <w:r>
        <w:rPr>
          <w:rFonts w:hint="eastAsia"/>
        </w:rPr>
        <w:t>昇腾”数字孪生生态，推动相关技术在城市规划、市政管理、应急调度等城市治理领域的深度融合与应用，全面提升科学化与智能化治理水平。</w:t>
      </w:r>
    </w:p>
    <w:p w14:paraId="49961A2E" w14:textId="77777777" w:rsidR="009D5DEA" w:rsidRDefault="00000000">
      <w:pPr>
        <w:spacing w:after="0" w:line="560" w:lineRule="exact"/>
        <w:ind w:firstLineChars="200" w:firstLine="643"/>
        <w:rPr>
          <w:b/>
          <w:bCs/>
        </w:rPr>
      </w:pPr>
      <w:r>
        <w:rPr>
          <w:rFonts w:ascii="仿宋_GB2312" w:hint="eastAsia"/>
          <w:b/>
          <w:bCs/>
        </w:rPr>
        <w:t>建设“AI+民政”</w:t>
      </w:r>
      <w:proofErr w:type="gramStart"/>
      <w:r>
        <w:rPr>
          <w:rFonts w:ascii="仿宋_GB2312"/>
          <w:b/>
          <w:bCs/>
        </w:rPr>
        <w:t>惠民试点</w:t>
      </w:r>
      <w:proofErr w:type="gramEnd"/>
      <w:r>
        <w:rPr>
          <w:rFonts w:ascii="仿宋_GB2312"/>
          <w:b/>
          <w:bCs/>
        </w:rPr>
        <w:t>场景</w:t>
      </w:r>
      <w:r>
        <w:rPr>
          <w:rFonts w:ascii="仿宋_GB2312" w:hint="eastAsia"/>
          <w:b/>
          <w:bCs/>
        </w:rPr>
        <w:t>。</w:t>
      </w:r>
      <w:r>
        <w:rPr>
          <w:rFonts w:ascii="仿宋_GB2312" w:hint="eastAsia"/>
        </w:rPr>
        <w:t>在救助补贴类业务领域开展“AI赋能民政业务”试点案例，围绕服务咨询、补贴申请、补贴发放等业务流程，建设服务智能咨询、事前精准告知、主动预警、智能审核及智能核验等智能化能力，进一步提升群众服务体验，实现“最多跑一次”的目标，</w:t>
      </w:r>
      <w:r>
        <w:rPr>
          <w:rFonts w:ascii="仿宋_GB2312" w:hint="eastAsia"/>
        </w:rPr>
        <w:lastRenderedPageBreak/>
        <w:t>通过人机协同方式助力业务审核、补贴计算等工作提质增效。</w:t>
      </w:r>
    </w:p>
    <w:p w14:paraId="1E7729CF" w14:textId="77777777" w:rsidR="009D5DEA" w:rsidRDefault="00000000">
      <w:pPr>
        <w:spacing w:after="0" w:line="560" w:lineRule="exact"/>
        <w:ind w:firstLine="643"/>
      </w:pPr>
      <w:r>
        <w:rPr>
          <w:rFonts w:hint="eastAsia"/>
          <w:b/>
          <w:bCs/>
        </w:rPr>
        <w:t>探索构建个人数字空间服务场景。</w:t>
      </w:r>
      <w:r>
        <w:rPr>
          <w:rFonts w:hint="eastAsia"/>
        </w:rPr>
        <w:t>积极探索</w:t>
      </w:r>
      <w:proofErr w:type="gramStart"/>
      <w:r>
        <w:rPr>
          <w:rFonts w:hint="eastAsia"/>
        </w:rPr>
        <w:t>龙华区个人</w:t>
      </w:r>
      <w:proofErr w:type="gramEnd"/>
      <w:r>
        <w:rPr>
          <w:rFonts w:hint="eastAsia"/>
        </w:rPr>
        <w:t>数字服务集成模式，推动与教育、医疗、社保、养老、住房等重点领域业务系统按标准对接，在符合法律法规和数据安全要求的前提下，稳妥开展个人数据归集、授权和使用试点，探索形成以个人授权为前提、以场景服务为牵引的“个人数字账户”，合</w:t>
      </w:r>
      <w:proofErr w:type="gramStart"/>
      <w:r>
        <w:rPr>
          <w:rFonts w:hint="eastAsia"/>
        </w:rPr>
        <w:t>规</w:t>
      </w:r>
      <w:proofErr w:type="gramEnd"/>
      <w:r>
        <w:rPr>
          <w:rFonts w:hint="eastAsia"/>
        </w:rPr>
        <w:t>汇聚居民“全身、全屋、全车”等个人数据，打通居民在区内跨部门、跨层级办事堵点，</w:t>
      </w:r>
      <w:r>
        <w:rPr>
          <w:rFonts w:ascii="仿宋_GB2312" w:hAnsi="仿宋_GB2312" w:cs="仿宋_GB2312" w:hint="eastAsia"/>
        </w:rPr>
        <w:t>实现“还数于民、以数惠民”</w:t>
      </w:r>
      <w:r>
        <w:rPr>
          <w:rFonts w:hint="eastAsia"/>
        </w:rPr>
        <w:t>。</w:t>
      </w:r>
      <w:r>
        <w:t>同步探索建设集多种认证方式于一体的数字身份入口，推动个人与政府部门之间的数据安全共享和交互，逐步形成多领域关联、动态更新的居民个人电子档案。在此基础上开展个人数据精准画像试点，围绕养老服务、教育服务、公共卫生、就业服务等重点场景提供更加精细化、主动化、个性化的数字服务，探索打造一批具有龙华特色的个人数字服务产品和应用。</w:t>
      </w:r>
    </w:p>
    <w:p w14:paraId="5C8BAE88" w14:textId="77777777" w:rsidR="009D5DEA" w:rsidRDefault="00000000">
      <w:pPr>
        <w:pStyle w:val="3"/>
        <w:widowControl/>
        <w:numPr>
          <w:ilvl w:val="0"/>
          <w:numId w:val="17"/>
        </w:numPr>
        <w:spacing w:before="0" w:after="0" w:line="560" w:lineRule="exact"/>
        <w:rPr>
          <w:rFonts w:ascii="仿宋" w:eastAsia="仿宋_GB2312" w:hAnsi="仿宋" w:cs="宋体" w:hint="eastAsia"/>
          <w:b/>
          <w:bCs/>
          <w:color w:val="auto"/>
          <w:kern w:val="0"/>
        </w:rPr>
      </w:pPr>
      <w:bookmarkStart w:id="63" w:name="_Toc220337810"/>
      <w:r>
        <w:rPr>
          <w:rFonts w:ascii="仿宋" w:eastAsia="仿宋_GB2312" w:hAnsi="仿宋" w:cs="宋体" w:hint="eastAsia"/>
          <w:b/>
          <w:bCs/>
          <w:color w:val="auto"/>
          <w:kern w:val="0"/>
        </w:rPr>
        <w:t>打造政务服务“好易办”新模式</w:t>
      </w:r>
      <w:bookmarkEnd w:id="63"/>
    </w:p>
    <w:p w14:paraId="75B38A6B" w14:textId="77777777" w:rsidR="009D5DEA" w:rsidRDefault="00000000">
      <w:pPr>
        <w:spacing w:after="0" w:line="560" w:lineRule="exact"/>
        <w:ind w:firstLine="643"/>
        <w:rPr>
          <w:bCs/>
        </w:rPr>
      </w:pPr>
      <w:r>
        <w:rPr>
          <w:rFonts w:hint="eastAsia"/>
          <w:b/>
        </w:rPr>
        <w:t>健全“高效办成一件事”常态化推进机制。</w:t>
      </w:r>
      <w:r>
        <w:rPr>
          <w:rFonts w:hint="eastAsia"/>
          <w:bCs/>
        </w:rPr>
        <w:t>围绕企业群众办事全生命周期，完善</w:t>
      </w:r>
      <w:proofErr w:type="gramStart"/>
      <w:r>
        <w:rPr>
          <w:rFonts w:hint="eastAsia"/>
          <w:bCs/>
        </w:rPr>
        <w:t>龙华区</w:t>
      </w:r>
      <w:proofErr w:type="gramEnd"/>
      <w:r>
        <w:rPr>
          <w:rFonts w:hint="eastAsia"/>
          <w:bCs/>
        </w:rPr>
        <w:t>重点事项清单和工作台账，建立健全定期梳理、滚动扩容和动态调整的工作机制，推动“高效办成一件事”重点事项常态化推进机制实施。聚焦企业经营、民生服务等高频</w:t>
      </w:r>
      <w:proofErr w:type="gramStart"/>
      <w:r>
        <w:rPr>
          <w:rFonts w:hint="eastAsia"/>
          <w:bCs/>
        </w:rPr>
        <w:t>事项及跨部门</w:t>
      </w:r>
      <w:proofErr w:type="gramEnd"/>
      <w:r>
        <w:rPr>
          <w:rFonts w:hint="eastAsia"/>
          <w:bCs/>
        </w:rPr>
        <w:t>关联场景，通过流程重塑、数据共享和线上线下同源办理，拓展企业服务专区、</w:t>
      </w:r>
      <w:proofErr w:type="gramStart"/>
      <w:r>
        <w:rPr>
          <w:rFonts w:hint="eastAsia"/>
          <w:bCs/>
        </w:rPr>
        <w:t>免申即享等</w:t>
      </w:r>
      <w:proofErr w:type="gramEnd"/>
      <w:r>
        <w:rPr>
          <w:rFonts w:hint="eastAsia"/>
          <w:bCs/>
        </w:rPr>
        <w:t>特色服务。完善“首接负责、牵头</w:t>
      </w:r>
      <w:r>
        <w:rPr>
          <w:rFonts w:hint="eastAsia"/>
          <w:bCs/>
        </w:rPr>
        <w:lastRenderedPageBreak/>
        <w:t>主责、协同共担”的跨部门协调机制，实现从单一事项办理向全生命周期服务的转型升级。</w:t>
      </w:r>
    </w:p>
    <w:p w14:paraId="03D2241C" w14:textId="77777777" w:rsidR="009D5DEA" w:rsidRDefault="00000000">
      <w:pPr>
        <w:spacing w:after="0" w:line="560" w:lineRule="exact"/>
        <w:ind w:firstLine="643"/>
      </w:pPr>
      <w:r>
        <w:rPr>
          <w:rFonts w:hint="eastAsia"/>
          <w:b/>
        </w:rPr>
        <w:t>推进“人工智能</w:t>
      </w:r>
      <w:r>
        <w:rPr>
          <w:rFonts w:ascii="仿宋_GB2312" w:hint="eastAsia"/>
          <w:b/>
        </w:rPr>
        <w:t>+</w:t>
      </w:r>
      <w:r>
        <w:rPr>
          <w:rFonts w:hint="eastAsia"/>
          <w:b/>
        </w:rPr>
        <w:t>政务服务”行动。</w:t>
      </w:r>
      <w:r>
        <w:rPr>
          <w:rFonts w:ascii="仿宋_GB2312" w:hint="eastAsia"/>
        </w:rPr>
        <w:t>围绕线上服务场景，开发智能政务问答、线</w:t>
      </w:r>
      <w:proofErr w:type="gramStart"/>
      <w:r>
        <w:rPr>
          <w:rFonts w:ascii="仿宋_GB2312" w:hint="eastAsia"/>
        </w:rPr>
        <w:t>上材料辅</w:t>
      </w:r>
      <w:proofErr w:type="gramEnd"/>
      <w:r>
        <w:rPr>
          <w:rFonts w:ascii="仿宋_GB2312" w:hint="eastAsia"/>
        </w:rPr>
        <w:t>审、表单</w:t>
      </w:r>
      <w:proofErr w:type="gramStart"/>
      <w:r>
        <w:rPr>
          <w:rFonts w:ascii="仿宋_GB2312" w:hint="eastAsia"/>
        </w:rPr>
        <w:t>预填等功能</w:t>
      </w:r>
      <w:proofErr w:type="gramEnd"/>
      <w:r>
        <w:rPr>
          <w:rFonts w:ascii="仿宋_GB2312" w:hint="eastAsia"/>
        </w:rPr>
        <w:t>，实现需求精准识别、服务主动规划、办理全程智能的政务服务新模式。围绕线下服务场景，提供办事路径规划、专业服务咨询、材料智能生成、智能</w:t>
      </w:r>
      <w:proofErr w:type="gramStart"/>
      <w:r>
        <w:rPr>
          <w:rFonts w:ascii="仿宋_GB2312" w:hint="eastAsia"/>
        </w:rPr>
        <w:t>辅助接件等</w:t>
      </w:r>
      <w:proofErr w:type="gramEnd"/>
      <w:r>
        <w:rPr>
          <w:rFonts w:ascii="仿宋_GB2312" w:hint="eastAsia"/>
        </w:rPr>
        <w:t>功能，进一步优化办事流程，赋能</w:t>
      </w:r>
      <w:proofErr w:type="gramStart"/>
      <w:r>
        <w:rPr>
          <w:rFonts w:ascii="仿宋_GB2312" w:hint="eastAsia"/>
        </w:rPr>
        <w:t>办理全</w:t>
      </w:r>
      <w:proofErr w:type="gramEnd"/>
      <w:r>
        <w:rPr>
          <w:rFonts w:ascii="仿宋_GB2312" w:hint="eastAsia"/>
        </w:rPr>
        <w:t>环节。围绕惠企服务场景，通过利用AI工具进行政策梳理、政策演算等功能，有效缩短产业政策发布周期，显著提升政策扶持指向的精准度。</w:t>
      </w:r>
    </w:p>
    <w:p w14:paraId="2FBFF5C1" w14:textId="77777777" w:rsidR="009D5DEA" w:rsidRDefault="00000000">
      <w:pPr>
        <w:spacing w:after="0" w:line="560" w:lineRule="exact"/>
        <w:ind w:firstLine="643"/>
      </w:pPr>
      <w:r>
        <w:rPr>
          <w:rFonts w:hint="eastAsia"/>
          <w:b/>
        </w:rPr>
        <w:t>打造优化“好易办”精品服务。</w:t>
      </w:r>
      <w:r>
        <w:t>坚持</w:t>
      </w:r>
      <w:r>
        <w:rPr>
          <w:rFonts w:hint="eastAsia"/>
        </w:rPr>
        <w:t>“用户思维”和“用户需求”导向，</w:t>
      </w:r>
      <w:r>
        <w:t>围绕企业群众</w:t>
      </w:r>
      <w:r>
        <w:rPr>
          <w:rFonts w:ascii="仿宋_GB2312" w:hint="eastAsia"/>
        </w:rPr>
        <w:t>“问、查、导、办、评”</w:t>
      </w:r>
      <w:r>
        <w:t>等政务服务全流程核心环节，梳理形成</w:t>
      </w:r>
      <w:proofErr w:type="gramStart"/>
      <w:r>
        <w:t>龙华区</w:t>
      </w:r>
      <w:proofErr w:type="gramEnd"/>
      <w:r>
        <w:rPr>
          <w:rFonts w:ascii="仿宋_GB2312" w:hint="eastAsia"/>
        </w:rPr>
        <w:t>“好易办”</w:t>
      </w:r>
      <w:r>
        <w:t>高频事项清单</w:t>
      </w:r>
      <w:r>
        <w:rPr>
          <w:rFonts w:hint="eastAsia"/>
        </w:rPr>
        <w:t>，构建标准化、场景化、智能化的“好易办”服务模式。聚焦企业开办、人才落户、建设审批、民生补贴等重点领域，优化跨部门协同办理流程和前台统一受理、后台分类办理、结果统一反馈的服务体系，推动线上线下贯通、前后台联动、部门协同的全流程服务闭环。</w:t>
      </w:r>
    </w:p>
    <w:p w14:paraId="7243ADB3" w14:textId="77777777" w:rsidR="009D5DEA" w:rsidRDefault="00000000">
      <w:pPr>
        <w:spacing w:after="0" w:line="560" w:lineRule="exact"/>
        <w:ind w:firstLine="643"/>
      </w:pPr>
      <w:r>
        <w:rPr>
          <w:rFonts w:hint="eastAsia"/>
          <w:b/>
          <w:bCs/>
        </w:rPr>
        <w:t>深入推进惠企利民政策“免申即享”改革。</w:t>
      </w:r>
      <w:r>
        <w:rPr>
          <w:rFonts w:hint="eastAsia"/>
        </w:rPr>
        <w:t>持续拓展事项覆盖广度与服务深度，推动更多惠企利民政策实现“零跑腿、免申请、快享受”，力争推出不少于</w:t>
      </w:r>
      <w:r>
        <w:rPr>
          <w:rFonts w:ascii="仿宋_GB2312" w:hint="eastAsia"/>
        </w:rPr>
        <w:t>30</w:t>
      </w:r>
      <w:r>
        <w:rPr>
          <w:rFonts w:hint="eastAsia"/>
        </w:rPr>
        <w:t>项“免申即享”服务事项。</w:t>
      </w:r>
    </w:p>
    <w:p w14:paraId="296B9BE6" w14:textId="77777777" w:rsidR="009D5DEA" w:rsidRDefault="00000000">
      <w:pPr>
        <w:spacing w:after="0" w:line="560" w:lineRule="exact"/>
        <w:ind w:firstLine="643"/>
        <w:rPr>
          <w:rFonts w:ascii="仿宋_GB2312"/>
        </w:rPr>
      </w:pPr>
      <w:r>
        <w:rPr>
          <w:rFonts w:ascii="仿宋_GB2312" w:hint="eastAsia"/>
          <w:b/>
          <w:bCs/>
        </w:rPr>
        <w:t>不断完善“政策AI计算器”功能。</w:t>
      </w:r>
      <w:r>
        <w:rPr>
          <w:rFonts w:ascii="仿宋_GB2312" w:hint="eastAsia"/>
        </w:rPr>
        <w:t>新增海关政策专栏，集中展示100余条政策法规，集成一站式检索与收藏等功</w:t>
      </w:r>
      <w:r>
        <w:rPr>
          <w:rFonts w:ascii="仿宋_GB2312" w:hint="eastAsia"/>
        </w:rPr>
        <w:lastRenderedPageBreak/>
        <w:t>能，并同步上线政策短信精准推送服务。推出AEO企业认证及主动披露测评两大辅助工具，优化认证流程，支持企业高效开展合</w:t>
      </w:r>
      <w:proofErr w:type="gramStart"/>
      <w:r>
        <w:rPr>
          <w:rFonts w:ascii="仿宋_GB2312" w:hint="eastAsia"/>
        </w:rPr>
        <w:t>规</w:t>
      </w:r>
      <w:proofErr w:type="gramEnd"/>
      <w:r>
        <w:rPr>
          <w:rFonts w:ascii="仿宋_GB2312" w:hint="eastAsia"/>
        </w:rPr>
        <w:t>自查，助力诚信企业</w:t>
      </w:r>
      <w:proofErr w:type="gramStart"/>
      <w:r>
        <w:rPr>
          <w:rFonts w:ascii="仿宋_GB2312" w:hint="eastAsia"/>
        </w:rPr>
        <w:t>畅享通</w:t>
      </w:r>
      <w:proofErr w:type="gramEnd"/>
      <w:r>
        <w:rPr>
          <w:rFonts w:ascii="仿宋_GB2312" w:hint="eastAsia"/>
        </w:rPr>
        <w:t>关便利，促进贸易安全与通关效率提升。</w:t>
      </w:r>
    </w:p>
    <w:p w14:paraId="20488160" w14:textId="77777777" w:rsidR="009D5DEA" w:rsidRDefault="00000000">
      <w:pPr>
        <w:spacing w:after="0" w:line="560" w:lineRule="exact"/>
        <w:ind w:firstLine="643"/>
        <w:rPr>
          <w:rFonts w:ascii="仿宋_GB2312"/>
          <w:b/>
          <w:bCs/>
        </w:rPr>
      </w:pPr>
      <w:r>
        <w:rPr>
          <w:rFonts w:ascii="仿宋_GB2312" w:hint="eastAsia"/>
          <w:b/>
          <w:bCs/>
        </w:rPr>
        <w:t>深化“政务+直播”品牌。</w:t>
      </w:r>
      <w:r>
        <w:rPr>
          <w:rFonts w:ascii="仿宋_GB2312" w:hint="eastAsia"/>
        </w:rPr>
        <w:t>持续创新“云端送政策、直播解难题”模式，围绕企业群众高频办事需求，利用新媒体平台等多元化方式，推出更多主题、更多场次的专题直播，提升政策可达性和透明度。</w:t>
      </w:r>
    </w:p>
    <w:p w14:paraId="189809E8" w14:textId="77777777" w:rsidR="009D5DEA" w:rsidRDefault="00000000">
      <w:pPr>
        <w:spacing w:after="0" w:line="560" w:lineRule="exact"/>
        <w:ind w:firstLineChars="200" w:firstLine="643"/>
        <w:rPr>
          <w:rFonts w:ascii="仿宋_GB2312"/>
          <w:bCs/>
        </w:rPr>
      </w:pPr>
      <w:r>
        <w:rPr>
          <w:rFonts w:ascii="仿宋_GB2312" w:hint="eastAsia"/>
          <w:b/>
        </w:rPr>
        <w:t>持续推动国际化数字门户提质增效。</w:t>
      </w:r>
      <w:r>
        <w:rPr>
          <w:rFonts w:ascii="仿宋_GB2312" w:hint="eastAsia"/>
          <w:bCs/>
        </w:rPr>
        <w:t>深化人工智能在数字门户的场景应用，创新网站内容生产与呈现形式，实现内容的生动表达与基于用户画像的智能推荐。持续优化“数字政策库”“问搜一体”，创新推出“AI政策导读”“AI智能导办”等应用，以伴随式服务全面加强网站“读、找、问、办”能力，为国内外企业及个人提供一站式便捷服务。</w:t>
      </w:r>
    </w:p>
    <w:p w14:paraId="1BC0CE71" w14:textId="77777777" w:rsidR="009D5DEA" w:rsidRDefault="00000000">
      <w:pPr>
        <w:pStyle w:val="3"/>
        <w:widowControl/>
        <w:numPr>
          <w:ilvl w:val="0"/>
          <w:numId w:val="17"/>
        </w:numPr>
        <w:spacing w:before="0" w:after="0" w:line="560" w:lineRule="exact"/>
        <w:ind w:hanging="442"/>
        <w:rPr>
          <w:rFonts w:ascii="仿宋" w:eastAsia="仿宋_GB2312" w:hAnsi="仿宋" w:cs="宋体" w:hint="eastAsia"/>
          <w:b/>
          <w:bCs/>
          <w:color w:val="auto"/>
          <w:kern w:val="0"/>
        </w:rPr>
      </w:pPr>
      <w:bookmarkStart w:id="64" w:name="_Toc220337811"/>
      <w:r>
        <w:rPr>
          <w:rFonts w:ascii="仿宋" w:eastAsia="仿宋_GB2312" w:hAnsi="仿宋" w:cs="宋体" w:hint="eastAsia"/>
          <w:b/>
          <w:bCs/>
          <w:color w:val="auto"/>
          <w:kern w:val="0"/>
        </w:rPr>
        <w:t>提升智慧医疗服务能级</w:t>
      </w:r>
      <w:bookmarkEnd w:id="64"/>
    </w:p>
    <w:p w14:paraId="4EBC91A0" w14:textId="77777777" w:rsidR="009D5DEA" w:rsidRDefault="00000000">
      <w:pPr>
        <w:spacing w:after="0" w:line="560" w:lineRule="exact"/>
        <w:ind w:firstLineChars="200" w:firstLine="640"/>
        <w:rPr>
          <w:rFonts w:ascii="仿宋_GB2312"/>
        </w:rPr>
      </w:pPr>
      <w:r>
        <w:rPr>
          <w:rFonts w:ascii="仿宋_GB2312"/>
        </w:rPr>
        <w:t>推进医疗健康全民化，以医疗服务精细化为方向，升级</w:t>
      </w:r>
      <w:r>
        <w:rPr>
          <w:rFonts w:ascii="仿宋_GB2312" w:hint="eastAsia"/>
        </w:rPr>
        <w:t>“1核引领、4翼支撑、N点辐射”</w:t>
      </w:r>
      <w:r>
        <w:rPr>
          <w:rFonts w:ascii="仿宋_GB2312"/>
        </w:rPr>
        <w:t>体系，加强人工智能标准数据集和语料库、核心应用组件等研发，支持建立高质量医疗健康数据的可信数据流通基础设施，孵化专业化、专科化的医疗智能体。深化居民健康画像应用，推动居民电子健康档案规范向个人开放，开展慢性病筛查、评估分级、个性化干预等智能服务，支持居民开展自我健康管理。推动AI工具在多领域应用，实现基层AI辅助</w:t>
      </w:r>
      <w:proofErr w:type="gramStart"/>
      <w:r>
        <w:rPr>
          <w:rFonts w:ascii="仿宋_GB2312"/>
        </w:rPr>
        <w:t>诊断全</w:t>
      </w:r>
      <w:proofErr w:type="gramEnd"/>
      <w:r>
        <w:rPr>
          <w:rFonts w:ascii="仿宋_GB2312"/>
        </w:rPr>
        <w:t>覆盖，门诊病历自动生成率超90%。加强智能中医诊疗应用，构建</w:t>
      </w:r>
      <w:r>
        <w:rPr>
          <w:rFonts w:ascii="仿宋_GB2312"/>
        </w:rPr>
        <w:lastRenderedPageBreak/>
        <w:t>中医临床专病知识库、临床用药知识库，形成一批高质量数据集，支撑建设医药诊疗大模型，提升医药辅助临床诊治能力，提高合理用药水平。构建监测、预警、处置全流程闭环管理体系，推进疫情分级分类处置系统升级，为传染病防控决策提供实时、精准支撑；优化卫生健康执法监管方式，融合人工智能与大数据技术推进非现场监管系统升级，构建智能化执法监管辅助体系，助力执法人员高效履职，同时赋能监管对象自主防控，筑牢公共卫生安全防线。加强智能医疗质量、医疗费用及单病种成本管理等医疗管理数据精准分析，开展医疗装备和耗材的智能调配、手术室和药房智能管理，加强医院医疗质量、医疗服务、物流、后勤和安全等智能管理。力争到2030年，构建</w:t>
      </w:r>
      <w:r>
        <w:rPr>
          <w:rFonts w:ascii="仿宋_GB2312" w:hint="eastAsia"/>
        </w:rPr>
        <w:t>“普惠均衡、智慧高效、安全韧性”</w:t>
      </w:r>
      <w:r>
        <w:rPr>
          <w:rFonts w:ascii="仿宋_GB2312"/>
        </w:rPr>
        <w:t>的现代化卫生健康服务体系，将</w:t>
      </w:r>
      <w:proofErr w:type="gramStart"/>
      <w:r>
        <w:rPr>
          <w:rFonts w:ascii="仿宋_GB2312"/>
        </w:rPr>
        <w:t>龙华区</w:t>
      </w:r>
      <w:proofErr w:type="gramEnd"/>
      <w:r>
        <w:rPr>
          <w:rFonts w:ascii="仿宋_GB2312"/>
        </w:rPr>
        <w:t>打造成为智慧医疗标杆区。</w:t>
      </w:r>
    </w:p>
    <w:p w14:paraId="332B9964" w14:textId="77777777" w:rsidR="009D5DEA" w:rsidRDefault="00000000">
      <w:pPr>
        <w:pStyle w:val="3"/>
        <w:widowControl/>
        <w:numPr>
          <w:ilvl w:val="0"/>
          <w:numId w:val="17"/>
        </w:numPr>
        <w:spacing w:before="0" w:after="0" w:line="560" w:lineRule="exact"/>
        <w:rPr>
          <w:rFonts w:ascii="仿宋" w:eastAsia="仿宋_GB2312" w:hAnsi="仿宋" w:cs="宋体" w:hint="eastAsia"/>
          <w:b/>
          <w:bCs/>
          <w:color w:val="auto"/>
          <w:kern w:val="0"/>
        </w:rPr>
      </w:pPr>
      <w:bookmarkStart w:id="65" w:name="_Toc220337812"/>
      <w:r>
        <w:rPr>
          <w:rFonts w:ascii="仿宋" w:eastAsia="仿宋_GB2312" w:hAnsi="仿宋" w:cs="宋体" w:hint="eastAsia"/>
          <w:b/>
          <w:bCs/>
          <w:color w:val="auto"/>
          <w:kern w:val="0"/>
        </w:rPr>
        <w:t>推进智慧教育服务应用</w:t>
      </w:r>
      <w:bookmarkEnd w:id="65"/>
    </w:p>
    <w:p w14:paraId="2AA86B3E" w14:textId="77777777" w:rsidR="009D5DEA" w:rsidRDefault="00000000">
      <w:pPr>
        <w:spacing w:after="0" w:line="560" w:lineRule="exact"/>
        <w:ind w:firstLineChars="200" w:firstLine="640"/>
      </w:pPr>
      <w:r>
        <w:rPr>
          <w:rFonts w:hint="eastAsia"/>
        </w:rPr>
        <w:t>聚焦教育全场景、全要素、全流程的数字化需求，推动</w:t>
      </w:r>
      <w:proofErr w:type="gramStart"/>
      <w:r>
        <w:rPr>
          <w:rFonts w:hint="eastAsia"/>
        </w:rPr>
        <w:t>教育数智化</w:t>
      </w:r>
      <w:proofErr w:type="gramEnd"/>
      <w:r>
        <w:rPr>
          <w:rFonts w:hint="eastAsia"/>
        </w:rPr>
        <w:t>转型发展，发挥数字政府在基础设施、平台能力和数据治理方面的统筹支撑作用，推动</w:t>
      </w:r>
      <w:proofErr w:type="gramStart"/>
      <w:r>
        <w:rPr>
          <w:rFonts w:hint="eastAsia"/>
        </w:rPr>
        <w:t>数智技术</w:t>
      </w:r>
      <w:proofErr w:type="gramEnd"/>
      <w:r>
        <w:rPr>
          <w:rFonts w:hint="eastAsia"/>
        </w:rPr>
        <w:t>在教学、教研、管理、评价和监管等环节一体融合。夯实数字教育基础设施，</w:t>
      </w:r>
      <w:r>
        <w:t>加快智慧校园升级</w:t>
      </w:r>
      <w:r>
        <w:rPr>
          <w:rFonts w:hint="eastAsia"/>
        </w:rPr>
        <w:t>，为</w:t>
      </w:r>
      <w:proofErr w:type="gramStart"/>
      <w:r>
        <w:rPr>
          <w:rFonts w:hint="eastAsia"/>
        </w:rPr>
        <w:t>教育数智化</w:t>
      </w:r>
      <w:proofErr w:type="gramEnd"/>
      <w:r>
        <w:rPr>
          <w:rFonts w:hint="eastAsia"/>
        </w:rPr>
        <w:t>转型提供安全可靠</w:t>
      </w:r>
      <w:proofErr w:type="gramStart"/>
      <w:r>
        <w:rPr>
          <w:rFonts w:hint="eastAsia"/>
        </w:rPr>
        <w:t>的算力和</w:t>
      </w:r>
      <w:proofErr w:type="gramEnd"/>
      <w:r>
        <w:rPr>
          <w:rFonts w:hint="eastAsia"/>
        </w:rPr>
        <w:t>数据底座。支持实施</w:t>
      </w:r>
      <w:r>
        <w:rPr>
          <w:rFonts w:ascii="仿宋_GB2312" w:hint="eastAsia"/>
        </w:rPr>
        <w:t>“AI+教育”</w:t>
      </w:r>
      <w:r>
        <w:rPr>
          <w:rFonts w:hint="eastAsia"/>
        </w:rPr>
        <w:t>融合工程，提供统一身份认证、数据中台和智能算法等共性能力，支撑个性化学习和精准教学应用场景，</w:t>
      </w:r>
      <w:proofErr w:type="gramStart"/>
      <w:r>
        <w:rPr>
          <w:rFonts w:hint="eastAsia"/>
        </w:rPr>
        <w:t>推动数智化</w:t>
      </w:r>
      <w:proofErr w:type="gramEnd"/>
      <w:r>
        <w:rPr>
          <w:rFonts w:hint="eastAsia"/>
        </w:rPr>
        <w:t>课程体系建设，探索大规模个性化育人新方式。完善教育数</w:t>
      </w:r>
      <w:r>
        <w:rPr>
          <w:rFonts w:hint="eastAsia"/>
        </w:rPr>
        <w:lastRenderedPageBreak/>
        <w:t>据汇聚与分析机制，构建基于学情反馈闭环</w:t>
      </w:r>
      <w:proofErr w:type="gramStart"/>
      <w:r>
        <w:rPr>
          <w:rFonts w:hint="eastAsia"/>
        </w:rPr>
        <w:t>的数智教研</w:t>
      </w:r>
      <w:proofErr w:type="gramEnd"/>
      <w:r>
        <w:rPr>
          <w:rFonts w:hint="eastAsia"/>
        </w:rPr>
        <w:t>模式，优化教科研工作流程，创新数据驱动教研路径。依托区级人工智能平台等</w:t>
      </w:r>
      <w:r>
        <w:rPr>
          <w:rFonts w:ascii="仿宋_GB2312" w:hint="eastAsia"/>
        </w:rPr>
        <w:t>AI</w:t>
      </w:r>
      <w:r>
        <w:rPr>
          <w:rFonts w:hint="eastAsia"/>
        </w:rPr>
        <w:t>工具，支持构建“工具研发—数据采集—智能分析—报告生成”全流程测评机制，形成“以评促教、以评促学、以评促改”的良性生态。加强教育安全数字监管支撑，推进“校园安全管理中心”建设，建设校园智能安防和风险监测能力，</w:t>
      </w:r>
      <w:r>
        <w:t>构建校园智能化安防体系和智能风险监测平台，实现安全隐患</w:t>
      </w:r>
      <w:r>
        <w:rPr>
          <w:rFonts w:ascii="仿宋_GB2312" w:hint="eastAsia"/>
        </w:rPr>
        <w:t>“发现—登记—整改—验收”</w:t>
      </w:r>
      <w:r>
        <w:t>全流程数字化治理，提升校园风险主动发现和预警能力。</w:t>
      </w:r>
    </w:p>
    <w:p w14:paraId="1A27022B" w14:textId="77777777" w:rsidR="009D5DEA" w:rsidRDefault="00000000">
      <w:pPr>
        <w:pStyle w:val="3"/>
        <w:widowControl/>
        <w:numPr>
          <w:ilvl w:val="0"/>
          <w:numId w:val="17"/>
        </w:numPr>
        <w:spacing w:before="0" w:after="0" w:line="560" w:lineRule="exact"/>
        <w:rPr>
          <w:rFonts w:ascii="仿宋" w:eastAsia="仿宋_GB2312" w:hAnsi="仿宋" w:cs="宋体" w:hint="eastAsia"/>
          <w:b/>
          <w:bCs/>
          <w:color w:val="auto"/>
          <w:kern w:val="0"/>
        </w:rPr>
      </w:pPr>
      <w:bookmarkStart w:id="66" w:name="_Toc220337813"/>
      <w:r>
        <w:rPr>
          <w:rFonts w:ascii="仿宋" w:eastAsia="仿宋_GB2312" w:hAnsi="仿宋" w:cs="宋体" w:hint="eastAsia"/>
          <w:b/>
          <w:bCs/>
          <w:color w:val="auto"/>
          <w:kern w:val="0"/>
        </w:rPr>
        <w:t>推动智慧养老服务升级</w:t>
      </w:r>
      <w:bookmarkEnd w:id="66"/>
    </w:p>
    <w:p w14:paraId="658ADA86" w14:textId="77777777" w:rsidR="009D5DEA" w:rsidRDefault="00000000">
      <w:pPr>
        <w:spacing w:after="0" w:line="560" w:lineRule="exact"/>
        <w:ind w:firstLine="643"/>
        <w:rPr>
          <w:bCs/>
        </w:rPr>
      </w:pPr>
      <w:r>
        <w:rPr>
          <w:rFonts w:hint="eastAsia"/>
          <w:b/>
        </w:rPr>
        <w:t>鼓励智慧养老多元合作。</w:t>
      </w:r>
      <w:r>
        <w:rPr>
          <w:bCs/>
        </w:rPr>
        <w:t>鼓励辖区养老企业与科技企业、金融机构等开展合作，深度融合前沿技术与养老服务需求，在助</w:t>
      </w:r>
      <w:proofErr w:type="gramStart"/>
      <w:r>
        <w:rPr>
          <w:bCs/>
        </w:rPr>
        <w:t>医</w:t>
      </w:r>
      <w:proofErr w:type="gramEnd"/>
      <w:r>
        <w:rPr>
          <w:bCs/>
        </w:rPr>
        <w:t>、助餐、助居、助行、助乐、</w:t>
      </w:r>
      <w:proofErr w:type="gramStart"/>
      <w:r>
        <w:rPr>
          <w:bCs/>
        </w:rPr>
        <w:t>助安等</w:t>
      </w:r>
      <w:proofErr w:type="gramEnd"/>
      <w:r>
        <w:rPr>
          <w:bCs/>
        </w:rPr>
        <w:t>方面推动打造低成本、高体验、交互式的智慧养老服务场景。</w:t>
      </w:r>
    </w:p>
    <w:p w14:paraId="1AEE3BA5" w14:textId="77777777" w:rsidR="009D5DEA" w:rsidRDefault="00000000">
      <w:pPr>
        <w:spacing w:line="560" w:lineRule="exact"/>
        <w:ind w:firstLine="643"/>
      </w:pPr>
      <w:r>
        <w:rPr>
          <w:rFonts w:hint="eastAsia"/>
          <w:b/>
        </w:rPr>
        <w:t>提升</w:t>
      </w:r>
      <w:proofErr w:type="gramStart"/>
      <w:r>
        <w:rPr>
          <w:rFonts w:hint="eastAsia"/>
          <w:b/>
        </w:rPr>
        <w:t>适</w:t>
      </w:r>
      <w:proofErr w:type="gramEnd"/>
      <w:r>
        <w:rPr>
          <w:rFonts w:hint="eastAsia"/>
          <w:b/>
        </w:rPr>
        <w:t>老化产品和服务供给水平。</w:t>
      </w:r>
      <w:r>
        <w:rPr>
          <w:rFonts w:hint="eastAsia"/>
          <w:bCs/>
        </w:rPr>
        <w:t>围绕居家、社区和机构等场景，聚焦失能失智照护、情感陪护、健康管理与促进、日常生活辅助等领域，推动满足多层次、多样化养老服务需求的智能化产品应用。大力推行“无感智能”，探索打造“银发数字助手”，围绕老年人出行、就医、消费、文娱、办事等高频事项和服务场景，推进相关服务的数字</w:t>
      </w:r>
      <w:proofErr w:type="gramStart"/>
      <w:r>
        <w:rPr>
          <w:rFonts w:hint="eastAsia"/>
          <w:bCs/>
        </w:rPr>
        <w:t>适</w:t>
      </w:r>
      <w:proofErr w:type="gramEnd"/>
      <w:r>
        <w:rPr>
          <w:rFonts w:hint="eastAsia"/>
          <w:bCs/>
        </w:rPr>
        <w:t>老化改造。</w:t>
      </w:r>
    </w:p>
    <w:p w14:paraId="4072F12C" w14:textId="77777777" w:rsidR="009D5DEA" w:rsidRDefault="00000000">
      <w:pPr>
        <w:pStyle w:val="3"/>
        <w:widowControl/>
        <w:numPr>
          <w:ilvl w:val="0"/>
          <w:numId w:val="17"/>
        </w:numPr>
        <w:spacing w:before="0" w:after="0" w:line="560" w:lineRule="exact"/>
        <w:rPr>
          <w:rFonts w:ascii="仿宋" w:eastAsia="仿宋_GB2312" w:hAnsi="仿宋" w:cs="宋体" w:hint="eastAsia"/>
          <w:b/>
          <w:bCs/>
          <w:color w:val="auto"/>
          <w:kern w:val="0"/>
        </w:rPr>
      </w:pPr>
      <w:bookmarkStart w:id="67" w:name="_Toc220337814"/>
      <w:r>
        <w:rPr>
          <w:rFonts w:ascii="仿宋" w:eastAsia="仿宋_GB2312" w:hAnsi="仿宋" w:cs="宋体" w:hint="eastAsia"/>
          <w:b/>
          <w:bCs/>
          <w:color w:val="auto"/>
          <w:kern w:val="0"/>
        </w:rPr>
        <w:t>探索</w:t>
      </w:r>
      <w:proofErr w:type="gramStart"/>
      <w:r>
        <w:rPr>
          <w:rFonts w:ascii="仿宋" w:eastAsia="仿宋_GB2312" w:hAnsi="仿宋" w:cs="宋体" w:hint="eastAsia"/>
          <w:b/>
          <w:bCs/>
          <w:color w:val="auto"/>
          <w:kern w:val="0"/>
        </w:rPr>
        <w:t>龙华文旅数智</w:t>
      </w:r>
      <w:proofErr w:type="gramEnd"/>
      <w:r>
        <w:rPr>
          <w:rFonts w:ascii="仿宋" w:eastAsia="仿宋_GB2312" w:hAnsi="仿宋" w:cs="宋体" w:hint="eastAsia"/>
          <w:b/>
          <w:bCs/>
          <w:color w:val="auto"/>
          <w:kern w:val="0"/>
        </w:rPr>
        <w:t>化发展</w:t>
      </w:r>
      <w:bookmarkEnd w:id="67"/>
    </w:p>
    <w:p w14:paraId="149B02B9" w14:textId="77777777" w:rsidR="009D5DEA" w:rsidRDefault="00000000">
      <w:pPr>
        <w:spacing w:after="0" w:line="560" w:lineRule="exact"/>
        <w:ind w:firstLineChars="200" w:firstLine="640"/>
        <w:rPr>
          <w:bCs/>
        </w:rPr>
      </w:pPr>
      <w:r>
        <w:rPr>
          <w:rFonts w:hint="eastAsia"/>
          <w:bCs/>
        </w:rPr>
        <w:t>鼓励文广</w:t>
      </w:r>
      <w:proofErr w:type="gramStart"/>
      <w:r>
        <w:rPr>
          <w:rFonts w:hint="eastAsia"/>
          <w:bCs/>
        </w:rPr>
        <w:t>旅体部门</w:t>
      </w:r>
      <w:proofErr w:type="gramEnd"/>
      <w:r>
        <w:rPr>
          <w:rFonts w:hint="eastAsia"/>
          <w:bCs/>
        </w:rPr>
        <w:t>及园区、企业在符合法规和数据安</w:t>
      </w:r>
      <w:r>
        <w:rPr>
          <w:rFonts w:hint="eastAsia"/>
          <w:bCs/>
        </w:rPr>
        <w:lastRenderedPageBreak/>
        <w:t>全要求前提下，开展龙华特色文化资源、非</w:t>
      </w:r>
      <w:proofErr w:type="gramStart"/>
      <w:r>
        <w:rPr>
          <w:rFonts w:hint="eastAsia"/>
          <w:bCs/>
        </w:rPr>
        <w:t>遗项目</w:t>
      </w:r>
      <w:proofErr w:type="gramEnd"/>
      <w:r>
        <w:rPr>
          <w:rFonts w:hint="eastAsia"/>
          <w:bCs/>
        </w:rPr>
        <w:t>和新兴数字文化业态的数据梳理、数字化采集与开放共享，支持其结合智慧旅游解决方案创新线上展陈、云游体验、智慧导</w:t>
      </w:r>
      <w:proofErr w:type="gramStart"/>
      <w:r>
        <w:rPr>
          <w:rFonts w:hint="eastAsia"/>
          <w:bCs/>
        </w:rPr>
        <w:t>览</w:t>
      </w:r>
      <w:proofErr w:type="gramEnd"/>
      <w:r>
        <w:rPr>
          <w:rFonts w:hint="eastAsia"/>
          <w:bCs/>
        </w:rPr>
        <w:t>等服务场景，催生一批具有龙华特色的</w:t>
      </w:r>
      <w:proofErr w:type="gramStart"/>
      <w:r>
        <w:rPr>
          <w:rFonts w:hint="eastAsia"/>
          <w:bCs/>
        </w:rPr>
        <w:t>数字文旅应用</w:t>
      </w:r>
      <w:proofErr w:type="gramEnd"/>
      <w:r>
        <w:rPr>
          <w:rFonts w:hint="eastAsia"/>
          <w:bCs/>
        </w:rPr>
        <w:t>。</w:t>
      </w:r>
      <w:r>
        <w:rPr>
          <w:bCs/>
        </w:rPr>
        <w:t>推动</w:t>
      </w:r>
      <w:proofErr w:type="gramStart"/>
      <w:r>
        <w:rPr>
          <w:bCs/>
        </w:rPr>
        <w:t>文旅数据</w:t>
      </w:r>
      <w:proofErr w:type="gramEnd"/>
      <w:r>
        <w:rPr>
          <w:bCs/>
        </w:rPr>
        <w:t>纳入全区数据资源目录和数据要素统筹体系，</w:t>
      </w:r>
      <w:proofErr w:type="gramStart"/>
      <w:r>
        <w:rPr>
          <w:bCs/>
        </w:rPr>
        <w:t>面向文旅场景</w:t>
      </w:r>
      <w:proofErr w:type="gramEnd"/>
      <w:r>
        <w:rPr>
          <w:bCs/>
        </w:rPr>
        <w:t>提供</w:t>
      </w:r>
      <w:r>
        <w:rPr>
          <w:rFonts w:hint="eastAsia"/>
          <w:bCs/>
        </w:rPr>
        <w:t>技术支撑，探索</w:t>
      </w:r>
      <w:r>
        <w:rPr>
          <w:bCs/>
        </w:rPr>
        <w:t>数字政府</w:t>
      </w:r>
      <w:r>
        <w:rPr>
          <w:rFonts w:hint="eastAsia"/>
          <w:bCs/>
        </w:rPr>
        <w:t>和</w:t>
      </w:r>
      <w:proofErr w:type="gramStart"/>
      <w:r>
        <w:rPr>
          <w:bCs/>
        </w:rPr>
        <w:t>智慧文旅协同</w:t>
      </w:r>
      <w:proofErr w:type="gramEnd"/>
      <w:r>
        <w:rPr>
          <w:bCs/>
        </w:rPr>
        <w:t>发展格局</w:t>
      </w:r>
      <w:r>
        <w:rPr>
          <w:rFonts w:hint="eastAsia"/>
          <w:bCs/>
        </w:rPr>
        <w:t>。</w:t>
      </w:r>
    </w:p>
    <w:p w14:paraId="19C42F9A" w14:textId="77777777" w:rsidR="009D5DEA" w:rsidRDefault="00000000">
      <w:pPr>
        <w:pStyle w:val="3"/>
        <w:widowControl/>
        <w:numPr>
          <w:ilvl w:val="0"/>
          <w:numId w:val="17"/>
        </w:numPr>
        <w:spacing w:before="0" w:after="0" w:line="560" w:lineRule="exact"/>
        <w:rPr>
          <w:rFonts w:ascii="仿宋" w:eastAsia="仿宋_GB2312" w:hAnsi="仿宋" w:cs="宋体" w:hint="eastAsia"/>
          <w:b/>
          <w:bCs/>
          <w:color w:val="auto"/>
          <w:kern w:val="0"/>
        </w:rPr>
      </w:pPr>
      <w:bookmarkStart w:id="68" w:name="_Toc220337815"/>
      <w:r>
        <w:rPr>
          <w:rFonts w:ascii="仿宋" w:eastAsia="仿宋_GB2312" w:hAnsi="仿宋" w:cs="宋体" w:hint="eastAsia"/>
          <w:b/>
          <w:bCs/>
          <w:color w:val="auto"/>
          <w:kern w:val="0"/>
        </w:rPr>
        <w:t>建设特殊群体数字关爱体系</w:t>
      </w:r>
      <w:bookmarkEnd w:id="68"/>
    </w:p>
    <w:p w14:paraId="1662E9DC" w14:textId="77777777" w:rsidR="009D5DEA" w:rsidRDefault="00000000">
      <w:pPr>
        <w:spacing w:after="0" w:line="560" w:lineRule="exact"/>
        <w:ind w:firstLineChars="200" w:firstLine="640"/>
      </w:pPr>
      <w:r>
        <w:rPr>
          <w:rFonts w:hint="eastAsia"/>
        </w:rPr>
        <w:t>构建面向老年人、残疾人、妇女儿童等</w:t>
      </w:r>
      <w:r>
        <w:t>特殊</w:t>
      </w:r>
      <w:r>
        <w:rPr>
          <w:rFonts w:hint="eastAsia"/>
        </w:rPr>
        <w:t>群体的</w:t>
      </w:r>
      <w:bookmarkStart w:id="69" w:name="_Hlk215363570"/>
      <w:r>
        <w:rPr>
          <w:rFonts w:hint="eastAsia"/>
        </w:rPr>
        <w:t>数字关爱体系</w:t>
      </w:r>
      <w:bookmarkEnd w:id="69"/>
      <w:r>
        <w:rPr>
          <w:rFonts w:hint="eastAsia"/>
        </w:rPr>
        <w:t>，</w:t>
      </w:r>
      <w:r>
        <w:t>以</w:t>
      </w:r>
      <w:r>
        <w:rPr>
          <w:rFonts w:hint="eastAsia"/>
        </w:rPr>
        <w:t>努力消除</w:t>
      </w:r>
      <w:r>
        <w:rPr>
          <w:rFonts w:ascii="仿宋_GB2312" w:hint="eastAsia"/>
        </w:rPr>
        <w:t>“</w:t>
      </w:r>
      <w:r>
        <w:t>数字鸿沟</w:t>
      </w:r>
      <w:r>
        <w:rPr>
          <w:rFonts w:ascii="仿宋_GB2312" w:hint="eastAsia"/>
        </w:rPr>
        <w:t>”</w:t>
      </w:r>
      <w:r>
        <w:t>为目标</w:t>
      </w:r>
      <w:r>
        <w:rPr>
          <w:rFonts w:hint="eastAsia"/>
        </w:rPr>
        <w:t>，</w:t>
      </w:r>
      <w:r>
        <w:t>推动</w:t>
      </w:r>
      <w:r>
        <w:rPr>
          <w:rFonts w:hint="eastAsia"/>
        </w:rPr>
        <w:t>信息、智能</w:t>
      </w:r>
      <w:r>
        <w:t>服务普惠可及、便利易用。</w:t>
      </w:r>
      <w:r>
        <w:rPr>
          <w:rFonts w:hint="eastAsia"/>
        </w:rPr>
        <w:t>依托街道党群服务中心、社区养老服务站、老年大学等基层场所，</w:t>
      </w:r>
      <w:r>
        <w:t>围绕智能手机操作、线上挂号缴费等高频技能开展</w:t>
      </w:r>
      <w:r>
        <w:rPr>
          <w:rFonts w:hint="eastAsia"/>
        </w:rPr>
        <w:t>“</w:t>
      </w:r>
      <w:r>
        <w:t>数字助老</w:t>
      </w:r>
      <w:r>
        <w:rPr>
          <w:rFonts w:hint="eastAsia"/>
        </w:rPr>
        <w:t>”“</w:t>
      </w:r>
      <w:r>
        <w:t>数字助残</w:t>
      </w:r>
      <w:r>
        <w:rPr>
          <w:rFonts w:hint="eastAsia"/>
        </w:rPr>
        <w:t>”</w:t>
      </w:r>
      <w:r>
        <w:t>专项培训</w:t>
      </w:r>
      <w:r>
        <w:rPr>
          <w:rFonts w:hint="eastAsia"/>
        </w:rPr>
        <w:t>。</w:t>
      </w:r>
      <w:r>
        <w:t>优化全域数字服务资源配置，推动政务服务、医疗教育等数字服务向基层延伸，同步保留并优化传统线下服务渠道，缩小区域和群体</w:t>
      </w:r>
      <w:proofErr w:type="gramStart"/>
      <w:r>
        <w:t>间数字</w:t>
      </w:r>
      <w:proofErr w:type="gramEnd"/>
      <w:r>
        <w:t>服务差距</w:t>
      </w:r>
      <w:r>
        <w:rPr>
          <w:rFonts w:hint="eastAsia"/>
        </w:rPr>
        <w:t>。</w:t>
      </w:r>
      <w:r>
        <w:t>统筹推进区级政务网站、移动</w:t>
      </w:r>
      <w:r>
        <w:rPr>
          <w:rFonts w:ascii="仿宋_GB2312" w:hint="eastAsia"/>
        </w:rPr>
        <w:t>APP</w:t>
      </w:r>
      <w:r>
        <w:t>等数字设施的无障碍改造与适老化升级，丰富</w:t>
      </w:r>
      <w:proofErr w:type="gramStart"/>
      <w:r>
        <w:t>适</w:t>
      </w:r>
      <w:proofErr w:type="gramEnd"/>
      <w:r>
        <w:t>配重点群体需求的互联网应用功能，</w:t>
      </w:r>
      <w:r>
        <w:rPr>
          <w:rFonts w:hint="eastAsia"/>
        </w:rPr>
        <w:t>提供人性化帮办、代办服务，让数字化发展成果惠及全体市民，</w:t>
      </w:r>
      <w:r>
        <w:t>全面提升公共服务的</w:t>
      </w:r>
      <w:r>
        <w:rPr>
          <w:rFonts w:hint="eastAsia"/>
        </w:rPr>
        <w:t>“数字无障碍”</w:t>
      </w:r>
      <w:r>
        <w:t>水平</w:t>
      </w:r>
      <w:r>
        <w:rPr>
          <w:rFonts w:hint="eastAsia"/>
        </w:rPr>
        <w:t>，强化服务供给的包容性与可及性。</w:t>
      </w:r>
    </w:p>
    <w:p w14:paraId="6BB25843" w14:textId="77777777" w:rsidR="009D5DEA" w:rsidRDefault="00000000">
      <w:pPr>
        <w:pStyle w:val="1"/>
        <w:numPr>
          <w:ilvl w:val="0"/>
          <w:numId w:val="1"/>
        </w:numPr>
        <w:spacing w:before="0" w:after="0" w:line="560" w:lineRule="exact"/>
        <w:rPr>
          <w:rFonts w:ascii="黑体" w:eastAsia="黑体" w:hAnsi="黑体" w:hint="eastAsia"/>
          <w:color w:val="000000" w:themeColor="text1"/>
          <w:sz w:val="32"/>
          <w:szCs w:val="32"/>
        </w:rPr>
      </w:pPr>
      <w:bookmarkStart w:id="70" w:name="_Toc220337816"/>
      <w:r>
        <w:rPr>
          <w:rFonts w:ascii="黑体" w:eastAsia="黑体" w:hAnsi="黑体" w:hint="eastAsia"/>
          <w:color w:val="000000" w:themeColor="text1"/>
          <w:sz w:val="32"/>
          <w:szCs w:val="32"/>
        </w:rPr>
        <w:lastRenderedPageBreak/>
        <w:t>构筑一流发展环境，</w:t>
      </w:r>
      <w:proofErr w:type="gramStart"/>
      <w:r>
        <w:rPr>
          <w:rFonts w:ascii="黑体" w:eastAsia="黑体" w:hAnsi="黑体" w:hint="eastAsia"/>
          <w:color w:val="000000" w:themeColor="text1"/>
          <w:sz w:val="32"/>
          <w:szCs w:val="32"/>
        </w:rPr>
        <w:t>营造数智创新</w:t>
      </w:r>
      <w:proofErr w:type="gramEnd"/>
      <w:r>
        <w:rPr>
          <w:rFonts w:ascii="黑体" w:eastAsia="黑体" w:hAnsi="黑体" w:hint="eastAsia"/>
          <w:color w:val="000000" w:themeColor="text1"/>
          <w:sz w:val="32"/>
          <w:szCs w:val="32"/>
        </w:rPr>
        <w:t>生态</w:t>
      </w:r>
      <w:bookmarkEnd w:id="70"/>
    </w:p>
    <w:p w14:paraId="33F0FD26" w14:textId="77777777" w:rsidR="009D5DEA" w:rsidRDefault="00000000">
      <w:pPr>
        <w:pStyle w:val="2"/>
        <w:numPr>
          <w:ilvl w:val="0"/>
          <w:numId w:val="18"/>
        </w:numPr>
        <w:spacing w:before="0" w:after="0" w:line="560" w:lineRule="exact"/>
        <w:rPr>
          <w:rFonts w:ascii="楷体_GB2312" w:eastAsia="楷体_GB2312" w:hAnsi="黑体" w:hint="eastAsia"/>
          <w:color w:val="000000" w:themeColor="text1"/>
          <w:sz w:val="32"/>
          <w:szCs w:val="32"/>
        </w:rPr>
      </w:pPr>
      <w:bookmarkStart w:id="71" w:name="_Toc220337817"/>
      <w:r>
        <w:rPr>
          <w:rFonts w:ascii="楷体_GB2312" w:eastAsia="楷体_GB2312" w:hAnsi="黑体" w:hint="eastAsia"/>
          <w:color w:val="000000" w:themeColor="text1"/>
          <w:sz w:val="32"/>
          <w:szCs w:val="32"/>
        </w:rPr>
        <w:t>健全制度标准体系</w:t>
      </w:r>
      <w:bookmarkEnd w:id="71"/>
    </w:p>
    <w:p w14:paraId="3F2C698E" w14:textId="77777777" w:rsidR="009D5DEA" w:rsidRDefault="00000000">
      <w:pPr>
        <w:pStyle w:val="3"/>
        <w:widowControl/>
        <w:numPr>
          <w:ilvl w:val="0"/>
          <w:numId w:val="19"/>
        </w:numPr>
        <w:spacing w:before="0" w:after="0" w:line="560" w:lineRule="exact"/>
        <w:rPr>
          <w:rFonts w:ascii="仿宋" w:eastAsia="仿宋_GB2312" w:hAnsi="仿宋" w:cs="宋体" w:hint="eastAsia"/>
          <w:b/>
          <w:bCs/>
          <w:color w:val="auto"/>
          <w:kern w:val="0"/>
        </w:rPr>
      </w:pPr>
      <w:bookmarkStart w:id="72" w:name="_Toc220337818"/>
      <w:r>
        <w:rPr>
          <w:rFonts w:ascii="仿宋" w:eastAsia="仿宋_GB2312" w:hAnsi="仿宋" w:cs="宋体" w:hint="eastAsia"/>
          <w:b/>
          <w:bCs/>
          <w:color w:val="auto"/>
          <w:kern w:val="0"/>
        </w:rPr>
        <w:t>完善数字政府配套制度</w:t>
      </w:r>
      <w:bookmarkEnd w:id="72"/>
    </w:p>
    <w:p w14:paraId="25DA42C1" w14:textId="77777777" w:rsidR="009D5DEA" w:rsidRDefault="00000000">
      <w:pPr>
        <w:spacing w:after="0" w:line="560" w:lineRule="exact"/>
        <w:ind w:firstLineChars="200" w:firstLine="640"/>
      </w:pPr>
      <w:r>
        <w:t>积极贯彻《深圳经济特区数据条例》《深圳经济特区数字经济产业促进条例》《深圳经济特区人工智能产业促进条例》等法规，围绕数据治理、数字经济、人工智能、网络与数据安全等重点领域，研究制定与之相衔接的区级配套实施细则、管理制度和操作指引，推动相关规定在区、街道和社区</w:t>
      </w:r>
      <w:proofErr w:type="gramStart"/>
      <w:r>
        <w:t>三级落细落实</w:t>
      </w:r>
      <w:proofErr w:type="gramEnd"/>
      <w:r>
        <w:t>、落地见效。围绕</w:t>
      </w:r>
      <w:r>
        <w:rPr>
          <w:rFonts w:hint="eastAsia"/>
        </w:rPr>
        <w:t>“</w:t>
      </w:r>
      <w:r>
        <w:t>数字深圳</w:t>
      </w:r>
      <w:r>
        <w:rPr>
          <w:rFonts w:hint="eastAsia"/>
        </w:rPr>
        <w:t>”</w:t>
      </w:r>
      <w:r>
        <w:t>建设总体要求，系统完善区级数</w:t>
      </w:r>
      <w:proofErr w:type="gramStart"/>
      <w:r>
        <w:t>字政府</w:t>
      </w:r>
      <w:proofErr w:type="gramEnd"/>
      <w:r>
        <w:t>建设制度框架，统筹梳理现有制度与政策文件，加快出台</w:t>
      </w:r>
      <w:proofErr w:type="gramStart"/>
      <w:r>
        <w:t>配套业务</w:t>
      </w:r>
      <w:proofErr w:type="gramEnd"/>
      <w:r>
        <w:t>规范和管理制度，重点在数据共享开放、政务服务</w:t>
      </w:r>
      <w:r>
        <w:rPr>
          <w:rFonts w:hint="eastAsia"/>
        </w:rPr>
        <w:t>优化</w:t>
      </w:r>
      <w:r>
        <w:t>、智慧城市建设运营等领域细化工作流程、职责边界和技术指引，确保各项工作有章可循、有据可依。</w:t>
      </w:r>
    </w:p>
    <w:p w14:paraId="413FBB9B" w14:textId="77777777" w:rsidR="009D5DEA" w:rsidRDefault="00000000">
      <w:pPr>
        <w:pStyle w:val="3"/>
        <w:widowControl/>
        <w:numPr>
          <w:ilvl w:val="0"/>
          <w:numId w:val="19"/>
        </w:numPr>
        <w:spacing w:before="0" w:after="0" w:line="560" w:lineRule="exact"/>
        <w:rPr>
          <w:rFonts w:ascii="仿宋" w:eastAsia="仿宋_GB2312" w:hAnsi="仿宋" w:cs="宋体" w:hint="eastAsia"/>
          <w:b/>
          <w:bCs/>
          <w:color w:val="auto"/>
          <w:kern w:val="0"/>
        </w:rPr>
      </w:pPr>
      <w:bookmarkStart w:id="73" w:name="_Toc220337819"/>
      <w:r>
        <w:rPr>
          <w:rFonts w:ascii="仿宋" w:eastAsia="仿宋_GB2312" w:hAnsi="仿宋" w:cs="宋体" w:hint="eastAsia"/>
          <w:b/>
          <w:bCs/>
          <w:color w:val="auto"/>
          <w:kern w:val="0"/>
        </w:rPr>
        <w:t>健全数字治理管理体系</w:t>
      </w:r>
      <w:bookmarkEnd w:id="73"/>
    </w:p>
    <w:p w14:paraId="450D0CD0" w14:textId="77777777" w:rsidR="009D5DEA" w:rsidRDefault="00000000">
      <w:pPr>
        <w:spacing w:after="0" w:line="560" w:lineRule="exact"/>
        <w:ind w:firstLineChars="200" w:firstLine="640"/>
      </w:pPr>
      <w:r>
        <w:t>健全与数字时代相适应的区级数字化制度规则体系。聚焦数据要素市场化配置改革，积极对接市级在数据交易管理、数据资源登记、公共数据开放与授权运营等方面的制度安排，结合</w:t>
      </w:r>
      <w:proofErr w:type="gramStart"/>
      <w:r>
        <w:t>龙华区</w:t>
      </w:r>
      <w:proofErr w:type="gramEnd"/>
      <w:r>
        <w:t>实际细化数据确权、分类分级、开发利用、共享开放和安全保护等管理要求，形成一批操作性强、可复制可推广的制度成果。完善区规划管理制度，衔接</w:t>
      </w:r>
      <w:r>
        <w:rPr>
          <w:rFonts w:hint="eastAsia"/>
        </w:rPr>
        <w:t>“</w:t>
      </w:r>
      <w:r>
        <w:t>数字深圳</w:t>
      </w:r>
      <w:r>
        <w:rPr>
          <w:rFonts w:hint="eastAsia"/>
        </w:rPr>
        <w:t>”</w:t>
      </w:r>
      <w:r>
        <w:t>规划管理体系，健全规划编制、实施、评估和反馈机制，推动数字化相关规划、政策和项目形成闭环管理、动态迭代。动态完善政务信息化项目管理办法</w:t>
      </w:r>
      <w:r>
        <w:lastRenderedPageBreak/>
        <w:t>及配套实施细则，明确项目分类分级、建设边界和主体责任，健全专家咨询、第三方评估和社会监督机制，提升制度执行力和约束力。加强城市数字化转型相关供应商资质和信用管理，规范规划咨询、系统建设、运营运维等服务主体的遴选与评价，探索建立</w:t>
      </w:r>
      <w:r>
        <w:rPr>
          <w:rFonts w:hint="eastAsia"/>
        </w:rPr>
        <w:t>“</w:t>
      </w:r>
      <w:r>
        <w:t>白名单</w:t>
      </w:r>
      <w:r>
        <w:rPr>
          <w:rFonts w:hint="eastAsia"/>
        </w:rPr>
        <w:t>”“</w:t>
      </w:r>
      <w:r>
        <w:t>黑名单</w:t>
      </w:r>
      <w:r>
        <w:rPr>
          <w:rFonts w:hint="eastAsia"/>
        </w:rPr>
        <w:t>”</w:t>
      </w:r>
      <w:r>
        <w:t>等管理机制，营造规范有序、竞争有度、优胜劣汰的数字化发展环境。</w:t>
      </w:r>
    </w:p>
    <w:p w14:paraId="20B169CC" w14:textId="77777777" w:rsidR="009D5DEA" w:rsidRDefault="00000000">
      <w:pPr>
        <w:pStyle w:val="3"/>
        <w:widowControl/>
        <w:numPr>
          <w:ilvl w:val="0"/>
          <w:numId w:val="19"/>
        </w:numPr>
        <w:spacing w:before="0" w:after="0" w:line="560" w:lineRule="exact"/>
        <w:rPr>
          <w:rFonts w:ascii="仿宋" w:eastAsia="仿宋_GB2312" w:hAnsi="仿宋" w:cs="宋体" w:hint="eastAsia"/>
          <w:b/>
          <w:bCs/>
          <w:color w:val="auto"/>
          <w:kern w:val="0"/>
        </w:rPr>
      </w:pPr>
      <w:bookmarkStart w:id="74" w:name="_Toc220337820"/>
      <w:r>
        <w:rPr>
          <w:rFonts w:ascii="仿宋" w:eastAsia="仿宋_GB2312" w:hAnsi="仿宋" w:cs="宋体"/>
          <w:b/>
          <w:bCs/>
          <w:color w:val="auto"/>
          <w:kern w:val="0"/>
        </w:rPr>
        <w:t>构建数字标准</w:t>
      </w:r>
      <w:r>
        <w:rPr>
          <w:rFonts w:ascii="仿宋" w:eastAsia="仿宋_GB2312" w:hAnsi="仿宋" w:cs="宋体" w:hint="eastAsia"/>
          <w:b/>
          <w:bCs/>
          <w:color w:val="auto"/>
          <w:kern w:val="0"/>
        </w:rPr>
        <w:t>应用</w:t>
      </w:r>
      <w:r>
        <w:rPr>
          <w:rFonts w:ascii="仿宋" w:eastAsia="仿宋_GB2312" w:hAnsi="仿宋" w:cs="宋体"/>
          <w:b/>
          <w:bCs/>
          <w:color w:val="auto"/>
          <w:kern w:val="0"/>
        </w:rPr>
        <w:t>体系</w:t>
      </w:r>
      <w:bookmarkEnd w:id="74"/>
    </w:p>
    <w:p w14:paraId="51346F9B" w14:textId="77777777" w:rsidR="009D5DEA" w:rsidRDefault="00000000">
      <w:pPr>
        <w:spacing w:after="0" w:line="560" w:lineRule="exact"/>
        <w:ind w:firstLineChars="200" w:firstLine="640"/>
      </w:pPr>
      <w:r>
        <w:t>强化标准规范对数字建设的基础支撑作用。以国家智慧城市标准体系框架为指导，构建以国家标准、行业标准和地方标准为主体、以本区业务规范、管理规范和技术规范为补充的数字标准应用体系。围绕网络</w:t>
      </w:r>
      <w:proofErr w:type="gramStart"/>
      <w:r>
        <w:t>与算力基础</w:t>
      </w:r>
      <w:proofErr w:type="gramEnd"/>
      <w:r>
        <w:t>设施、城市感知体系、公共数据平台、政务服务平台、城市运行中枢等重点领域，优先采用成熟适用的国家和行业标准，同步细化</w:t>
      </w:r>
      <w:proofErr w:type="gramStart"/>
      <w:r>
        <w:t>龙华区</w:t>
      </w:r>
      <w:proofErr w:type="gramEnd"/>
      <w:r>
        <w:t>在数据采集、存储、交换、共享、开放、使用和销毁等环节的标准要求，推进数据全生命周期管理规范化、标准化。鼓励本区重点企业、高校院所和行业协会深度参与智慧城市、数据要素、人工智能等领域标准的试点验证和研制工作，在数字孪生城市、</w:t>
      </w:r>
      <w:r>
        <w:rPr>
          <w:rFonts w:hint="eastAsia"/>
        </w:rPr>
        <w:t>可信数据流通基础设施</w:t>
      </w:r>
      <w:r>
        <w:t>等方向打造一批标准应用示范项目，以标准引领技术创新、模式创新和产业创新，为全区数字化建设提供坚实的标准支撑和规范基础。</w:t>
      </w:r>
    </w:p>
    <w:p w14:paraId="63AA657F" w14:textId="77777777" w:rsidR="009D5DEA" w:rsidRDefault="00000000">
      <w:pPr>
        <w:pStyle w:val="2"/>
        <w:numPr>
          <w:ilvl w:val="0"/>
          <w:numId w:val="18"/>
        </w:numPr>
        <w:spacing w:before="0" w:after="0" w:line="560" w:lineRule="exact"/>
        <w:ind w:left="1360" w:hanging="720"/>
        <w:rPr>
          <w:rFonts w:ascii="楷体_GB2312" w:eastAsia="楷体_GB2312" w:hAnsi="黑体" w:hint="eastAsia"/>
          <w:color w:val="000000" w:themeColor="text1"/>
          <w:sz w:val="32"/>
          <w:szCs w:val="32"/>
        </w:rPr>
      </w:pPr>
      <w:bookmarkStart w:id="75" w:name="_Toc220337821"/>
      <w:r>
        <w:rPr>
          <w:rFonts w:ascii="楷体_GB2312" w:eastAsia="楷体_GB2312" w:hAnsi="黑体" w:hint="eastAsia"/>
          <w:color w:val="000000" w:themeColor="text1"/>
          <w:sz w:val="32"/>
          <w:szCs w:val="32"/>
        </w:rPr>
        <w:lastRenderedPageBreak/>
        <w:t>打造数字创新体系</w:t>
      </w:r>
      <w:bookmarkEnd w:id="75"/>
    </w:p>
    <w:p w14:paraId="1B04B153" w14:textId="77777777" w:rsidR="009D5DEA" w:rsidRDefault="00000000">
      <w:pPr>
        <w:pStyle w:val="3"/>
        <w:widowControl/>
        <w:numPr>
          <w:ilvl w:val="0"/>
          <w:numId w:val="20"/>
        </w:numPr>
        <w:spacing w:before="0" w:after="0" w:line="560" w:lineRule="exact"/>
        <w:rPr>
          <w:rFonts w:ascii="仿宋" w:eastAsia="仿宋_GB2312" w:hAnsi="仿宋" w:cs="宋体" w:hint="eastAsia"/>
          <w:b/>
          <w:bCs/>
          <w:color w:val="auto"/>
          <w:kern w:val="0"/>
        </w:rPr>
      </w:pPr>
      <w:bookmarkStart w:id="76" w:name="_Toc220337822"/>
      <w:r>
        <w:rPr>
          <w:rFonts w:ascii="仿宋" w:eastAsia="仿宋_GB2312" w:hAnsi="仿宋" w:cs="宋体"/>
          <w:b/>
          <w:bCs/>
          <w:color w:val="auto"/>
          <w:kern w:val="0"/>
        </w:rPr>
        <w:t>构建开放协同创新生态</w:t>
      </w:r>
      <w:bookmarkEnd w:id="76"/>
    </w:p>
    <w:p w14:paraId="1E137E1E" w14:textId="77777777" w:rsidR="009D5DEA" w:rsidRDefault="00000000">
      <w:pPr>
        <w:spacing w:after="0" w:line="560" w:lineRule="exact"/>
        <w:ind w:firstLineChars="200" w:firstLine="643"/>
      </w:pPr>
      <w:r>
        <w:rPr>
          <w:rFonts w:hint="eastAsia"/>
          <w:b/>
          <w:bCs/>
        </w:rPr>
        <w:t>完善开放共享创新格局。</w:t>
      </w:r>
      <w:r>
        <w:rPr>
          <w:rFonts w:hint="eastAsia"/>
        </w:rPr>
        <w:t>坚持政府引导、市场主导、社会协同，以开放共享为导向打造多元主体深度参与的创新生态。</w:t>
      </w:r>
      <w:r>
        <w:rPr>
          <w:rFonts w:hint="eastAsia"/>
          <w:b/>
          <w:bCs/>
        </w:rPr>
        <w:t>打造统一便捷服务总门户。</w:t>
      </w:r>
      <w:r>
        <w:t>依托统一便捷服务总入口，建设集政务服务、公共服务、便民服务和创新应用于一体的数字公共服务总门户，推动线上线下服务渠道一体融合、各级各类服务事项统一聚合，为创新应用提供统一入口和应用承载空间，不断提升企业和群众</w:t>
      </w:r>
      <w:r>
        <w:rPr>
          <w:rFonts w:hint="eastAsia"/>
        </w:rPr>
        <w:t>“</w:t>
      </w:r>
      <w:r>
        <w:t>一网通办、全域联办</w:t>
      </w:r>
      <w:r>
        <w:rPr>
          <w:rFonts w:hint="eastAsia"/>
        </w:rPr>
        <w:t>”</w:t>
      </w:r>
      <w:r>
        <w:t>的获得感与满意度。</w:t>
      </w:r>
      <w:r>
        <w:rPr>
          <w:rFonts w:hint="eastAsia"/>
          <w:b/>
          <w:bCs/>
        </w:rPr>
        <w:t>拓展公共数据开放应用空间。</w:t>
      </w:r>
      <w:r>
        <w:rPr>
          <w:rFonts w:hint="eastAsia"/>
        </w:rPr>
        <w:t>加大公共数据分级分类开放和授权运营力度，健全数据开放目录、接口管理和安全审查制度，鼓励社会机构、企业和科研院所围绕重点民生和产业领域开展数据创新应用，持续拓展“数据要素×”应用场景。</w:t>
      </w:r>
      <w:proofErr w:type="gramStart"/>
      <w:r>
        <w:rPr>
          <w:rFonts w:hint="eastAsia"/>
          <w:b/>
          <w:bCs/>
        </w:rPr>
        <w:t>健全数智成果</w:t>
      </w:r>
      <w:proofErr w:type="gramEnd"/>
      <w:r>
        <w:rPr>
          <w:rFonts w:hint="eastAsia"/>
          <w:b/>
          <w:bCs/>
        </w:rPr>
        <w:t>协同转化机制。</w:t>
      </w:r>
      <w:r>
        <w:rPr>
          <w:rFonts w:hint="eastAsia"/>
        </w:rPr>
        <w:t>营造全方位协同创新生态，强化政府、企业、科研院所和社会组织之间的协同联动，健全创新需求发布、项目对接、试点示范与推广应用相衔接的工作机制，</w:t>
      </w:r>
      <w:proofErr w:type="gramStart"/>
      <w:r>
        <w:rPr>
          <w:rFonts w:hint="eastAsia"/>
        </w:rPr>
        <w:t>完善数智科技</w:t>
      </w:r>
      <w:proofErr w:type="gramEnd"/>
      <w:r>
        <w:rPr>
          <w:rFonts w:hint="eastAsia"/>
        </w:rPr>
        <w:t>成果转化支持政策，健全知识产权保护和收益分配机制，推动科技成果就地转化与跨区域转化有机结合。</w:t>
      </w:r>
      <w:r>
        <w:rPr>
          <w:rFonts w:hint="eastAsia"/>
          <w:b/>
          <w:bCs/>
        </w:rPr>
        <w:t>深化湾区与国际创新联动。</w:t>
      </w:r>
      <w:r>
        <w:rPr>
          <w:rFonts w:hint="eastAsia"/>
        </w:rPr>
        <w:t>立足粤港澳大湾区，主动</w:t>
      </w:r>
      <w:proofErr w:type="gramStart"/>
      <w:r>
        <w:rPr>
          <w:rFonts w:hint="eastAsia"/>
        </w:rPr>
        <w:t>对接深</w:t>
      </w:r>
      <w:proofErr w:type="gramEnd"/>
      <w:r>
        <w:rPr>
          <w:rFonts w:hint="eastAsia"/>
        </w:rPr>
        <w:t>港澳科技创新合作平台，深化与周边城市在数据开放、技术研发、标准共建等方面的协同联动，拓展国际技术转移合作渠道，打造开源开放、内外联动的区域创新生态圈。</w:t>
      </w:r>
    </w:p>
    <w:p w14:paraId="6CDA0AE1" w14:textId="77777777" w:rsidR="009D5DEA" w:rsidRDefault="00000000">
      <w:pPr>
        <w:pStyle w:val="3"/>
        <w:widowControl/>
        <w:numPr>
          <w:ilvl w:val="0"/>
          <w:numId w:val="20"/>
        </w:numPr>
        <w:spacing w:before="0" w:after="0" w:line="560" w:lineRule="exact"/>
        <w:rPr>
          <w:rFonts w:ascii="仿宋" w:eastAsia="仿宋_GB2312" w:hAnsi="仿宋" w:cs="宋体" w:hint="eastAsia"/>
          <w:b/>
          <w:bCs/>
          <w:color w:val="auto"/>
          <w:kern w:val="0"/>
        </w:rPr>
      </w:pPr>
      <w:bookmarkStart w:id="77" w:name="_Toc220337823"/>
      <w:r>
        <w:rPr>
          <w:rFonts w:ascii="仿宋" w:eastAsia="仿宋_GB2312" w:hAnsi="仿宋" w:cs="宋体" w:hint="eastAsia"/>
          <w:b/>
          <w:bCs/>
          <w:color w:val="auto"/>
          <w:kern w:val="0"/>
        </w:rPr>
        <w:lastRenderedPageBreak/>
        <w:t>推进联合创新中心能级</w:t>
      </w:r>
      <w:bookmarkEnd w:id="77"/>
    </w:p>
    <w:p w14:paraId="03E04C9B" w14:textId="77777777" w:rsidR="009D5DEA" w:rsidRDefault="00000000">
      <w:pPr>
        <w:spacing w:after="0" w:line="560" w:lineRule="exact"/>
        <w:ind w:firstLineChars="200" w:firstLine="640"/>
      </w:pPr>
      <w:r>
        <w:t>深化</w:t>
      </w:r>
      <w:r>
        <w:rPr>
          <w:rFonts w:hint="eastAsia"/>
        </w:rPr>
        <w:t>“产、学、</w:t>
      </w:r>
      <w:proofErr w:type="gramStart"/>
      <w:r>
        <w:rPr>
          <w:rFonts w:hint="eastAsia"/>
        </w:rPr>
        <w:t>研</w:t>
      </w:r>
      <w:proofErr w:type="gramEnd"/>
      <w:r>
        <w:rPr>
          <w:rFonts w:hint="eastAsia"/>
        </w:rPr>
        <w:t>、用”</w:t>
      </w:r>
      <w:r>
        <w:t>一体化体系建设，以</w:t>
      </w:r>
      <w:r>
        <w:rPr>
          <w:rFonts w:hint="eastAsia"/>
        </w:rPr>
        <w:t>“数据要素×”</w:t>
      </w:r>
      <w:r>
        <w:t>和</w:t>
      </w:r>
      <w:r>
        <w:rPr>
          <w:rFonts w:hint="eastAsia"/>
        </w:rPr>
        <w:t>“人工智能</w:t>
      </w:r>
      <w:r>
        <w:rPr>
          <w:rFonts w:ascii="仿宋_GB2312" w:hint="eastAsia"/>
        </w:rPr>
        <w:t>+</w:t>
      </w:r>
      <w:r>
        <w:rPr>
          <w:rFonts w:hint="eastAsia"/>
        </w:rPr>
        <w:t>”</w:t>
      </w:r>
      <w:r>
        <w:t>为核心导向，推动数字深圳联合创新中心龙华分中心建设成为集技术攻关、成果转化与产业赋能于一体的综合性平台。通过政府开放应用场景与数据资源，吸引多元主体参与</w:t>
      </w:r>
      <w:r>
        <w:rPr>
          <w:rFonts w:hint="eastAsia"/>
        </w:rPr>
        <w:t>“开放场景—协同创新—产品孵化—试验验证—示范推广”</w:t>
      </w:r>
      <w:r>
        <w:t>的全流程创新，积极探索</w:t>
      </w:r>
      <w:r>
        <w:rPr>
          <w:rFonts w:hint="eastAsia"/>
        </w:rPr>
        <w:t>“</w:t>
      </w:r>
      <w:r>
        <w:t>一地创新、多地复用</w:t>
      </w:r>
      <w:r>
        <w:rPr>
          <w:rFonts w:hint="eastAsia"/>
        </w:rPr>
        <w:t>”</w:t>
      </w:r>
      <w:r>
        <w:t>的跨区域协同模式。依托本地产业基础和产业园区载体，聚焦开源鸿蒙、智能制造、工业软件等特色领域，推动关键核心技术攻关和生态构建，促进创新成果在智慧城市、工业互联网等重点领域规模化落地，全面提升数字治理能力和技术支撑能力。</w:t>
      </w:r>
    </w:p>
    <w:p w14:paraId="4EE79B51" w14:textId="77777777" w:rsidR="009D5DEA" w:rsidRDefault="00000000">
      <w:pPr>
        <w:pStyle w:val="3"/>
        <w:widowControl/>
        <w:numPr>
          <w:ilvl w:val="0"/>
          <w:numId w:val="20"/>
        </w:numPr>
        <w:spacing w:before="0" w:after="0" w:line="560" w:lineRule="exact"/>
        <w:rPr>
          <w:rFonts w:ascii="仿宋" w:eastAsia="仿宋_GB2312" w:hAnsi="仿宋" w:cs="宋体" w:hint="eastAsia"/>
          <w:b/>
          <w:bCs/>
          <w:color w:val="auto"/>
          <w:kern w:val="0"/>
        </w:rPr>
      </w:pPr>
      <w:bookmarkStart w:id="78" w:name="_Toc220337824"/>
      <w:r>
        <w:rPr>
          <w:rFonts w:ascii="仿宋" w:eastAsia="仿宋_GB2312" w:hAnsi="仿宋" w:cs="宋体"/>
          <w:b/>
          <w:bCs/>
          <w:color w:val="auto"/>
          <w:kern w:val="0"/>
        </w:rPr>
        <w:t>健全</w:t>
      </w:r>
      <w:r>
        <w:rPr>
          <w:rFonts w:ascii="仿宋" w:eastAsia="仿宋_GB2312" w:hAnsi="仿宋" w:cs="宋体" w:hint="eastAsia"/>
          <w:b/>
          <w:bCs/>
          <w:color w:val="auto"/>
          <w:kern w:val="0"/>
        </w:rPr>
        <w:t>项目管理</w:t>
      </w:r>
      <w:r>
        <w:rPr>
          <w:rFonts w:ascii="仿宋" w:eastAsia="仿宋_GB2312" w:hAnsi="仿宋" w:cs="宋体"/>
          <w:b/>
          <w:bCs/>
          <w:color w:val="auto"/>
          <w:kern w:val="0"/>
        </w:rPr>
        <w:t>长效机制</w:t>
      </w:r>
      <w:bookmarkEnd w:id="78"/>
    </w:p>
    <w:p w14:paraId="263E576E" w14:textId="77777777" w:rsidR="009D5DEA" w:rsidRDefault="00000000">
      <w:pPr>
        <w:spacing w:line="560" w:lineRule="exact"/>
        <w:ind w:firstLineChars="200" w:firstLine="643"/>
      </w:pPr>
      <w:r>
        <w:rPr>
          <w:rFonts w:hint="eastAsia"/>
          <w:b/>
          <w:bCs/>
        </w:rPr>
        <w:t>持续优化</w:t>
      </w:r>
      <w:r>
        <w:rPr>
          <w:b/>
          <w:bCs/>
        </w:rPr>
        <w:t>政务数字化项目全周期管理</w:t>
      </w:r>
      <w:r>
        <w:rPr>
          <w:rFonts w:hint="eastAsia"/>
          <w:b/>
          <w:bCs/>
        </w:rPr>
        <w:t>。</w:t>
      </w:r>
      <w:r>
        <w:rPr>
          <w:rFonts w:hint="eastAsia"/>
        </w:rPr>
        <w:t>在完善制度体系的基础上，持续优化政务数字化项目全周期管理模式，统筹项目顶层设计和年度计划编制，遵循“项目一次审核”等制度要求，推动项目规划、立项、采购、实施、验收、运维运营和后评价等环节协同管理、闭环运行，增强项目实施的连续性、规范性和可控性。</w:t>
      </w:r>
      <w:r>
        <w:rPr>
          <w:rFonts w:hint="eastAsia"/>
          <w:b/>
          <w:bCs/>
        </w:rPr>
        <w:t>强化业务需求统筹和项目集约建设。</w:t>
      </w:r>
      <w:r>
        <w:rPr>
          <w:rFonts w:hint="eastAsia"/>
        </w:rPr>
        <w:t>推动项目策划由业务部门单独谋划向区</w:t>
      </w:r>
      <w:proofErr w:type="gramStart"/>
      <w:r>
        <w:rPr>
          <w:rFonts w:hint="eastAsia"/>
        </w:rPr>
        <w:t>政数部门</w:t>
      </w:r>
      <w:proofErr w:type="gramEnd"/>
      <w:r>
        <w:rPr>
          <w:rFonts w:hint="eastAsia"/>
        </w:rPr>
        <w:t>与业务部门联合策划转变，健全项目生成、论证评估和优先级排序等管理机制，扎实推进“</w:t>
      </w:r>
      <w:proofErr w:type="gramStart"/>
      <w:r>
        <w:rPr>
          <w:rFonts w:hint="eastAsia"/>
        </w:rPr>
        <w:t>一</w:t>
      </w:r>
      <w:proofErr w:type="gramEnd"/>
      <w:r>
        <w:rPr>
          <w:rFonts w:hint="eastAsia"/>
        </w:rPr>
        <w:t>部门</w:t>
      </w:r>
      <w:proofErr w:type="gramStart"/>
      <w:r>
        <w:rPr>
          <w:rFonts w:hint="eastAsia"/>
        </w:rPr>
        <w:t>一</w:t>
      </w:r>
      <w:proofErr w:type="gramEnd"/>
      <w:r>
        <w:rPr>
          <w:rFonts w:hint="eastAsia"/>
        </w:rPr>
        <w:t>系统”，严格落实系统总量“只减不增”要求。积极融入“市区统筹、集约建设、费用分担”模式，配合市级做好全市</w:t>
      </w:r>
      <w:proofErr w:type="gramStart"/>
      <w:r>
        <w:rPr>
          <w:rFonts w:hint="eastAsia"/>
        </w:rPr>
        <w:t>域项目</w:t>
      </w:r>
      <w:proofErr w:type="gramEnd"/>
      <w:r>
        <w:rPr>
          <w:rFonts w:hint="eastAsia"/>
        </w:rPr>
        <w:t>统</w:t>
      </w:r>
      <w:r>
        <w:rPr>
          <w:rFonts w:hint="eastAsia"/>
        </w:rPr>
        <w:lastRenderedPageBreak/>
        <w:t>一规划和一体化管理调度，推动政务信息系统共建共享、互联互通。</w:t>
      </w:r>
      <w:r>
        <w:rPr>
          <w:rFonts w:hint="eastAsia"/>
          <w:b/>
          <w:bCs/>
        </w:rPr>
        <w:t>完善服务购买管理机制</w:t>
      </w:r>
      <w:r>
        <w:rPr>
          <w:rFonts w:hint="eastAsia"/>
        </w:rPr>
        <w:t>。推动项目采购由单一采购开发服务向开发服务与产品服务并行转变，积极探索</w:t>
      </w:r>
      <w:r>
        <w:rPr>
          <w:rFonts w:ascii="仿宋_GB2312" w:hint="eastAsia"/>
        </w:rPr>
        <w:t>PPP</w:t>
      </w:r>
      <w:r>
        <w:t>、</w:t>
      </w:r>
      <w:r>
        <w:rPr>
          <w:rFonts w:hint="eastAsia"/>
        </w:rPr>
        <w:t>“政企合作、管运分离”等建设运营模式，</w:t>
      </w:r>
      <w:r>
        <w:t>引入社会资本参与共建，依托专业数字化建设运营运维机构，统一提供集约化、专业化、规范化的运营运维服务，</w:t>
      </w:r>
      <w:proofErr w:type="gramStart"/>
      <w:r>
        <w:t>健全运维经费</w:t>
      </w:r>
      <w:proofErr w:type="gramEnd"/>
      <w:r>
        <w:t>保障和绩效考核机制，持续提升系统运行质量和服务效能。</w:t>
      </w:r>
    </w:p>
    <w:p w14:paraId="40ACEB1B" w14:textId="77777777" w:rsidR="009D5DEA" w:rsidRDefault="00000000">
      <w:pPr>
        <w:pStyle w:val="3"/>
        <w:widowControl/>
        <w:numPr>
          <w:ilvl w:val="0"/>
          <w:numId w:val="20"/>
        </w:numPr>
        <w:spacing w:before="0" w:after="0" w:line="560" w:lineRule="exact"/>
        <w:rPr>
          <w:rFonts w:ascii="仿宋" w:eastAsia="仿宋_GB2312" w:hAnsi="仿宋" w:cs="宋体" w:hint="eastAsia"/>
          <w:b/>
          <w:bCs/>
          <w:color w:val="auto"/>
          <w:kern w:val="0"/>
        </w:rPr>
      </w:pPr>
      <w:bookmarkStart w:id="79" w:name="_Toc220337825"/>
      <w:r>
        <w:rPr>
          <w:rFonts w:ascii="仿宋" w:eastAsia="仿宋_GB2312" w:hAnsi="仿宋" w:cs="宋体" w:hint="eastAsia"/>
          <w:b/>
          <w:bCs/>
          <w:color w:val="auto"/>
          <w:kern w:val="0"/>
        </w:rPr>
        <w:t>推动</w:t>
      </w:r>
      <w:proofErr w:type="gramStart"/>
      <w:r>
        <w:rPr>
          <w:rFonts w:ascii="仿宋" w:eastAsia="仿宋_GB2312" w:hAnsi="仿宋" w:cs="宋体"/>
          <w:b/>
          <w:bCs/>
          <w:color w:val="auto"/>
          <w:kern w:val="0"/>
        </w:rPr>
        <w:t>龙华</w:t>
      </w:r>
      <w:r>
        <w:rPr>
          <w:rFonts w:ascii="仿宋" w:eastAsia="仿宋_GB2312" w:hAnsi="仿宋" w:cs="宋体" w:hint="eastAsia"/>
          <w:b/>
          <w:bCs/>
          <w:color w:val="auto"/>
          <w:kern w:val="0"/>
        </w:rPr>
        <w:t>区</w:t>
      </w:r>
      <w:r>
        <w:rPr>
          <w:rFonts w:ascii="仿宋" w:eastAsia="仿宋_GB2312" w:hAnsi="仿宋" w:cs="宋体"/>
          <w:b/>
          <w:bCs/>
          <w:color w:val="auto"/>
          <w:kern w:val="0"/>
        </w:rPr>
        <w:t>适数化</w:t>
      </w:r>
      <w:proofErr w:type="gramEnd"/>
      <w:r>
        <w:rPr>
          <w:rFonts w:ascii="仿宋" w:eastAsia="仿宋_GB2312" w:hAnsi="仿宋" w:cs="宋体"/>
          <w:b/>
          <w:bCs/>
          <w:color w:val="auto"/>
          <w:kern w:val="0"/>
        </w:rPr>
        <w:t>改革</w:t>
      </w:r>
      <w:bookmarkEnd w:id="79"/>
    </w:p>
    <w:p w14:paraId="44C443F9" w14:textId="77777777" w:rsidR="009D5DEA" w:rsidRDefault="00000000">
      <w:pPr>
        <w:spacing w:after="0" w:line="560" w:lineRule="exact"/>
        <w:ind w:firstLineChars="200" w:firstLine="643"/>
      </w:pPr>
      <w:r>
        <w:rPr>
          <w:b/>
          <w:bCs/>
        </w:rPr>
        <w:t>系统推进可持续迭代优化的</w:t>
      </w:r>
      <w:r>
        <w:rPr>
          <w:rFonts w:hint="eastAsia"/>
          <w:b/>
          <w:bCs/>
        </w:rPr>
        <w:t>“</w:t>
      </w:r>
      <w:r>
        <w:rPr>
          <w:b/>
          <w:bCs/>
        </w:rPr>
        <w:t>数字龙华</w:t>
      </w:r>
      <w:r>
        <w:rPr>
          <w:rFonts w:hint="eastAsia"/>
          <w:b/>
          <w:bCs/>
        </w:rPr>
        <w:t>”</w:t>
      </w:r>
      <w:proofErr w:type="gramStart"/>
      <w:r>
        <w:rPr>
          <w:b/>
          <w:bCs/>
        </w:rPr>
        <w:t>适数化</w:t>
      </w:r>
      <w:proofErr w:type="gramEnd"/>
      <w:r>
        <w:rPr>
          <w:b/>
          <w:bCs/>
        </w:rPr>
        <w:t>改革行动。</w:t>
      </w:r>
      <w:proofErr w:type="gramStart"/>
      <w:r>
        <w:t>以适数化改革为牵引</w:t>
      </w:r>
      <w:proofErr w:type="gramEnd"/>
      <w:r>
        <w:t>，</w:t>
      </w:r>
      <w:proofErr w:type="gramStart"/>
      <w:r>
        <w:t>将体制</w:t>
      </w:r>
      <w:proofErr w:type="gramEnd"/>
      <w:r>
        <w:t>机制创新贯穿数字创新体系建设全流程，从统筹机制、制度规则和运营运</w:t>
      </w:r>
      <w:proofErr w:type="gramStart"/>
      <w:r>
        <w:t>维模式</w:t>
      </w:r>
      <w:proofErr w:type="gramEnd"/>
      <w:r>
        <w:t>三个维度协同发力，破除</w:t>
      </w:r>
      <w:proofErr w:type="gramStart"/>
      <w:r>
        <w:t>制约数智创新</w:t>
      </w:r>
      <w:proofErr w:type="gramEnd"/>
      <w:r>
        <w:t>发展的体制障碍，为数字创新体系持续迭代升级提供坚实的制度保障。</w:t>
      </w:r>
      <w:r>
        <w:rPr>
          <w:b/>
          <w:bCs/>
        </w:rPr>
        <w:t>强化</w:t>
      </w:r>
      <w:proofErr w:type="gramStart"/>
      <w:r>
        <w:rPr>
          <w:b/>
          <w:bCs/>
        </w:rPr>
        <w:t>数智资源</w:t>
      </w:r>
      <w:proofErr w:type="gramEnd"/>
      <w:r>
        <w:rPr>
          <w:b/>
          <w:bCs/>
        </w:rPr>
        <w:t>统筹配置机制。</w:t>
      </w:r>
      <w:r>
        <w:t>探索构建跨部门、跨层级的数字化协同机制，完善区、街道和</w:t>
      </w:r>
      <w:r>
        <w:rPr>
          <w:rFonts w:hint="eastAsia"/>
        </w:rPr>
        <w:t>社区</w:t>
      </w:r>
      <w:r>
        <w:t>三</w:t>
      </w:r>
      <w:r>
        <w:rPr>
          <w:rFonts w:hint="eastAsia"/>
        </w:rPr>
        <w:t>级</w:t>
      </w:r>
      <w:r>
        <w:t>联动工作体系，明确其在全区数字化战略制定、重大项目立项、跨部门资源协调中的统筹决策权与协同责任。</w:t>
      </w:r>
      <w:r>
        <w:rPr>
          <w:b/>
          <w:bCs/>
        </w:rPr>
        <w:t>深化</w:t>
      </w:r>
      <w:proofErr w:type="gramStart"/>
      <w:r>
        <w:rPr>
          <w:b/>
          <w:bCs/>
        </w:rPr>
        <w:t>适数化</w:t>
      </w:r>
      <w:proofErr w:type="gramEnd"/>
      <w:r>
        <w:rPr>
          <w:b/>
          <w:bCs/>
        </w:rPr>
        <w:t>改革制度创新。</w:t>
      </w:r>
      <w:r>
        <w:t>围绕管理服务手段、管理服务模式和管理服务理念，推动业务流程与数字技术深度融合，建立健全适应</w:t>
      </w:r>
      <w:proofErr w:type="gramStart"/>
      <w:r>
        <w:t>数智发展</w:t>
      </w:r>
      <w:proofErr w:type="gramEnd"/>
      <w:r>
        <w:t>需求的制度规范和运行流程体系，推动完善公共数据管理和授权运营法规政策，细化配套措施，营造有利于数据要素流通和创新成果转化的制度环境。</w:t>
      </w:r>
      <w:r>
        <w:rPr>
          <w:b/>
          <w:bCs/>
        </w:rPr>
        <w:t>创新</w:t>
      </w:r>
      <w:proofErr w:type="gramStart"/>
      <w:r>
        <w:rPr>
          <w:b/>
          <w:bCs/>
        </w:rPr>
        <w:t>数智城市</w:t>
      </w:r>
      <w:proofErr w:type="gramEnd"/>
      <w:r>
        <w:rPr>
          <w:b/>
          <w:bCs/>
        </w:rPr>
        <w:t>运营运维模式。</w:t>
      </w:r>
      <w:r>
        <w:t>以城市运行中枢为枢纽，构建与部门业务需求、</w:t>
      </w:r>
      <w:r>
        <w:lastRenderedPageBreak/>
        <w:t>市民企业反馈相互贯通、闭环迭代的运营运维机制，探索建立统一规范的</w:t>
      </w:r>
      <w:r>
        <w:rPr>
          <w:rFonts w:hint="eastAsia"/>
        </w:rPr>
        <w:t>城区</w:t>
      </w:r>
      <w:r>
        <w:t>运维体系，逐步形成各类信息化资源统一编目、统一配置、统一运维的闭环管理格局，持续提升</w:t>
      </w:r>
      <w:proofErr w:type="gramStart"/>
      <w:r>
        <w:t>城市数</w:t>
      </w:r>
      <w:r>
        <w:rPr>
          <w:rFonts w:hint="eastAsia"/>
        </w:rPr>
        <w:t>智</w:t>
      </w:r>
      <w:r>
        <w:t>底座</w:t>
      </w:r>
      <w:proofErr w:type="gramEnd"/>
      <w:r>
        <w:t>的稳定性、韧性与支撑能力。</w:t>
      </w:r>
    </w:p>
    <w:p w14:paraId="38708724" w14:textId="77777777" w:rsidR="009D5DEA" w:rsidRDefault="00000000">
      <w:pPr>
        <w:pStyle w:val="2"/>
        <w:numPr>
          <w:ilvl w:val="0"/>
          <w:numId w:val="18"/>
        </w:numPr>
        <w:spacing w:before="0" w:after="0" w:line="560" w:lineRule="exact"/>
        <w:ind w:left="1360" w:hanging="720"/>
        <w:rPr>
          <w:rFonts w:ascii="楷体_GB2312" w:eastAsia="楷体_GB2312" w:hAnsi="黑体" w:hint="eastAsia"/>
          <w:color w:val="000000" w:themeColor="text1"/>
          <w:sz w:val="32"/>
          <w:szCs w:val="32"/>
        </w:rPr>
      </w:pPr>
      <w:bookmarkStart w:id="80" w:name="_Toc220337826"/>
      <w:r>
        <w:rPr>
          <w:rFonts w:ascii="楷体_GB2312" w:eastAsia="楷体_GB2312" w:hAnsi="黑体" w:hint="eastAsia"/>
          <w:color w:val="000000" w:themeColor="text1"/>
          <w:sz w:val="32"/>
          <w:szCs w:val="32"/>
        </w:rPr>
        <w:t>强化人才体系建设</w:t>
      </w:r>
      <w:bookmarkEnd w:id="80"/>
    </w:p>
    <w:p w14:paraId="4FFD4831" w14:textId="77777777" w:rsidR="009D5DEA" w:rsidRDefault="00000000">
      <w:pPr>
        <w:pStyle w:val="3"/>
        <w:widowControl/>
        <w:numPr>
          <w:ilvl w:val="0"/>
          <w:numId w:val="21"/>
        </w:numPr>
        <w:spacing w:before="0" w:after="0" w:line="560" w:lineRule="exact"/>
        <w:rPr>
          <w:rFonts w:ascii="仿宋" w:eastAsia="仿宋_GB2312" w:hAnsi="仿宋" w:cs="宋体" w:hint="eastAsia"/>
          <w:b/>
          <w:bCs/>
          <w:color w:val="auto"/>
          <w:kern w:val="0"/>
        </w:rPr>
      </w:pPr>
      <w:bookmarkStart w:id="81" w:name="_Toc220337827"/>
      <w:r>
        <w:rPr>
          <w:rFonts w:ascii="仿宋" w:eastAsia="仿宋_GB2312" w:hAnsi="仿宋" w:cs="宋体" w:hint="eastAsia"/>
          <w:b/>
          <w:bCs/>
          <w:color w:val="auto"/>
          <w:kern w:val="0"/>
        </w:rPr>
        <w:t>健全数字</w:t>
      </w:r>
      <w:proofErr w:type="gramStart"/>
      <w:r>
        <w:rPr>
          <w:rFonts w:ascii="仿宋" w:eastAsia="仿宋_GB2312" w:hAnsi="仿宋" w:cs="宋体" w:hint="eastAsia"/>
          <w:b/>
          <w:bCs/>
          <w:color w:val="auto"/>
          <w:kern w:val="0"/>
        </w:rPr>
        <w:t>人才引育工程</w:t>
      </w:r>
      <w:bookmarkEnd w:id="81"/>
      <w:proofErr w:type="gramEnd"/>
    </w:p>
    <w:p w14:paraId="42C77105" w14:textId="77777777" w:rsidR="009D5DEA" w:rsidRDefault="00000000">
      <w:pPr>
        <w:spacing w:after="0" w:line="560" w:lineRule="exact"/>
        <w:ind w:firstLineChars="200" w:firstLine="640"/>
      </w:pPr>
      <w:r>
        <w:rPr>
          <w:rFonts w:hint="eastAsia"/>
        </w:rPr>
        <w:t>建立健全数据领域人才专项政策体系，加大人工智能、大数据、网络安全等领域高层次人才和创新团队引进力度，集聚数字建设所需的高端智力资源。</w:t>
      </w:r>
    </w:p>
    <w:p w14:paraId="784791E6" w14:textId="77777777" w:rsidR="009D5DEA" w:rsidRDefault="00000000">
      <w:pPr>
        <w:pStyle w:val="3"/>
        <w:widowControl/>
        <w:numPr>
          <w:ilvl w:val="0"/>
          <w:numId w:val="21"/>
        </w:numPr>
        <w:spacing w:before="0" w:after="0" w:line="560" w:lineRule="exact"/>
        <w:rPr>
          <w:rFonts w:ascii="仿宋" w:eastAsia="仿宋_GB2312" w:hAnsi="仿宋" w:cs="宋体" w:hint="eastAsia"/>
          <w:b/>
          <w:bCs/>
          <w:color w:val="auto"/>
          <w:kern w:val="0"/>
        </w:rPr>
      </w:pPr>
      <w:bookmarkStart w:id="82" w:name="_Toc220337828"/>
      <w:r>
        <w:rPr>
          <w:rFonts w:ascii="仿宋" w:eastAsia="仿宋_GB2312" w:hAnsi="仿宋" w:cs="宋体" w:hint="eastAsia"/>
          <w:b/>
          <w:bCs/>
          <w:color w:val="auto"/>
          <w:kern w:val="0"/>
        </w:rPr>
        <w:t>推行首席数据官制度</w:t>
      </w:r>
      <w:bookmarkEnd w:id="82"/>
    </w:p>
    <w:p w14:paraId="6CB51086" w14:textId="77777777" w:rsidR="009D5DEA" w:rsidRDefault="00000000">
      <w:pPr>
        <w:spacing w:after="0" w:line="560" w:lineRule="exact"/>
        <w:ind w:firstLineChars="200" w:firstLine="640"/>
      </w:pPr>
      <w:r>
        <w:rPr>
          <w:rFonts w:hint="eastAsia"/>
        </w:rPr>
        <w:t>全面推行首席数据官</w:t>
      </w:r>
      <w:r>
        <w:rPr>
          <w:rFonts w:ascii="仿宋_GB2312" w:hint="eastAsia"/>
        </w:rPr>
        <w:t>（CDO）</w:t>
      </w:r>
      <w:r>
        <w:rPr>
          <w:rFonts w:hint="eastAsia"/>
        </w:rPr>
        <w:t>制度，推动各单位指定懂业务、通数据的负责人，系统牵头本部门数字化转型与数据治理工作，强化跨部门数据共享与业务协同。建立健全“首席数据官＋首席数据助理＋信息化专员”三级组织体系，探索建立符合发展需要的首席数据</w:t>
      </w:r>
      <w:proofErr w:type="gramStart"/>
      <w:r>
        <w:rPr>
          <w:rFonts w:hint="eastAsia"/>
        </w:rPr>
        <w:t>官决策</w:t>
      </w:r>
      <w:proofErr w:type="gramEnd"/>
      <w:r>
        <w:rPr>
          <w:rFonts w:hint="eastAsia"/>
        </w:rPr>
        <w:t>协调机制，加强履职反馈与正向引导，推动数据战略落地见效。</w:t>
      </w:r>
    </w:p>
    <w:p w14:paraId="7947DB23" w14:textId="77777777" w:rsidR="009D5DEA" w:rsidRDefault="00000000">
      <w:pPr>
        <w:pStyle w:val="3"/>
        <w:widowControl/>
        <w:numPr>
          <w:ilvl w:val="0"/>
          <w:numId w:val="21"/>
        </w:numPr>
        <w:spacing w:before="0" w:after="0" w:line="560" w:lineRule="exact"/>
        <w:rPr>
          <w:rFonts w:ascii="仿宋" w:eastAsia="仿宋_GB2312" w:hAnsi="仿宋" w:cs="宋体" w:hint="eastAsia"/>
          <w:b/>
          <w:bCs/>
          <w:color w:val="auto"/>
          <w:kern w:val="0"/>
        </w:rPr>
      </w:pPr>
      <w:bookmarkStart w:id="83" w:name="_Toc220337829"/>
      <w:r>
        <w:rPr>
          <w:rFonts w:ascii="仿宋" w:eastAsia="仿宋_GB2312" w:hAnsi="仿宋" w:cs="宋体" w:hint="eastAsia"/>
          <w:b/>
          <w:bCs/>
          <w:color w:val="auto"/>
          <w:kern w:val="0"/>
        </w:rPr>
        <w:t>加大干部数字素养培训</w:t>
      </w:r>
      <w:bookmarkEnd w:id="83"/>
    </w:p>
    <w:p w14:paraId="54AED4A9" w14:textId="77777777" w:rsidR="009D5DEA" w:rsidRDefault="00000000">
      <w:pPr>
        <w:spacing w:after="0" w:line="560" w:lineRule="exact"/>
        <w:ind w:firstLineChars="200" w:firstLine="640"/>
      </w:pPr>
      <w:r>
        <w:t>系统化打造一支既懂业务又精通数字技术的复合型干部队伍，构建一个多层次、常态化的培养体系</w:t>
      </w:r>
      <w:r>
        <w:rPr>
          <w:rFonts w:hint="eastAsia"/>
        </w:rPr>
        <w:t>，系统开展</w:t>
      </w:r>
      <w:r>
        <w:t>数字能力培训</w:t>
      </w:r>
      <w:r>
        <w:rPr>
          <w:rFonts w:hint="eastAsia"/>
        </w:rPr>
        <w:t>，建立健全数字素养与技能提升长效机制，</w:t>
      </w:r>
      <w:r>
        <w:t>提升公务人员运用数字技术解决问题的能力。聚焦数据安全</w:t>
      </w:r>
      <w:r>
        <w:rPr>
          <w:rFonts w:hint="eastAsia"/>
        </w:rPr>
        <w:t>治理</w:t>
      </w:r>
      <w:r>
        <w:t>核心领域，开展一系列有针对性的</w:t>
      </w:r>
      <w:r>
        <w:rPr>
          <w:rFonts w:hint="eastAsia"/>
        </w:rPr>
        <w:t>数据安全技能</w:t>
      </w:r>
      <w:r>
        <w:t>培训和素质进修，通过以考促学等方式，切实提升全员的数据安全责任意识与风险防范能力，确保专业理论知识能在</w:t>
      </w:r>
      <w:r>
        <w:lastRenderedPageBreak/>
        <w:t>信息化项目管理和日常业务中有效落地。着眼于数字政府的整体建设，将人工智能</w:t>
      </w:r>
      <w:r>
        <w:rPr>
          <w:rFonts w:hint="eastAsia"/>
        </w:rPr>
        <w:t>、</w:t>
      </w:r>
      <w:r>
        <w:t>大</w:t>
      </w:r>
      <w:r>
        <w:rPr>
          <w:rFonts w:hint="eastAsia"/>
        </w:rPr>
        <w:t>模型</w:t>
      </w:r>
      <w:r>
        <w:t>等新理念、新技术纳入党校培训课程，通过定期专题授课和实战演练，提升公务人员运用数字化手段解决实际问题的能力，培养一支规模适当、结构合理、素质优良，兼具高水平数据安全监管意识和数字化治理能力的干部队伍。</w:t>
      </w:r>
    </w:p>
    <w:p w14:paraId="5221367A" w14:textId="77777777" w:rsidR="009D5DEA" w:rsidRDefault="00000000">
      <w:pPr>
        <w:pStyle w:val="1"/>
        <w:numPr>
          <w:ilvl w:val="0"/>
          <w:numId w:val="1"/>
        </w:numPr>
        <w:spacing w:before="0" w:after="0" w:line="560" w:lineRule="exact"/>
        <w:rPr>
          <w:rFonts w:ascii="黑体" w:eastAsia="黑体" w:hAnsi="黑体" w:hint="eastAsia"/>
          <w:color w:val="000000" w:themeColor="text1"/>
          <w:sz w:val="32"/>
          <w:szCs w:val="32"/>
        </w:rPr>
      </w:pPr>
      <w:bookmarkStart w:id="84" w:name="_Toc220337830"/>
      <w:r>
        <w:rPr>
          <w:rFonts w:ascii="黑体" w:eastAsia="黑体" w:hAnsi="黑体" w:hint="eastAsia"/>
          <w:color w:val="000000" w:themeColor="text1"/>
          <w:sz w:val="32"/>
          <w:szCs w:val="32"/>
        </w:rPr>
        <w:t>保障措施</w:t>
      </w:r>
      <w:bookmarkEnd w:id="84"/>
    </w:p>
    <w:p w14:paraId="5F33D36A" w14:textId="77777777" w:rsidR="009D5DEA" w:rsidRDefault="00000000">
      <w:pPr>
        <w:pStyle w:val="2"/>
        <w:numPr>
          <w:ilvl w:val="0"/>
          <w:numId w:val="22"/>
        </w:numPr>
        <w:spacing w:before="0" w:after="0" w:line="560" w:lineRule="exact"/>
        <w:rPr>
          <w:rFonts w:ascii="楷体_GB2312" w:eastAsia="楷体_GB2312" w:hAnsi="黑体" w:hint="eastAsia"/>
          <w:color w:val="000000" w:themeColor="text1"/>
          <w:sz w:val="32"/>
          <w:szCs w:val="32"/>
        </w:rPr>
      </w:pPr>
      <w:bookmarkStart w:id="85" w:name="_Toc220337831"/>
      <w:r>
        <w:rPr>
          <w:rFonts w:ascii="楷体_GB2312" w:eastAsia="楷体_GB2312" w:hAnsi="黑体" w:hint="eastAsia"/>
          <w:color w:val="000000" w:themeColor="text1"/>
          <w:sz w:val="32"/>
          <w:szCs w:val="32"/>
        </w:rPr>
        <w:t>强化统筹规划实施路径</w:t>
      </w:r>
      <w:bookmarkEnd w:id="85"/>
    </w:p>
    <w:p w14:paraId="62427554" w14:textId="77777777" w:rsidR="009D5DEA" w:rsidRDefault="00000000">
      <w:pPr>
        <w:spacing w:after="0" w:line="560" w:lineRule="exact"/>
        <w:ind w:firstLineChars="200" w:firstLine="640"/>
      </w:pPr>
      <w:r>
        <w:t>坚持顶层规划与分步实施相结合，严格</w:t>
      </w:r>
      <w:r>
        <w:rPr>
          <w:rFonts w:hint="eastAsia"/>
        </w:rPr>
        <w:t>按照“</w:t>
      </w:r>
      <w:r>
        <w:t>数字深圳</w:t>
      </w:r>
      <w:r>
        <w:rPr>
          <w:rFonts w:hint="eastAsia"/>
        </w:rPr>
        <w:t>”</w:t>
      </w:r>
      <w:r>
        <w:t>总体规划框架和指标要求，完善</w:t>
      </w:r>
      <w:proofErr w:type="gramStart"/>
      <w:r>
        <w:t>龙华区数字</w:t>
      </w:r>
      <w:proofErr w:type="gramEnd"/>
      <w:r>
        <w:t>政府建设专项规划体系，</w:t>
      </w:r>
      <w:r>
        <w:rPr>
          <w:rFonts w:hint="eastAsia"/>
        </w:rPr>
        <w:t>实现</w:t>
      </w:r>
      <w:r>
        <w:t>与市级规划</w:t>
      </w:r>
      <w:r>
        <w:rPr>
          <w:rFonts w:hint="eastAsia"/>
        </w:rPr>
        <w:t>“</w:t>
      </w:r>
      <w:r>
        <w:t>同频共振、一体衔接</w:t>
      </w:r>
      <w:r>
        <w:rPr>
          <w:rFonts w:hint="eastAsia"/>
        </w:rPr>
        <w:t>”。</w:t>
      </w:r>
      <w:r>
        <w:t>健全</w:t>
      </w:r>
      <w:proofErr w:type="gramStart"/>
      <w:r>
        <w:t>区数字</w:t>
      </w:r>
      <w:proofErr w:type="gramEnd"/>
      <w:r>
        <w:t>政府建设工作机制，统筹协调全区数字化建设重大事项，具体负责规划落实的统筹调度和跟踪督办</w:t>
      </w:r>
      <w:r>
        <w:rPr>
          <w:rFonts w:hint="eastAsia"/>
        </w:rPr>
        <w:t>。</w:t>
      </w:r>
      <w:r>
        <w:t>明确各相关职能部门在数字政府建设中的职责分工，形成主要领导亲自抓、分管领导具体抓、部门各负其责的工作格局，建立跨部门协同推进机制，定期召开数字化专项工作联席会议，及时协调解决项目推进中的难点堵点，推行</w:t>
      </w:r>
      <w:r>
        <w:rPr>
          <w:rFonts w:hint="eastAsia"/>
        </w:rPr>
        <w:t>“</w:t>
      </w:r>
      <w:r>
        <w:t>揭榜挂帅</w:t>
      </w:r>
      <w:r>
        <w:rPr>
          <w:rFonts w:hint="eastAsia"/>
        </w:rPr>
        <w:t>”</w:t>
      </w:r>
      <w:r>
        <w:t>等攻坚机制在全区范围内应用，激励各部门主动认领难题并协调攻关</w:t>
      </w:r>
      <w:r>
        <w:rPr>
          <w:rFonts w:hint="eastAsia"/>
        </w:rPr>
        <w:t>，</w:t>
      </w:r>
      <w:r>
        <w:t>打破条块分割，形成整体作战合力</w:t>
      </w:r>
      <w:r>
        <w:rPr>
          <w:rFonts w:hint="eastAsia"/>
        </w:rPr>
        <w:t>。</w:t>
      </w:r>
      <w:r>
        <w:t>在规划执行中引入先进方法论，采用</w:t>
      </w:r>
      <w:r>
        <w:rPr>
          <w:rFonts w:ascii="仿宋_GB2312" w:hint="eastAsia"/>
        </w:rPr>
        <w:t>“敏捷迭代”</w:t>
      </w:r>
      <w:r>
        <w:t>的工作模式，将五年规划目标细化为年度计划和关键里程碑，动态调整、逐步推进，强化规划执行的项目化管理，建立</w:t>
      </w:r>
      <w:r>
        <w:rPr>
          <w:rFonts w:ascii="仿宋_GB2312" w:hint="eastAsia"/>
        </w:rPr>
        <w:t>“规划—项目—资金”</w:t>
      </w:r>
      <w:r>
        <w:t>联动管理机制，确保每项重点任务都有明确的实施项目支撑和资金来源保障，通过顶层</w:t>
      </w:r>
      <w:r>
        <w:lastRenderedPageBreak/>
        <w:t>设计引领方向、分阶段实施稳步落地，实现既定战略愿景。</w:t>
      </w:r>
    </w:p>
    <w:p w14:paraId="2A9BFFF8" w14:textId="77777777" w:rsidR="009D5DEA" w:rsidRDefault="00000000">
      <w:pPr>
        <w:pStyle w:val="2"/>
        <w:numPr>
          <w:ilvl w:val="0"/>
          <w:numId w:val="22"/>
        </w:numPr>
        <w:spacing w:before="0" w:after="0" w:line="560" w:lineRule="exact"/>
        <w:rPr>
          <w:rFonts w:ascii="楷体_GB2312" w:eastAsia="楷体_GB2312" w:hAnsi="黑体" w:hint="eastAsia"/>
          <w:color w:val="000000" w:themeColor="text1"/>
          <w:sz w:val="32"/>
          <w:szCs w:val="32"/>
        </w:rPr>
      </w:pPr>
      <w:bookmarkStart w:id="86" w:name="_Toc220337832"/>
      <w:r>
        <w:rPr>
          <w:rFonts w:ascii="楷体_GB2312" w:eastAsia="楷体_GB2312" w:hAnsi="黑体"/>
          <w:color w:val="000000" w:themeColor="text1"/>
          <w:sz w:val="32"/>
          <w:szCs w:val="32"/>
        </w:rPr>
        <w:t>完善</w:t>
      </w:r>
      <w:r>
        <w:rPr>
          <w:rFonts w:ascii="楷体_GB2312" w:eastAsia="楷体_GB2312" w:hAnsi="黑体" w:hint="eastAsia"/>
          <w:color w:val="000000" w:themeColor="text1"/>
          <w:sz w:val="32"/>
          <w:szCs w:val="32"/>
        </w:rPr>
        <w:t>实施</w:t>
      </w:r>
      <w:r>
        <w:rPr>
          <w:rFonts w:ascii="楷体_GB2312" w:eastAsia="楷体_GB2312" w:hAnsi="黑体"/>
          <w:color w:val="000000" w:themeColor="text1"/>
          <w:sz w:val="32"/>
          <w:szCs w:val="32"/>
        </w:rPr>
        <w:t>要素保障机制</w:t>
      </w:r>
      <w:bookmarkEnd w:id="86"/>
    </w:p>
    <w:p w14:paraId="3DB78883" w14:textId="77777777" w:rsidR="009D5DEA" w:rsidRDefault="00000000">
      <w:pPr>
        <w:spacing w:after="0" w:line="560" w:lineRule="exact"/>
        <w:ind w:firstLineChars="200" w:firstLine="640"/>
      </w:pPr>
      <w:r>
        <w:t>强化要素保障，统筹用好数字政府建设相关资源，精准保障重大数字政府建设项目、重点平台和关键能力建设。</w:t>
      </w:r>
      <w:r>
        <w:rPr>
          <w:rFonts w:hint="eastAsia"/>
        </w:rPr>
        <w:t>建立“财政引导、市场为主”的多元化投融资机制，鼓励金融机构创新适配数字经济和数字政府建设的金融产品和服务，积极引导社会资本通过</w:t>
      </w:r>
      <w:r>
        <w:rPr>
          <w:rFonts w:ascii="仿宋_GB2312" w:hint="eastAsia"/>
        </w:rPr>
        <w:t>PPP</w:t>
      </w:r>
      <w:r>
        <w:rPr>
          <w:rFonts w:hint="eastAsia"/>
        </w:rPr>
        <w:t>等方式参与数字基础设施和数智化项目建设，加强资金使用监管和绩效评估，提升资金使用效益。强化人才要素支撑，会同组织、</w:t>
      </w:r>
      <w:proofErr w:type="gramStart"/>
      <w:r>
        <w:rPr>
          <w:rFonts w:hint="eastAsia"/>
        </w:rPr>
        <w:t>人社等</w:t>
      </w:r>
      <w:proofErr w:type="gramEnd"/>
      <w:r>
        <w:rPr>
          <w:rFonts w:hint="eastAsia"/>
        </w:rPr>
        <w:t>部门研究制定数字人才专项发展规划，围绕数据治理、人工智能、网络安全、数字基础设施运维等重点领域，系统建设复合型数字化人才队伍，推动首席数据官、部门数据管理员等制度落实，深化干部数字素养与技能提升行动，促进人才在区内、区外之间合理流动和知识共享，为数字政府建设提供持续的人才供给。强化资源与空间保障，统筹数据、算力、网络、感知设施等</w:t>
      </w:r>
      <w:proofErr w:type="gramStart"/>
      <w:r>
        <w:rPr>
          <w:rFonts w:hint="eastAsia"/>
        </w:rPr>
        <w:t>关键数智资源</w:t>
      </w:r>
      <w:proofErr w:type="gramEnd"/>
      <w:r>
        <w:rPr>
          <w:rFonts w:hint="eastAsia"/>
        </w:rPr>
        <w:t>，将重要数字基础设施纳入国土空间规划“一张图”管理，推动数据中心、边缘节点、感知终端等设施与产业空间、公共服务设施同步规划、一体建设，加强与</w:t>
      </w:r>
      <w:proofErr w:type="gramStart"/>
      <w:r>
        <w:rPr>
          <w:rFonts w:hint="eastAsia"/>
        </w:rPr>
        <w:t>市级算力平台</w:t>
      </w:r>
      <w:proofErr w:type="gramEnd"/>
      <w:r>
        <w:rPr>
          <w:rFonts w:hint="eastAsia"/>
        </w:rPr>
        <w:t>、数据平台的对接联动，构建市区协同、集约高效的资源配置格局，夯实数字政府持续发展的要素基础。</w:t>
      </w:r>
    </w:p>
    <w:p w14:paraId="44FCE501" w14:textId="77777777" w:rsidR="009D5DEA" w:rsidRDefault="00000000">
      <w:pPr>
        <w:pStyle w:val="2"/>
        <w:numPr>
          <w:ilvl w:val="0"/>
          <w:numId w:val="22"/>
        </w:numPr>
        <w:spacing w:before="0" w:after="0" w:line="560" w:lineRule="exact"/>
        <w:rPr>
          <w:rFonts w:ascii="楷体_GB2312" w:eastAsia="楷体_GB2312" w:hAnsi="黑体" w:hint="eastAsia"/>
          <w:color w:val="000000" w:themeColor="text1"/>
          <w:sz w:val="32"/>
          <w:szCs w:val="32"/>
        </w:rPr>
      </w:pPr>
      <w:bookmarkStart w:id="87" w:name="_Toc220337833"/>
      <w:r>
        <w:rPr>
          <w:rFonts w:ascii="楷体_GB2312" w:eastAsia="楷体_GB2312" w:hAnsi="黑体" w:hint="eastAsia"/>
          <w:color w:val="000000" w:themeColor="text1"/>
          <w:sz w:val="32"/>
          <w:szCs w:val="32"/>
        </w:rPr>
        <w:t>推进重大项目试点推广</w:t>
      </w:r>
      <w:bookmarkEnd w:id="87"/>
    </w:p>
    <w:p w14:paraId="34EA21EB" w14:textId="77777777" w:rsidR="009D5DEA" w:rsidRDefault="00000000">
      <w:pPr>
        <w:spacing w:after="0" w:line="560" w:lineRule="exact"/>
        <w:ind w:right="210" w:firstLineChars="200" w:firstLine="640"/>
        <w:rPr>
          <w:rFonts w:ascii="仿宋_GB2312"/>
        </w:rPr>
      </w:pPr>
      <w:r>
        <w:rPr>
          <w:rFonts w:ascii="仿宋_GB2312" w:hint="eastAsia"/>
        </w:rPr>
        <w:t>坚持“需求导向、问题导向、效果导向”，围绕政务服务集成办理、城市运行“一网统管”、数据要素市场化</w:t>
      </w:r>
      <w:r>
        <w:rPr>
          <w:rFonts w:ascii="仿宋_GB2312" w:hint="eastAsia"/>
        </w:rPr>
        <w:lastRenderedPageBreak/>
        <w:t>配置、人工智能赋能治理等重点领域，系统遴选一批覆盖面广、创新性强、示范带动大的重大项目作为区级数智化转型试点，动态完善重大项目试点清单。鼓励各部门围绕业务流程再造、制度规则创新、数据跨部门共享等关键环节设计试点任务，将试点作为推动改革突破、验证新模式、新业态的重要抓手。建立重大项目试点分级分类推进机制，对成熟度高、风险可控的项目实施先行先试，对探索性强、创新度高的项目实行“小范围试点—评估优化—稳妥放大”的渐进式路径，形成一批可观测、可评估、可迭代的试点样板。健全包容审慎的试点容错机制，对依法合</w:t>
      </w:r>
      <w:proofErr w:type="gramStart"/>
      <w:r>
        <w:rPr>
          <w:rFonts w:ascii="仿宋_GB2312" w:hint="eastAsia"/>
        </w:rPr>
        <w:t>规</w:t>
      </w:r>
      <w:proofErr w:type="gramEnd"/>
      <w:r>
        <w:rPr>
          <w:rFonts w:ascii="仿宋_GB2312" w:hint="eastAsia"/>
        </w:rPr>
        <w:t>探索、符合方向但因客观原因未达预期的试点予以合理容错，为基层敢闯敢试、勇于创新营造良好氛围。加强对</w:t>
      </w:r>
      <w:proofErr w:type="gramStart"/>
      <w:r>
        <w:rPr>
          <w:rFonts w:ascii="仿宋_GB2312" w:hint="eastAsia"/>
        </w:rPr>
        <w:t>试点全</w:t>
      </w:r>
      <w:proofErr w:type="gramEnd"/>
      <w:r>
        <w:rPr>
          <w:rFonts w:ascii="仿宋_GB2312" w:hint="eastAsia"/>
        </w:rPr>
        <w:t>过程跟踪评估和复盘总结，提炼形成一批可复制、可推广的业务流程、数据标准和技术规范，通过制定指引、编制手册、现场观摩等方式在全区推广应用，推动“一个试点带动一类场景、一个样板撬动一片领域”，不断放大重大项目试点的综合效益。</w:t>
      </w:r>
    </w:p>
    <w:p w14:paraId="152403F3" w14:textId="77777777" w:rsidR="009D5DEA" w:rsidRDefault="00000000">
      <w:pPr>
        <w:pStyle w:val="2"/>
        <w:numPr>
          <w:ilvl w:val="0"/>
          <w:numId w:val="22"/>
        </w:numPr>
        <w:spacing w:before="0" w:after="0" w:line="560" w:lineRule="exact"/>
        <w:ind w:left="1360" w:hanging="720"/>
        <w:rPr>
          <w:rFonts w:ascii="楷体_GB2312" w:eastAsia="楷体_GB2312" w:hAnsi="黑体" w:hint="eastAsia"/>
          <w:color w:val="000000" w:themeColor="text1"/>
          <w:sz w:val="32"/>
          <w:szCs w:val="32"/>
        </w:rPr>
      </w:pPr>
      <w:bookmarkStart w:id="88" w:name="_Toc220337834"/>
      <w:r>
        <w:rPr>
          <w:rFonts w:ascii="楷体_GB2312" w:eastAsia="楷体_GB2312" w:hAnsi="黑体" w:hint="eastAsia"/>
          <w:color w:val="000000" w:themeColor="text1"/>
          <w:sz w:val="32"/>
          <w:szCs w:val="32"/>
        </w:rPr>
        <w:t>完善评估督导反馈体系</w:t>
      </w:r>
      <w:bookmarkEnd w:id="88"/>
    </w:p>
    <w:p w14:paraId="21B83102" w14:textId="77777777" w:rsidR="009D5DEA" w:rsidRDefault="00000000">
      <w:pPr>
        <w:spacing w:after="0" w:line="560" w:lineRule="exact"/>
        <w:ind w:right="210" w:firstLineChars="200" w:firstLine="640"/>
        <w:rPr>
          <w:rFonts w:ascii="仿宋_GB2312"/>
        </w:rPr>
      </w:pPr>
      <w:r>
        <w:rPr>
          <w:rFonts w:ascii="仿宋_GB2312"/>
        </w:rPr>
        <w:t>制定数字政府建设绩效评估指标体系，</w:t>
      </w:r>
      <w:r>
        <w:rPr>
          <w:rFonts w:ascii="仿宋_GB2312" w:hint="eastAsia"/>
        </w:rPr>
        <w:t>深化政务信息化项目后评价体系</w:t>
      </w:r>
      <w:r>
        <w:rPr>
          <w:rFonts w:ascii="仿宋_GB2312"/>
        </w:rPr>
        <w:t>，设计贴合龙华实际的阶段性评估标准。对规划实施情况实行年度评估和中期评估，评估内容包括项目完成率、指标达成度、群众企业满意度等，评估结果向领导小组报告并在一定范围内通报。对于评估发现的滞后领域和薄弱环节，启动督办机制，限时整改。探索建立</w:t>
      </w:r>
      <w:r>
        <w:rPr>
          <w:rFonts w:ascii="仿宋_GB2312"/>
        </w:rPr>
        <w:lastRenderedPageBreak/>
        <w:t>规划后评价制度，在规划</w:t>
      </w:r>
      <w:proofErr w:type="gramStart"/>
      <w:r>
        <w:rPr>
          <w:rFonts w:ascii="仿宋_GB2312"/>
        </w:rPr>
        <w:t>期末对</w:t>
      </w:r>
      <w:proofErr w:type="gramEnd"/>
      <w:r>
        <w:rPr>
          <w:rFonts w:ascii="仿宋_GB2312"/>
        </w:rPr>
        <w:t>整体目标完成情况进行全面总结，提炼成功经验和教训反馈至下一轮规划编制中，不断改进提升。通过闭环管理，保证规划实施始终沿着既定轨道前进并不断优化。</w:t>
      </w:r>
    </w:p>
    <w:sectPr w:rsidR="009D5DEA">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78D9" w14:textId="77777777" w:rsidR="00407A5B" w:rsidRDefault="00407A5B">
      <w:pPr>
        <w:spacing w:after="0" w:line="240" w:lineRule="auto"/>
      </w:pPr>
      <w:r>
        <w:separator/>
      </w:r>
    </w:p>
  </w:endnote>
  <w:endnote w:type="continuationSeparator" w:id="0">
    <w:p w14:paraId="7264480F" w14:textId="77777777" w:rsidR="00407A5B" w:rsidRDefault="0040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方正小标宋_GBK">
    <w:altName w:val="微软雅黑"/>
    <w:charset w:val="86"/>
    <w:family w:val="auto"/>
    <w:pitch w:val="default"/>
    <w:sig w:usb0="00000000" w:usb1="00000000" w:usb2="00080016" w:usb3="00000000" w:csb0="00040001"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BEB1" w14:textId="77777777" w:rsidR="009D5DEA" w:rsidRDefault="00000000">
    <w:pPr>
      <w:pStyle w:val="a8"/>
    </w:pPr>
    <w:r>
      <w:pict w14:anchorId="45833587">
        <v:shapetype id="_x0000_t202" coordsize="21600,21600" o:spt="202" path="m,l,21600r21600,l21600,xe">
          <v:stroke joinstyle="miter"/>
          <v:path gradientshapeok="t" o:connecttype="rect"/>
        </v:shapetype>
        <v:shape id="_x0000_s1033" type="#_x0000_t202" style="position:absolute;margin-left:-17.5pt;margin-top:0;width:33.7pt;height:20.15pt;z-index:251658240;mso-position-horizontal:outside;mso-position-horizontal-relative:margin;mso-width-relative:page;mso-height-relative:page" filled="f" stroked="f">
          <v:textbox style="mso-fit-shape-to-text:t" inset="1pt,1pt,1pt,1pt">
            <w:txbxContent>
              <w:p w14:paraId="5C001465" w14:textId="77777777" w:rsidR="009D5DEA" w:rsidRDefault="009D5DEA">
                <w:pPr>
                  <w:pStyle w:val="a8"/>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366" w14:textId="77777777" w:rsidR="009D5DEA" w:rsidRDefault="00000000">
    <w:pPr>
      <w:pStyle w:val="a8"/>
    </w:pPr>
    <w:r>
      <w:pict w14:anchorId="55A953C8">
        <v:shapetype id="_x0000_t202" coordsize="21600,21600" o:spt="202" path="m,l,21600r21600,l21600,xe">
          <v:stroke joinstyle="miter"/>
          <v:path gradientshapeok="t" o:connecttype="rect"/>
        </v:shapetype>
        <v:shape id="_x0000_s1034" type="#_x0000_t202" style="position:absolute;margin-left:14.95pt;margin-top:0;width:66.15pt;height:52.05pt;z-index:251660288;mso-position-horizontal:outside;mso-position-horizontal-relative:margin;mso-width-relative:page;mso-height-relative:page" filled="f" stroked="f">
          <v:textbox style="mso-fit-shape-to-text:t" inset="1pt,1pt,1pt,1pt">
            <w:txbxContent>
              <w:p w14:paraId="5281B356" w14:textId="77777777" w:rsidR="009D5DEA" w:rsidRDefault="00000000">
                <w:pPr>
                  <w:pStyle w:val="a8"/>
                  <w:jc w:val="both"/>
                  <w:rPr>
                    <w:rFonts w:ascii="宋体" w:eastAsia="宋体" w:hAnsi="宋体" w:hint="eastAsia"/>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DE02" w14:textId="77777777" w:rsidR="00407A5B" w:rsidRDefault="00407A5B">
      <w:pPr>
        <w:spacing w:after="0" w:line="240" w:lineRule="auto"/>
      </w:pPr>
      <w:r>
        <w:separator/>
      </w:r>
    </w:p>
  </w:footnote>
  <w:footnote w:type="continuationSeparator" w:id="0">
    <w:p w14:paraId="6C8505B0" w14:textId="77777777" w:rsidR="00407A5B" w:rsidRDefault="00407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64F"/>
    <w:multiLevelType w:val="multilevel"/>
    <w:tmpl w:val="0597264F"/>
    <w:lvl w:ilvl="0">
      <w:start w:val="1"/>
      <w:numFmt w:val="decimal"/>
      <w:lvlText w:val="%1."/>
      <w:lvlJc w:val="left"/>
      <w:pPr>
        <w:ind w:left="1000" w:hanging="360"/>
      </w:pPr>
      <w:rPr>
        <w:rFonts w:ascii="仿宋_GB2312" w:eastAsia="仿宋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05B068B8"/>
    <w:multiLevelType w:val="multilevel"/>
    <w:tmpl w:val="05B068B8"/>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2" w15:restartNumberingAfterBreak="0">
    <w:nsid w:val="1003756A"/>
    <w:multiLevelType w:val="multilevel"/>
    <w:tmpl w:val="1003756A"/>
    <w:lvl w:ilvl="0">
      <w:start w:val="1"/>
      <w:numFmt w:val="japaneseCounting"/>
      <w:lvlText w:val="（%1）"/>
      <w:lvlJc w:val="left"/>
      <w:pPr>
        <w:ind w:left="1216" w:hanging="108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3" w15:restartNumberingAfterBreak="0">
    <w:nsid w:val="12B15291"/>
    <w:multiLevelType w:val="multilevel"/>
    <w:tmpl w:val="12B15291"/>
    <w:lvl w:ilvl="0">
      <w:start w:val="1"/>
      <w:numFmt w:val="japaneseCounting"/>
      <w:lvlText w:val="（%1）"/>
      <w:lvlJc w:val="left"/>
      <w:pPr>
        <w:ind w:left="1720" w:hanging="1080"/>
      </w:pPr>
      <w:rPr>
        <w:rFonts w:ascii="楷体_GB2312" w:eastAsia="楷体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4" w15:restartNumberingAfterBreak="0">
    <w:nsid w:val="1731597D"/>
    <w:multiLevelType w:val="multilevel"/>
    <w:tmpl w:val="1731597D"/>
    <w:lvl w:ilvl="0">
      <w:start w:val="1"/>
      <w:numFmt w:val="japaneseCounting"/>
      <w:lvlText w:val="（%1）"/>
      <w:lvlJc w:val="left"/>
      <w:pPr>
        <w:ind w:left="1720" w:hanging="1080"/>
      </w:pPr>
      <w:rPr>
        <w:rFonts w:ascii="楷体_GB2312" w:eastAsia="楷体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224F586D"/>
    <w:multiLevelType w:val="multilevel"/>
    <w:tmpl w:val="224F586D"/>
    <w:lvl w:ilvl="0">
      <w:start w:val="1"/>
      <w:numFmt w:val="japaneseCounting"/>
      <w:lvlText w:val="（%1）"/>
      <w:lvlJc w:val="left"/>
      <w:pPr>
        <w:ind w:left="1720" w:hanging="1080"/>
      </w:pPr>
      <w:rPr>
        <w:rFonts w:ascii="楷体_GB2312" w:eastAsia="楷体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6" w15:restartNumberingAfterBreak="0">
    <w:nsid w:val="236B79D4"/>
    <w:multiLevelType w:val="multilevel"/>
    <w:tmpl w:val="236B79D4"/>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7" w15:restartNumberingAfterBreak="0">
    <w:nsid w:val="243709BB"/>
    <w:multiLevelType w:val="multilevel"/>
    <w:tmpl w:val="243709BB"/>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8" w15:restartNumberingAfterBreak="0">
    <w:nsid w:val="3CD74D5F"/>
    <w:multiLevelType w:val="multilevel"/>
    <w:tmpl w:val="3CD74D5F"/>
    <w:lvl w:ilvl="0">
      <w:start w:val="1"/>
      <w:numFmt w:val="japaneseCounting"/>
      <w:lvlText w:val="%1、"/>
      <w:lvlJc w:val="left"/>
      <w:pPr>
        <w:ind w:left="1360" w:hanging="720"/>
      </w:pPr>
      <w:rPr>
        <w:rFonts w:hint="default"/>
        <w:lang w:val="en-US"/>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9" w15:restartNumberingAfterBreak="0">
    <w:nsid w:val="4B7C19A3"/>
    <w:multiLevelType w:val="multilevel"/>
    <w:tmpl w:val="4B7C19A3"/>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0" w15:restartNumberingAfterBreak="0">
    <w:nsid w:val="4FCE5D9F"/>
    <w:multiLevelType w:val="multilevel"/>
    <w:tmpl w:val="4FCE5D9F"/>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1" w15:restartNumberingAfterBreak="0">
    <w:nsid w:val="50AC214D"/>
    <w:multiLevelType w:val="multilevel"/>
    <w:tmpl w:val="50AC214D"/>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2" w15:restartNumberingAfterBreak="0">
    <w:nsid w:val="554503E0"/>
    <w:multiLevelType w:val="multilevel"/>
    <w:tmpl w:val="554503E0"/>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3" w15:restartNumberingAfterBreak="0">
    <w:nsid w:val="5556077C"/>
    <w:multiLevelType w:val="multilevel"/>
    <w:tmpl w:val="5556077C"/>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4" w15:restartNumberingAfterBreak="0">
    <w:nsid w:val="56B22372"/>
    <w:multiLevelType w:val="multilevel"/>
    <w:tmpl w:val="56B22372"/>
    <w:lvl w:ilvl="0">
      <w:start w:val="1"/>
      <w:numFmt w:val="decimal"/>
      <w:lvlText w:val="%1."/>
      <w:lvlJc w:val="left"/>
      <w:pPr>
        <w:ind w:left="1000" w:hanging="360"/>
      </w:pPr>
      <w:rPr>
        <w:rFonts w:ascii="仿宋_GB2312" w:eastAsia="仿宋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5" w15:restartNumberingAfterBreak="0">
    <w:nsid w:val="586443CA"/>
    <w:multiLevelType w:val="multilevel"/>
    <w:tmpl w:val="586443CA"/>
    <w:lvl w:ilvl="0">
      <w:start w:val="1"/>
      <w:numFmt w:val="japaneseCounting"/>
      <w:lvlText w:val="（%1）"/>
      <w:lvlJc w:val="left"/>
      <w:pPr>
        <w:ind w:left="1720" w:hanging="1080"/>
      </w:pPr>
      <w:rPr>
        <w:rFonts w:ascii="楷体_GB2312" w:eastAsia="楷体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6" w15:restartNumberingAfterBreak="0">
    <w:nsid w:val="607B2942"/>
    <w:multiLevelType w:val="multilevel"/>
    <w:tmpl w:val="607B2942"/>
    <w:lvl w:ilvl="0">
      <w:start w:val="1"/>
      <w:numFmt w:val="japaneseCounting"/>
      <w:lvlText w:val="（%1）"/>
      <w:lvlJc w:val="left"/>
      <w:pPr>
        <w:ind w:left="1720" w:hanging="1080"/>
      </w:pPr>
      <w:rPr>
        <w:rFonts w:ascii="楷体_GB2312" w:eastAsia="楷体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7" w15:restartNumberingAfterBreak="0">
    <w:nsid w:val="64EB5B93"/>
    <w:multiLevelType w:val="multilevel"/>
    <w:tmpl w:val="64EB5B93"/>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8" w15:restartNumberingAfterBreak="0">
    <w:nsid w:val="71E5383F"/>
    <w:multiLevelType w:val="multilevel"/>
    <w:tmpl w:val="71E5383F"/>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9" w15:restartNumberingAfterBreak="0">
    <w:nsid w:val="74C86C19"/>
    <w:multiLevelType w:val="multilevel"/>
    <w:tmpl w:val="74C86C19"/>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20" w15:restartNumberingAfterBreak="0">
    <w:nsid w:val="7A9E4183"/>
    <w:multiLevelType w:val="multilevel"/>
    <w:tmpl w:val="7A9E4183"/>
    <w:lvl w:ilvl="0">
      <w:start w:val="1"/>
      <w:numFmt w:val="japaneseCounting"/>
      <w:lvlText w:val="（%1）"/>
      <w:lvlJc w:val="left"/>
      <w:pPr>
        <w:ind w:left="1720" w:hanging="1080"/>
      </w:pPr>
      <w:rPr>
        <w:rFonts w:ascii="楷体_GB2312" w:eastAsia="楷体_GB2312"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1" w15:restartNumberingAfterBreak="0">
    <w:nsid w:val="7FE076C8"/>
    <w:multiLevelType w:val="multilevel"/>
    <w:tmpl w:val="7FE076C8"/>
    <w:lvl w:ilvl="0">
      <w:start w:val="1"/>
      <w:numFmt w:val="decimal"/>
      <w:lvlText w:val="%1."/>
      <w:lvlJc w:val="left"/>
      <w:pPr>
        <w:ind w:left="1083" w:hanging="440"/>
      </w:pPr>
      <w:rPr>
        <w:rFonts w:ascii="仿宋_GB2312" w:eastAsia="仿宋_GB2312"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num w:numId="1" w16cid:durableId="808474686">
    <w:abstractNumId w:val="8"/>
  </w:num>
  <w:num w:numId="2" w16cid:durableId="1773473288">
    <w:abstractNumId w:val="2"/>
  </w:num>
  <w:num w:numId="3" w16cid:durableId="2057653649">
    <w:abstractNumId w:val="14"/>
  </w:num>
  <w:num w:numId="4" w16cid:durableId="111216245">
    <w:abstractNumId w:val="0"/>
  </w:num>
  <w:num w:numId="5" w16cid:durableId="1231230238">
    <w:abstractNumId w:val="3"/>
  </w:num>
  <w:num w:numId="6" w16cid:durableId="1611626068">
    <w:abstractNumId w:val="5"/>
  </w:num>
  <w:num w:numId="7" w16cid:durableId="769085953">
    <w:abstractNumId w:val="17"/>
  </w:num>
  <w:num w:numId="8" w16cid:durableId="1604729321">
    <w:abstractNumId w:val="19"/>
  </w:num>
  <w:num w:numId="9" w16cid:durableId="1369260092">
    <w:abstractNumId w:val="21"/>
  </w:num>
  <w:num w:numId="10" w16cid:durableId="1553465640">
    <w:abstractNumId w:val="20"/>
  </w:num>
  <w:num w:numId="11" w16cid:durableId="1261909950">
    <w:abstractNumId w:val="12"/>
  </w:num>
  <w:num w:numId="12" w16cid:durableId="813110">
    <w:abstractNumId w:val="11"/>
  </w:num>
  <w:num w:numId="13" w16cid:durableId="130095832">
    <w:abstractNumId w:val="15"/>
  </w:num>
  <w:num w:numId="14" w16cid:durableId="1526944157">
    <w:abstractNumId w:val="9"/>
  </w:num>
  <w:num w:numId="15" w16cid:durableId="214658692">
    <w:abstractNumId w:val="10"/>
  </w:num>
  <w:num w:numId="16" w16cid:durableId="637418265">
    <w:abstractNumId w:val="7"/>
  </w:num>
  <w:num w:numId="17" w16cid:durableId="734008981">
    <w:abstractNumId w:val="13"/>
  </w:num>
  <w:num w:numId="18" w16cid:durableId="538129406">
    <w:abstractNumId w:val="16"/>
  </w:num>
  <w:num w:numId="19" w16cid:durableId="2089812017">
    <w:abstractNumId w:val="18"/>
  </w:num>
  <w:num w:numId="20" w16cid:durableId="706221849">
    <w:abstractNumId w:val="6"/>
  </w:num>
  <w:num w:numId="21" w16cid:durableId="715088595">
    <w:abstractNumId w:val="1"/>
  </w:num>
  <w:num w:numId="22" w16cid:durableId="691034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658B"/>
    <w:rsid w:val="00001AE9"/>
    <w:rsid w:val="000021E3"/>
    <w:rsid w:val="000027B1"/>
    <w:rsid w:val="00010772"/>
    <w:rsid w:val="00010B70"/>
    <w:rsid w:val="00012916"/>
    <w:rsid w:val="00013588"/>
    <w:rsid w:val="00020048"/>
    <w:rsid w:val="000200B4"/>
    <w:rsid w:val="00021F3A"/>
    <w:rsid w:val="00025C4D"/>
    <w:rsid w:val="00030C20"/>
    <w:rsid w:val="00036B84"/>
    <w:rsid w:val="00046865"/>
    <w:rsid w:val="00046EFA"/>
    <w:rsid w:val="00052BD9"/>
    <w:rsid w:val="000530BE"/>
    <w:rsid w:val="0005317A"/>
    <w:rsid w:val="00054A75"/>
    <w:rsid w:val="0006160D"/>
    <w:rsid w:val="0006348E"/>
    <w:rsid w:val="0006393E"/>
    <w:rsid w:val="00063C62"/>
    <w:rsid w:val="00064294"/>
    <w:rsid w:val="000653CD"/>
    <w:rsid w:val="000700F2"/>
    <w:rsid w:val="000706A8"/>
    <w:rsid w:val="000727ED"/>
    <w:rsid w:val="00073BC5"/>
    <w:rsid w:val="00074ED9"/>
    <w:rsid w:val="000777FD"/>
    <w:rsid w:val="00082D68"/>
    <w:rsid w:val="00082EC6"/>
    <w:rsid w:val="00083AA8"/>
    <w:rsid w:val="0008497A"/>
    <w:rsid w:val="00087C0B"/>
    <w:rsid w:val="00090625"/>
    <w:rsid w:val="00090AFB"/>
    <w:rsid w:val="00091322"/>
    <w:rsid w:val="000924DF"/>
    <w:rsid w:val="00093C36"/>
    <w:rsid w:val="00096138"/>
    <w:rsid w:val="00097705"/>
    <w:rsid w:val="000B046D"/>
    <w:rsid w:val="000C3F32"/>
    <w:rsid w:val="000C7175"/>
    <w:rsid w:val="000D3009"/>
    <w:rsid w:val="000D7BDA"/>
    <w:rsid w:val="000E4ED1"/>
    <w:rsid w:val="000E51F1"/>
    <w:rsid w:val="000E5713"/>
    <w:rsid w:val="000E5BE0"/>
    <w:rsid w:val="000E65CF"/>
    <w:rsid w:val="000F3BCD"/>
    <w:rsid w:val="001004C6"/>
    <w:rsid w:val="00105D0E"/>
    <w:rsid w:val="001065EF"/>
    <w:rsid w:val="001073C6"/>
    <w:rsid w:val="00111578"/>
    <w:rsid w:val="00111C81"/>
    <w:rsid w:val="001120A4"/>
    <w:rsid w:val="00115934"/>
    <w:rsid w:val="00115EDD"/>
    <w:rsid w:val="001165CC"/>
    <w:rsid w:val="00116FA5"/>
    <w:rsid w:val="00120A45"/>
    <w:rsid w:val="00123C82"/>
    <w:rsid w:val="00124B29"/>
    <w:rsid w:val="00127F8A"/>
    <w:rsid w:val="0013198A"/>
    <w:rsid w:val="00132567"/>
    <w:rsid w:val="001343B8"/>
    <w:rsid w:val="001349C0"/>
    <w:rsid w:val="00137777"/>
    <w:rsid w:val="00143062"/>
    <w:rsid w:val="00147EA9"/>
    <w:rsid w:val="00150F9E"/>
    <w:rsid w:val="00162C6B"/>
    <w:rsid w:val="00162D36"/>
    <w:rsid w:val="00165AF0"/>
    <w:rsid w:val="00165EE0"/>
    <w:rsid w:val="00172910"/>
    <w:rsid w:val="00174360"/>
    <w:rsid w:val="001745B9"/>
    <w:rsid w:val="00174DED"/>
    <w:rsid w:val="00175738"/>
    <w:rsid w:val="001775A6"/>
    <w:rsid w:val="001807EF"/>
    <w:rsid w:val="00182D37"/>
    <w:rsid w:val="00184AA5"/>
    <w:rsid w:val="00185BD8"/>
    <w:rsid w:val="001870BD"/>
    <w:rsid w:val="001901A2"/>
    <w:rsid w:val="00190257"/>
    <w:rsid w:val="00190B22"/>
    <w:rsid w:val="001934E1"/>
    <w:rsid w:val="001A31A0"/>
    <w:rsid w:val="001A3424"/>
    <w:rsid w:val="001A4C69"/>
    <w:rsid w:val="001B2273"/>
    <w:rsid w:val="001B3D3D"/>
    <w:rsid w:val="001B6A6D"/>
    <w:rsid w:val="001B6C12"/>
    <w:rsid w:val="001C4AF7"/>
    <w:rsid w:val="001D2F9F"/>
    <w:rsid w:val="001D32EE"/>
    <w:rsid w:val="001D56DB"/>
    <w:rsid w:val="001E0AEA"/>
    <w:rsid w:val="001E0D7E"/>
    <w:rsid w:val="001E2345"/>
    <w:rsid w:val="001E2548"/>
    <w:rsid w:val="001E2E4D"/>
    <w:rsid w:val="001F004D"/>
    <w:rsid w:val="001F5DE4"/>
    <w:rsid w:val="002009FF"/>
    <w:rsid w:val="00202D20"/>
    <w:rsid w:val="002030D6"/>
    <w:rsid w:val="00203E91"/>
    <w:rsid w:val="002044BC"/>
    <w:rsid w:val="0021048B"/>
    <w:rsid w:val="002109EC"/>
    <w:rsid w:val="00214B1E"/>
    <w:rsid w:val="0021505F"/>
    <w:rsid w:val="002222A0"/>
    <w:rsid w:val="00224E25"/>
    <w:rsid w:val="00226C51"/>
    <w:rsid w:val="00230145"/>
    <w:rsid w:val="0023078E"/>
    <w:rsid w:val="00230FA0"/>
    <w:rsid w:val="002314D0"/>
    <w:rsid w:val="00231738"/>
    <w:rsid w:val="00235A3C"/>
    <w:rsid w:val="00235DB6"/>
    <w:rsid w:val="00235E1E"/>
    <w:rsid w:val="0023600F"/>
    <w:rsid w:val="00240A07"/>
    <w:rsid w:val="00244A2D"/>
    <w:rsid w:val="0025376E"/>
    <w:rsid w:val="002554A4"/>
    <w:rsid w:val="002652BC"/>
    <w:rsid w:val="0026552F"/>
    <w:rsid w:val="00275398"/>
    <w:rsid w:val="002817E8"/>
    <w:rsid w:val="00285655"/>
    <w:rsid w:val="00292D6D"/>
    <w:rsid w:val="0029395E"/>
    <w:rsid w:val="002A361C"/>
    <w:rsid w:val="002A47E5"/>
    <w:rsid w:val="002A75AE"/>
    <w:rsid w:val="002B06F8"/>
    <w:rsid w:val="002B30FB"/>
    <w:rsid w:val="002B39F1"/>
    <w:rsid w:val="002B4B59"/>
    <w:rsid w:val="002C127E"/>
    <w:rsid w:val="002C376A"/>
    <w:rsid w:val="002C49B5"/>
    <w:rsid w:val="002C669E"/>
    <w:rsid w:val="002D095A"/>
    <w:rsid w:val="002D13FC"/>
    <w:rsid w:val="002D4938"/>
    <w:rsid w:val="002D4A80"/>
    <w:rsid w:val="002E1C4F"/>
    <w:rsid w:val="002E3EB2"/>
    <w:rsid w:val="002F4290"/>
    <w:rsid w:val="002F4E6E"/>
    <w:rsid w:val="002F7A98"/>
    <w:rsid w:val="002F7AFA"/>
    <w:rsid w:val="003025CE"/>
    <w:rsid w:val="003064DF"/>
    <w:rsid w:val="00306590"/>
    <w:rsid w:val="0030726D"/>
    <w:rsid w:val="00310E87"/>
    <w:rsid w:val="00314F19"/>
    <w:rsid w:val="003174A8"/>
    <w:rsid w:val="00317802"/>
    <w:rsid w:val="00324563"/>
    <w:rsid w:val="0032701B"/>
    <w:rsid w:val="00331E5B"/>
    <w:rsid w:val="00332255"/>
    <w:rsid w:val="003324B2"/>
    <w:rsid w:val="0033777D"/>
    <w:rsid w:val="003464AB"/>
    <w:rsid w:val="00347639"/>
    <w:rsid w:val="00356E1C"/>
    <w:rsid w:val="003575C7"/>
    <w:rsid w:val="00362751"/>
    <w:rsid w:val="003707CE"/>
    <w:rsid w:val="00370ABD"/>
    <w:rsid w:val="00374E95"/>
    <w:rsid w:val="003755B7"/>
    <w:rsid w:val="00380B4B"/>
    <w:rsid w:val="003824F6"/>
    <w:rsid w:val="00390C00"/>
    <w:rsid w:val="003931EB"/>
    <w:rsid w:val="003A2459"/>
    <w:rsid w:val="003A346B"/>
    <w:rsid w:val="003A4FAA"/>
    <w:rsid w:val="003B25E9"/>
    <w:rsid w:val="003B39A3"/>
    <w:rsid w:val="003C00B6"/>
    <w:rsid w:val="003C1277"/>
    <w:rsid w:val="003C1D74"/>
    <w:rsid w:val="003C257E"/>
    <w:rsid w:val="003C2EBB"/>
    <w:rsid w:val="003D2DDF"/>
    <w:rsid w:val="003D450D"/>
    <w:rsid w:val="003D465E"/>
    <w:rsid w:val="003D7A61"/>
    <w:rsid w:val="003E022B"/>
    <w:rsid w:val="003E0C43"/>
    <w:rsid w:val="003E421F"/>
    <w:rsid w:val="003F3798"/>
    <w:rsid w:val="003F42D7"/>
    <w:rsid w:val="003F6ADE"/>
    <w:rsid w:val="003F723E"/>
    <w:rsid w:val="003F7352"/>
    <w:rsid w:val="00400143"/>
    <w:rsid w:val="00402419"/>
    <w:rsid w:val="00403F25"/>
    <w:rsid w:val="00405AE9"/>
    <w:rsid w:val="00407A5B"/>
    <w:rsid w:val="004122B3"/>
    <w:rsid w:val="004176A0"/>
    <w:rsid w:val="0042000D"/>
    <w:rsid w:val="004214D3"/>
    <w:rsid w:val="00422B0D"/>
    <w:rsid w:val="00423D37"/>
    <w:rsid w:val="00424990"/>
    <w:rsid w:val="00425001"/>
    <w:rsid w:val="00426DD5"/>
    <w:rsid w:val="00427900"/>
    <w:rsid w:val="00435C0F"/>
    <w:rsid w:val="00437C47"/>
    <w:rsid w:val="00440706"/>
    <w:rsid w:val="00445413"/>
    <w:rsid w:val="00445C8A"/>
    <w:rsid w:val="00447B7F"/>
    <w:rsid w:val="004527AF"/>
    <w:rsid w:val="00454D5D"/>
    <w:rsid w:val="00456C63"/>
    <w:rsid w:val="00457299"/>
    <w:rsid w:val="00457677"/>
    <w:rsid w:val="00467F20"/>
    <w:rsid w:val="004703DE"/>
    <w:rsid w:val="004706C6"/>
    <w:rsid w:val="00470810"/>
    <w:rsid w:val="00477BE7"/>
    <w:rsid w:val="00480A22"/>
    <w:rsid w:val="004867AC"/>
    <w:rsid w:val="00493226"/>
    <w:rsid w:val="004940CA"/>
    <w:rsid w:val="004A2FA9"/>
    <w:rsid w:val="004B0390"/>
    <w:rsid w:val="004B1406"/>
    <w:rsid w:val="004B4756"/>
    <w:rsid w:val="004B5FEB"/>
    <w:rsid w:val="004C2470"/>
    <w:rsid w:val="004C2C04"/>
    <w:rsid w:val="004C3F28"/>
    <w:rsid w:val="004D57C7"/>
    <w:rsid w:val="004D645A"/>
    <w:rsid w:val="004D65DE"/>
    <w:rsid w:val="004D7A0A"/>
    <w:rsid w:val="004E0A97"/>
    <w:rsid w:val="004E3506"/>
    <w:rsid w:val="004E5031"/>
    <w:rsid w:val="004F59E9"/>
    <w:rsid w:val="00500858"/>
    <w:rsid w:val="00502F28"/>
    <w:rsid w:val="00506941"/>
    <w:rsid w:val="00506C06"/>
    <w:rsid w:val="0051153C"/>
    <w:rsid w:val="0051218F"/>
    <w:rsid w:val="00512DBE"/>
    <w:rsid w:val="00517994"/>
    <w:rsid w:val="005179A8"/>
    <w:rsid w:val="005201A4"/>
    <w:rsid w:val="00520677"/>
    <w:rsid w:val="00526635"/>
    <w:rsid w:val="0052778F"/>
    <w:rsid w:val="0053023A"/>
    <w:rsid w:val="0053528B"/>
    <w:rsid w:val="00535DCA"/>
    <w:rsid w:val="00541253"/>
    <w:rsid w:val="0054166F"/>
    <w:rsid w:val="00544FEA"/>
    <w:rsid w:val="005465C2"/>
    <w:rsid w:val="00546D2F"/>
    <w:rsid w:val="00552267"/>
    <w:rsid w:val="00554449"/>
    <w:rsid w:val="0055493D"/>
    <w:rsid w:val="0055539E"/>
    <w:rsid w:val="00555BA5"/>
    <w:rsid w:val="0055611B"/>
    <w:rsid w:val="00556F49"/>
    <w:rsid w:val="00560FE2"/>
    <w:rsid w:val="00561B6B"/>
    <w:rsid w:val="00562428"/>
    <w:rsid w:val="00562484"/>
    <w:rsid w:val="0056456E"/>
    <w:rsid w:val="0056504E"/>
    <w:rsid w:val="0058169B"/>
    <w:rsid w:val="0058558E"/>
    <w:rsid w:val="00586318"/>
    <w:rsid w:val="00593360"/>
    <w:rsid w:val="00593EB4"/>
    <w:rsid w:val="00594EB3"/>
    <w:rsid w:val="005B0F2C"/>
    <w:rsid w:val="005B213B"/>
    <w:rsid w:val="005C41AB"/>
    <w:rsid w:val="005D3178"/>
    <w:rsid w:val="005D62F9"/>
    <w:rsid w:val="005D6D8A"/>
    <w:rsid w:val="005E1684"/>
    <w:rsid w:val="005E2016"/>
    <w:rsid w:val="005E2B97"/>
    <w:rsid w:val="005E3668"/>
    <w:rsid w:val="005E7A47"/>
    <w:rsid w:val="005E7C41"/>
    <w:rsid w:val="005F00CA"/>
    <w:rsid w:val="005F2820"/>
    <w:rsid w:val="005F3153"/>
    <w:rsid w:val="005F4B4D"/>
    <w:rsid w:val="005F6257"/>
    <w:rsid w:val="006007D7"/>
    <w:rsid w:val="00601532"/>
    <w:rsid w:val="00613B31"/>
    <w:rsid w:val="006178F0"/>
    <w:rsid w:val="00620152"/>
    <w:rsid w:val="006221E0"/>
    <w:rsid w:val="0062262F"/>
    <w:rsid w:val="0062298D"/>
    <w:rsid w:val="00622C3B"/>
    <w:rsid w:val="00623AA2"/>
    <w:rsid w:val="00625B65"/>
    <w:rsid w:val="00625C34"/>
    <w:rsid w:val="0062666B"/>
    <w:rsid w:val="006278CF"/>
    <w:rsid w:val="00627E0A"/>
    <w:rsid w:val="00636705"/>
    <w:rsid w:val="00637F86"/>
    <w:rsid w:val="00643C08"/>
    <w:rsid w:val="00644F1E"/>
    <w:rsid w:val="00645FE0"/>
    <w:rsid w:val="006466AA"/>
    <w:rsid w:val="006469AC"/>
    <w:rsid w:val="00647270"/>
    <w:rsid w:val="006513D2"/>
    <w:rsid w:val="00651E2F"/>
    <w:rsid w:val="0065654C"/>
    <w:rsid w:val="00656A05"/>
    <w:rsid w:val="00656E45"/>
    <w:rsid w:val="006572A8"/>
    <w:rsid w:val="00660F3E"/>
    <w:rsid w:val="00665AC8"/>
    <w:rsid w:val="00666669"/>
    <w:rsid w:val="00667048"/>
    <w:rsid w:val="00667380"/>
    <w:rsid w:val="00670F33"/>
    <w:rsid w:val="006716E6"/>
    <w:rsid w:val="00675F5C"/>
    <w:rsid w:val="0067718A"/>
    <w:rsid w:val="00683758"/>
    <w:rsid w:val="006842EF"/>
    <w:rsid w:val="00685E9A"/>
    <w:rsid w:val="00696457"/>
    <w:rsid w:val="006A5C96"/>
    <w:rsid w:val="006B05CA"/>
    <w:rsid w:val="006B3338"/>
    <w:rsid w:val="006B6256"/>
    <w:rsid w:val="006B75F5"/>
    <w:rsid w:val="006C248B"/>
    <w:rsid w:val="006C768D"/>
    <w:rsid w:val="006D0869"/>
    <w:rsid w:val="006D67FA"/>
    <w:rsid w:val="006D6C5C"/>
    <w:rsid w:val="006E338F"/>
    <w:rsid w:val="006E59E3"/>
    <w:rsid w:val="006E6054"/>
    <w:rsid w:val="006F4389"/>
    <w:rsid w:val="006F665C"/>
    <w:rsid w:val="00704052"/>
    <w:rsid w:val="00704D83"/>
    <w:rsid w:val="00705349"/>
    <w:rsid w:val="00705F96"/>
    <w:rsid w:val="007063E8"/>
    <w:rsid w:val="0070746C"/>
    <w:rsid w:val="0071654D"/>
    <w:rsid w:val="007201B6"/>
    <w:rsid w:val="00723CF7"/>
    <w:rsid w:val="00724135"/>
    <w:rsid w:val="00732486"/>
    <w:rsid w:val="007340B1"/>
    <w:rsid w:val="007348C8"/>
    <w:rsid w:val="00740B36"/>
    <w:rsid w:val="00741BBE"/>
    <w:rsid w:val="00742359"/>
    <w:rsid w:val="00744B69"/>
    <w:rsid w:val="00746045"/>
    <w:rsid w:val="007510AF"/>
    <w:rsid w:val="007547CF"/>
    <w:rsid w:val="00754A56"/>
    <w:rsid w:val="0075607C"/>
    <w:rsid w:val="0076317B"/>
    <w:rsid w:val="007642A5"/>
    <w:rsid w:val="00767103"/>
    <w:rsid w:val="00770D04"/>
    <w:rsid w:val="00774889"/>
    <w:rsid w:val="00775497"/>
    <w:rsid w:val="00783911"/>
    <w:rsid w:val="007863D7"/>
    <w:rsid w:val="0078646C"/>
    <w:rsid w:val="00790283"/>
    <w:rsid w:val="00791E1E"/>
    <w:rsid w:val="00794EB5"/>
    <w:rsid w:val="007A0487"/>
    <w:rsid w:val="007A5541"/>
    <w:rsid w:val="007A58D7"/>
    <w:rsid w:val="007B1C83"/>
    <w:rsid w:val="007B3BDB"/>
    <w:rsid w:val="007B4961"/>
    <w:rsid w:val="007C0092"/>
    <w:rsid w:val="007C0514"/>
    <w:rsid w:val="007C441D"/>
    <w:rsid w:val="007C59FE"/>
    <w:rsid w:val="007C64C2"/>
    <w:rsid w:val="007D0C43"/>
    <w:rsid w:val="007D0F6A"/>
    <w:rsid w:val="007D228E"/>
    <w:rsid w:val="007D2833"/>
    <w:rsid w:val="007D69E9"/>
    <w:rsid w:val="007E227A"/>
    <w:rsid w:val="007E327D"/>
    <w:rsid w:val="007E52D6"/>
    <w:rsid w:val="007E7160"/>
    <w:rsid w:val="007F4388"/>
    <w:rsid w:val="007F5442"/>
    <w:rsid w:val="007F6E03"/>
    <w:rsid w:val="00803100"/>
    <w:rsid w:val="008068E6"/>
    <w:rsid w:val="00807351"/>
    <w:rsid w:val="00807785"/>
    <w:rsid w:val="0081121D"/>
    <w:rsid w:val="008125B3"/>
    <w:rsid w:val="00815298"/>
    <w:rsid w:val="0081797A"/>
    <w:rsid w:val="0082084D"/>
    <w:rsid w:val="00820AA5"/>
    <w:rsid w:val="00820FB0"/>
    <w:rsid w:val="00822AA3"/>
    <w:rsid w:val="00826743"/>
    <w:rsid w:val="008321B3"/>
    <w:rsid w:val="008410FE"/>
    <w:rsid w:val="00843D8E"/>
    <w:rsid w:val="00844379"/>
    <w:rsid w:val="008456E8"/>
    <w:rsid w:val="00852A14"/>
    <w:rsid w:val="008550E2"/>
    <w:rsid w:val="00855C3A"/>
    <w:rsid w:val="0085720B"/>
    <w:rsid w:val="00857520"/>
    <w:rsid w:val="008575CA"/>
    <w:rsid w:val="008631D6"/>
    <w:rsid w:val="00864C62"/>
    <w:rsid w:val="00865D91"/>
    <w:rsid w:val="00871C87"/>
    <w:rsid w:val="00872466"/>
    <w:rsid w:val="0087346B"/>
    <w:rsid w:val="00875168"/>
    <w:rsid w:val="00875192"/>
    <w:rsid w:val="00876E77"/>
    <w:rsid w:val="00881D73"/>
    <w:rsid w:val="00886B56"/>
    <w:rsid w:val="00892550"/>
    <w:rsid w:val="008A13EB"/>
    <w:rsid w:val="008A2B48"/>
    <w:rsid w:val="008A5860"/>
    <w:rsid w:val="008A6169"/>
    <w:rsid w:val="008B0D25"/>
    <w:rsid w:val="008B140A"/>
    <w:rsid w:val="008B16BE"/>
    <w:rsid w:val="008B2569"/>
    <w:rsid w:val="008B36CE"/>
    <w:rsid w:val="008B5D1A"/>
    <w:rsid w:val="008C34AA"/>
    <w:rsid w:val="008C5138"/>
    <w:rsid w:val="008C616C"/>
    <w:rsid w:val="008C6362"/>
    <w:rsid w:val="008D241D"/>
    <w:rsid w:val="008D3058"/>
    <w:rsid w:val="008D5DB5"/>
    <w:rsid w:val="008D5FE9"/>
    <w:rsid w:val="008E06B2"/>
    <w:rsid w:val="008E2501"/>
    <w:rsid w:val="008E3FF9"/>
    <w:rsid w:val="008F260B"/>
    <w:rsid w:val="008F507A"/>
    <w:rsid w:val="008F74B5"/>
    <w:rsid w:val="00901296"/>
    <w:rsid w:val="00902E8F"/>
    <w:rsid w:val="0090798D"/>
    <w:rsid w:val="0091657D"/>
    <w:rsid w:val="0092068A"/>
    <w:rsid w:val="00921964"/>
    <w:rsid w:val="00921FDE"/>
    <w:rsid w:val="009233E2"/>
    <w:rsid w:val="0092644E"/>
    <w:rsid w:val="009311DE"/>
    <w:rsid w:val="00934FA9"/>
    <w:rsid w:val="00937C8F"/>
    <w:rsid w:val="00944DC9"/>
    <w:rsid w:val="00951FB8"/>
    <w:rsid w:val="0095510B"/>
    <w:rsid w:val="00956594"/>
    <w:rsid w:val="00960F10"/>
    <w:rsid w:val="00962346"/>
    <w:rsid w:val="009657B5"/>
    <w:rsid w:val="00971423"/>
    <w:rsid w:val="00972293"/>
    <w:rsid w:val="00973925"/>
    <w:rsid w:val="00973FE4"/>
    <w:rsid w:val="0097530D"/>
    <w:rsid w:val="00976383"/>
    <w:rsid w:val="00982430"/>
    <w:rsid w:val="00983804"/>
    <w:rsid w:val="0098493F"/>
    <w:rsid w:val="00990DC2"/>
    <w:rsid w:val="00991F84"/>
    <w:rsid w:val="0099515C"/>
    <w:rsid w:val="009A27EE"/>
    <w:rsid w:val="009A38AC"/>
    <w:rsid w:val="009A38EA"/>
    <w:rsid w:val="009A7265"/>
    <w:rsid w:val="009B538C"/>
    <w:rsid w:val="009B5CBE"/>
    <w:rsid w:val="009B7D51"/>
    <w:rsid w:val="009C0D93"/>
    <w:rsid w:val="009C65E5"/>
    <w:rsid w:val="009D5DEA"/>
    <w:rsid w:val="009E03A2"/>
    <w:rsid w:val="009E04BF"/>
    <w:rsid w:val="009E2E57"/>
    <w:rsid w:val="009E4AEB"/>
    <w:rsid w:val="009E5278"/>
    <w:rsid w:val="009E694E"/>
    <w:rsid w:val="009F263F"/>
    <w:rsid w:val="009F31DE"/>
    <w:rsid w:val="009F4445"/>
    <w:rsid w:val="009F5700"/>
    <w:rsid w:val="009F5A87"/>
    <w:rsid w:val="00A01C4D"/>
    <w:rsid w:val="00A06577"/>
    <w:rsid w:val="00A0662C"/>
    <w:rsid w:val="00A06836"/>
    <w:rsid w:val="00A11E62"/>
    <w:rsid w:val="00A14711"/>
    <w:rsid w:val="00A211E4"/>
    <w:rsid w:val="00A25453"/>
    <w:rsid w:val="00A25992"/>
    <w:rsid w:val="00A26D3F"/>
    <w:rsid w:val="00A32133"/>
    <w:rsid w:val="00A33CB5"/>
    <w:rsid w:val="00A34032"/>
    <w:rsid w:val="00A42543"/>
    <w:rsid w:val="00A4397E"/>
    <w:rsid w:val="00A43AFC"/>
    <w:rsid w:val="00A43F82"/>
    <w:rsid w:val="00A44548"/>
    <w:rsid w:val="00A4757F"/>
    <w:rsid w:val="00A52D8C"/>
    <w:rsid w:val="00A57C8D"/>
    <w:rsid w:val="00A6042B"/>
    <w:rsid w:val="00A636D0"/>
    <w:rsid w:val="00A65904"/>
    <w:rsid w:val="00A65EB3"/>
    <w:rsid w:val="00A66ED4"/>
    <w:rsid w:val="00A75106"/>
    <w:rsid w:val="00A76F72"/>
    <w:rsid w:val="00A77321"/>
    <w:rsid w:val="00A77F0D"/>
    <w:rsid w:val="00A84FC9"/>
    <w:rsid w:val="00A86360"/>
    <w:rsid w:val="00A87831"/>
    <w:rsid w:val="00A90861"/>
    <w:rsid w:val="00A91B4B"/>
    <w:rsid w:val="00A97B67"/>
    <w:rsid w:val="00A97D32"/>
    <w:rsid w:val="00AA08E7"/>
    <w:rsid w:val="00AB6F79"/>
    <w:rsid w:val="00AC34D2"/>
    <w:rsid w:val="00AC4894"/>
    <w:rsid w:val="00AC74B6"/>
    <w:rsid w:val="00AD01BB"/>
    <w:rsid w:val="00AD0783"/>
    <w:rsid w:val="00AE66D3"/>
    <w:rsid w:val="00AE69DF"/>
    <w:rsid w:val="00AF0FA7"/>
    <w:rsid w:val="00AF17E5"/>
    <w:rsid w:val="00AF29B5"/>
    <w:rsid w:val="00B02DAD"/>
    <w:rsid w:val="00B04F6C"/>
    <w:rsid w:val="00B062A4"/>
    <w:rsid w:val="00B07974"/>
    <w:rsid w:val="00B1389F"/>
    <w:rsid w:val="00B15159"/>
    <w:rsid w:val="00B15AB9"/>
    <w:rsid w:val="00B16B6B"/>
    <w:rsid w:val="00B17502"/>
    <w:rsid w:val="00B2259B"/>
    <w:rsid w:val="00B22B3B"/>
    <w:rsid w:val="00B22B3C"/>
    <w:rsid w:val="00B22FB8"/>
    <w:rsid w:val="00B24057"/>
    <w:rsid w:val="00B25D67"/>
    <w:rsid w:val="00B308C1"/>
    <w:rsid w:val="00B313B9"/>
    <w:rsid w:val="00B321AA"/>
    <w:rsid w:val="00B3408C"/>
    <w:rsid w:val="00B36A81"/>
    <w:rsid w:val="00B37BC9"/>
    <w:rsid w:val="00B4270B"/>
    <w:rsid w:val="00B431FB"/>
    <w:rsid w:val="00B45586"/>
    <w:rsid w:val="00B45C00"/>
    <w:rsid w:val="00B4696C"/>
    <w:rsid w:val="00B51DC6"/>
    <w:rsid w:val="00B566A9"/>
    <w:rsid w:val="00B570BD"/>
    <w:rsid w:val="00B6012D"/>
    <w:rsid w:val="00B60A81"/>
    <w:rsid w:val="00B62A22"/>
    <w:rsid w:val="00B62F49"/>
    <w:rsid w:val="00B63DD6"/>
    <w:rsid w:val="00B678EA"/>
    <w:rsid w:val="00B711B8"/>
    <w:rsid w:val="00B716CF"/>
    <w:rsid w:val="00B738F1"/>
    <w:rsid w:val="00B73A17"/>
    <w:rsid w:val="00B75AE2"/>
    <w:rsid w:val="00B77DC4"/>
    <w:rsid w:val="00B834BB"/>
    <w:rsid w:val="00B84CC6"/>
    <w:rsid w:val="00B871E2"/>
    <w:rsid w:val="00B910FD"/>
    <w:rsid w:val="00B9166E"/>
    <w:rsid w:val="00B91B5E"/>
    <w:rsid w:val="00B93606"/>
    <w:rsid w:val="00B946D4"/>
    <w:rsid w:val="00B96498"/>
    <w:rsid w:val="00B96FD2"/>
    <w:rsid w:val="00BA6950"/>
    <w:rsid w:val="00BA6F47"/>
    <w:rsid w:val="00BA7C54"/>
    <w:rsid w:val="00BB16A8"/>
    <w:rsid w:val="00BB6664"/>
    <w:rsid w:val="00BC07AB"/>
    <w:rsid w:val="00BD5235"/>
    <w:rsid w:val="00BD54F4"/>
    <w:rsid w:val="00BD68D6"/>
    <w:rsid w:val="00BE1E1C"/>
    <w:rsid w:val="00BE2F27"/>
    <w:rsid w:val="00BE60FD"/>
    <w:rsid w:val="00BE7F89"/>
    <w:rsid w:val="00BF05A5"/>
    <w:rsid w:val="00BF0FC2"/>
    <w:rsid w:val="00BF17D4"/>
    <w:rsid w:val="00BF62D0"/>
    <w:rsid w:val="00C00174"/>
    <w:rsid w:val="00C0086D"/>
    <w:rsid w:val="00C03B85"/>
    <w:rsid w:val="00C046CB"/>
    <w:rsid w:val="00C0586F"/>
    <w:rsid w:val="00C07441"/>
    <w:rsid w:val="00C169AB"/>
    <w:rsid w:val="00C2121D"/>
    <w:rsid w:val="00C21CF5"/>
    <w:rsid w:val="00C22B2D"/>
    <w:rsid w:val="00C22BED"/>
    <w:rsid w:val="00C23860"/>
    <w:rsid w:val="00C264CD"/>
    <w:rsid w:val="00C26CB1"/>
    <w:rsid w:val="00C2737A"/>
    <w:rsid w:val="00C36946"/>
    <w:rsid w:val="00C379AC"/>
    <w:rsid w:val="00C40F94"/>
    <w:rsid w:val="00C43107"/>
    <w:rsid w:val="00C435A8"/>
    <w:rsid w:val="00C43F3A"/>
    <w:rsid w:val="00C47E4F"/>
    <w:rsid w:val="00C510A3"/>
    <w:rsid w:val="00C532D8"/>
    <w:rsid w:val="00C55288"/>
    <w:rsid w:val="00C61812"/>
    <w:rsid w:val="00C621D8"/>
    <w:rsid w:val="00C71B82"/>
    <w:rsid w:val="00C71D9F"/>
    <w:rsid w:val="00C7257D"/>
    <w:rsid w:val="00C73893"/>
    <w:rsid w:val="00C77D9B"/>
    <w:rsid w:val="00C820F5"/>
    <w:rsid w:val="00C87383"/>
    <w:rsid w:val="00C93F95"/>
    <w:rsid w:val="00C95C56"/>
    <w:rsid w:val="00CA2021"/>
    <w:rsid w:val="00CA576E"/>
    <w:rsid w:val="00CB16B4"/>
    <w:rsid w:val="00CB4A3C"/>
    <w:rsid w:val="00CB6BE3"/>
    <w:rsid w:val="00CB7468"/>
    <w:rsid w:val="00CD49A1"/>
    <w:rsid w:val="00CD6D22"/>
    <w:rsid w:val="00CE377C"/>
    <w:rsid w:val="00CE653A"/>
    <w:rsid w:val="00CE6D51"/>
    <w:rsid w:val="00CE7AE2"/>
    <w:rsid w:val="00CF0E44"/>
    <w:rsid w:val="00CF41CF"/>
    <w:rsid w:val="00CF4254"/>
    <w:rsid w:val="00CF4C49"/>
    <w:rsid w:val="00CF52E3"/>
    <w:rsid w:val="00CF7CF8"/>
    <w:rsid w:val="00D016F2"/>
    <w:rsid w:val="00D01880"/>
    <w:rsid w:val="00D100B0"/>
    <w:rsid w:val="00D11EE1"/>
    <w:rsid w:val="00D140FD"/>
    <w:rsid w:val="00D15BE2"/>
    <w:rsid w:val="00D17CD0"/>
    <w:rsid w:val="00D22D37"/>
    <w:rsid w:val="00D2443A"/>
    <w:rsid w:val="00D25B11"/>
    <w:rsid w:val="00D26F6D"/>
    <w:rsid w:val="00D27F29"/>
    <w:rsid w:val="00D30687"/>
    <w:rsid w:val="00D30D53"/>
    <w:rsid w:val="00D31C29"/>
    <w:rsid w:val="00D37FC1"/>
    <w:rsid w:val="00D40CB7"/>
    <w:rsid w:val="00D41701"/>
    <w:rsid w:val="00D4193C"/>
    <w:rsid w:val="00D4365A"/>
    <w:rsid w:val="00D466EE"/>
    <w:rsid w:val="00D4706D"/>
    <w:rsid w:val="00D51520"/>
    <w:rsid w:val="00D545ED"/>
    <w:rsid w:val="00D551DD"/>
    <w:rsid w:val="00D562B6"/>
    <w:rsid w:val="00D62477"/>
    <w:rsid w:val="00D63B02"/>
    <w:rsid w:val="00D650B5"/>
    <w:rsid w:val="00D67096"/>
    <w:rsid w:val="00D71018"/>
    <w:rsid w:val="00D74A06"/>
    <w:rsid w:val="00D74B04"/>
    <w:rsid w:val="00D76747"/>
    <w:rsid w:val="00D76EE4"/>
    <w:rsid w:val="00D80565"/>
    <w:rsid w:val="00D80DBD"/>
    <w:rsid w:val="00D8285E"/>
    <w:rsid w:val="00D908B6"/>
    <w:rsid w:val="00D94755"/>
    <w:rsid w:val="00DA0460"/>
    <w:rsid w:val="00DA1B9D"/>
    <w:rsid w:val="00DA1DDF"/>
    <w:rsid w:val="00DA732F"/>
    <w:rsid w:val="00DB5346"/>
    <w:rsid w:val="00DC03A3"/>
    <w:rsid w:val="00DC4231"/>
    <w:rsid w:val="00DC589C"/>
    <w:rsid w:val="00DC5B42"/>
    <w:rsid w:val="00DC630A"/>
    <w:rsid w:val="00DD47E1"/>
    <w:rsid w:val="00DD4983"/>
    <w:rsid w:val="00DD5790"/>
    <w:rsid w:val="00DD686A"/>
    <w:rsid w:val="00DD6BFC"/>
    <w:rsid w:val="00DE08B2"/>
    <w:rsid w:val="00DE0E6C"/>
    <w:rsid w:val="00DE4D3F"/>
    <w:rsid w:val="00DE72DF"/>
    <w:rsid w:val="00DE7826"/>
    <w:rsid w:val="00DF0126"/>
    <w:rsid w:val="00DF055A"/>
    <w:rsid w:val="00DF0753"/>
    <w:rsid w:val="00DF57CC"/>
    <w:rsid w:val="00E009B4"/>
    <w:rsid w:val="00E0344A"/>
    <w:rsid w:val="00E0658B"/>
    <w:rsid w:val="00E101AD"/>
    <w:rsid w:val="00E138B6"/>
    <w:rsid w:val="00E142C7"/>
    <w:rsid w:val="00E143B3"/>
    <w:rsid w:val="00E15FA0"/>
    <w:rsid w:val="00E26E4B"/>
    <w:rsid w:val="00E27B7C"/>
    <w:rsid w:val="00E27FC5"/>
    <w:rsid w:val="00E31029"/>
    <w:rsid w:val="00E3117D"/>
    <w:rsid w:val="00E31853"/>
    <w:rsid w:val="00E32636"/>
    <w:rsid w:val="00E33256"/>
    <w:rsid w:val="00E341A5"/>
    <w:rsid w:val="00E348CD"/>
    <w:rsid w:val="00E36C35"/>
    <w:rsid w:val="00E41551"/>
    <w:rsid w:val="00E435D4"/>
    <w:rsid w:val="00E43C11"/>
    <w:rsid w:val="00E47DDA"/>
    <w:rsid w:val="00E50EA9"/>
    <w:rsid w:val="00E55034"/>
    <w:rsid w:val="00E55DB3"/>
    <w:rsid w:val="00E6063A"/>
    <w:rsid w:val="00E668FD"/>
    <w:rsid w:val="00E703F0"/>
    <w:rsid w:val="00E7119E"/>
    <w:rsid w:val="00E7245F"/>
    <w:rsid w:val="00E72689"/>
    <w:rsid w:val="00E760B0"/>
    <w:rsid w:val="00E77C29"/>
    <w:rsid w:val="00E80CE5"/>
    <w:rsid w:val="00E80DAE"/>
    <w:rsid w:val="00E91338"/>
    <w:rsid w:val="00E922EA"/>
    <w:rsid w:val="00EA01C3"/>
    <w:rsid w:val="00EA50D1"/>
    <w:rsid w:val="00EA7015"/>
    <w:rsid w:val="00EB192E"/>
    <w:rsid w:val="00EB1E63"/>
    <w:rsid w:val="00EB5441"/>
    <w:rsid w:val="00EB546A"/>
    <w:rsid w:val="00EB6124"/>
    <w:rsid w:val="00EB71FB"/>
    <w:rsid w:val="00EC04F3"/>
    <w:rsid w:val="00EC0E17"/>
    <w:rsid w:val="00EC1375"/>
    <w:rsid w:val="00EC1ACC"/>
    <w:rsid w:val="00EC4B2F"/>
    <w:rsid w:val="00EC66D0"/>
    <w:rsid w:val="00EC71C4"/>
    <w:rsid w:val="00ED0CAD"/>
    <w:rsid w:val="00ED294D"/>
    <w:rsid w:val="00EE043D"/>
    <w:rsid w:val="00EE2B86"/>
    <w:rsid w:val="00EE3B26"/>
    <w:rsid w:val="00EE4602"/>
    <w:rsid w:val="00EE4E5F"/>
    <w:rsid w:val="00EF1805"/>
    <w:rsid w:val="00EF2172"/>
    <w:rsid w:val="00EF3C39"/>
    <w:rsid w:val="00EF4A8C"/>
    <w:rsid w:val="00EF4F29"/>
    <w:rsid w:val="00EF64D2"/>
    <w:rsid w:val="00F0083B"/>
    <w:rsid w:val="00F0250B"/>
    <w:rsid w:val="00F05F0E"/>
    <w:rsid w:val="00F10B00"/>
    <w:rsid w:val="00F10BA2"/>
    <w:rsid w:val="00F11862"/>
    <w:rsid w:val="00F1651B"/>
    <w:rsid w:val="00F16625"/>
    <w:rsid w:val="00F25274"/>
    <w:rsid w:val="00F3075B"/>
    <w:rsid w:val="00F334BF"/>
    <w:rsid w:val="00F35D3E"/>
    <w:rsid w:val="00F4158B"/>
    <w:rsid w:val="00F44246"/>
    <w:rsid w:val="00F4624E"/>
    <w:rsid w:val="00F50857"/>
    <w:rsid w:val="00F53572"/>
    <w:rsid w:val="00F5442D"/>
    <w:rsid w:val="00F54BC8"/>
    <w:rsid w:val="00F716E4"/>
    <w:rsid w:val="00F7765D"/>
    <w:rsid w:val="00F804D0"/>
    <w:rsid w:val="00F807A5"/>
    <w:rsid w:val="00F80DA6"/>
    <w:rsid w:val="00F82B2B"/>
    <w:rsid w:val="00F83FD4"/>
    <w:rsid w:val="00F87D3A"/>
    <w:rsid w:val="00F929AE"/>
    <w:rsid w:val="00F9328E"/>
    <w:rsid w:val="00F94E7B"/>
    <w:rsid w:val="00F9766D"/>
    <w:rsid w:val="00FA1C91"/>
    <w:rsid w:val="00FA67B7"/>
    <w:rsid w:val="00FA72AA"/>
    <w:rsid w:val="00FB06AF"/>
    <w:rsid w:val="00FB4EF2"/>
    <w:rsid w:val="00FC248E"/>
    <w:rsid w:val="00FC2DD8"/>
    <w:rsid w:val="00FC43D6"/>
    <w:rsid w:val="00FD0EDA"/>
    <w:rsid w:val="00FD278D"/>
    <w:rsid w:val="00FD5623"/>
    <w:rsid w:val="00FD5E10"/>
    <w:rsid w:val="00FE0134"/>
    <w:rsid w:val="00FE5FA5"/>
    <w:rsid w:val="00FF019A"/>
    <w:rsid w:val="00FF019C"/>
    <w:rsid w:val="00FF2888"/>
    <w:rsid w:val="00FF305D"/>
    <w:rsid w:val="00FF4067"/>
    <w:rsid w:val="00FF6587"/>
    <w:rsid w:val="04383AD0"/>
    <w:rsid w:val="056B3E12"/>
    <w:rsid w:val="078F73EC"/>
    <w:rsid w:val="08CD2C20"/>
    <w:rsid w:val="09764441"/>
    <w:rsid w:val="0A3A6954"/>
    <w:rsid w:val="0A6B4A0B"/>
    <w:rsid w:val="0E1604BB"/>
    <w:rsid w:val="118E7195"/>
    <w:rsid w:val="146021A1"/>
    <w:rsid w:val="152A114C"/>
    <w:rsid w:val="19771553"/>
    <w:rsid w:val="1C5321F3"/>
    <w:rsid w:val="2149286F"/>
    <w:rsid w:val="2B0E1D5C"/>
    <w:rsid w:val="33A00C49"/>
    <w:rsid w:val="367E7027"/>
    <w:rsid w:val="373D513F"/>
    <w:rsid w:val="38BE0B6B"/>
    <w:rsid w:val="38E00FCE"/>
    <w:rsid w:val="3CEF0494"/>
    <w:rsid w:val="3D9D4646"/>
    <w:rsid w:val="40D00A6A"/>
    <w:rsid w:val="43CE7218"/>
    <w:rsid w:val="48965C2E"/>
    <w:rsid w:val="4A4B67E0"/>
    <w:rsid w:val="4D06071D"/>
    <w:rsid w:val="4F565039"/>
    <w:rsid w:val="52BD0CE4"/>
    <w:rsid w:val="589D5C58"/>
    <w:rsid w:val="592958A9"/>
    <w:rsid w:val="599817B1"/>
    <w:rsid w:val="61326766"/>
    <w:rsid w:val="6280550E"/>
    <w:rsid w:val="632867B8"/>
    <w:rsid w:val="64FF57E5"/>
    <w:rsid w:val="66AC6A1F"/>
    <w:rsid w:val="69922410"/>
    <w:rsid w:val="6AC05B3E"/>
    <w:rsid w:val="706A2BD6"/>
    <w:rsid w:val="718C27CF"/>
    <w:rsid w:val="72AC3014"/>
    <w:rsid w:val="72ED2E7E"/>
    <w:rsid w:val="734A32D6"/>
    <w:rsid w:val="7BD564C7"/>
    <w:rsid w:val="E3C7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0D1A"/>
  <w15:docId w15:val="{64865FE9-2959-48A3-BC30-2368788C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仿宋_GB2312" w:hAnsi="Calibri" w:cs="Times New Roman"/>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81"/>
    <w:link w:val="a4"/>
    <w:uiPriority w:val="99"/>
    <w:qFormat/>
    <w:rPr>
      <w:rFonts w:ascii="宋体" w:eastAsiaTheme="minorEastAsia" w:hAnsi="Courier New" w:cstheme="minorBidi"/>
      <w:sz w:val="21"/>
      <w:szCs w:val="22"/>
    </w:rPr>
  </w:style>
  <w:style w:type="paragraph" w:styleId="81">
    <w:name w:val="index 8"/>
    <w:basedOn w:val="a"/>
    <w:next w:val="a"/>
    <w:uiPriority w:val="99"/>
    <w:unhideWhenUsed/>
    <w:qFormat/>
    <w:pPr>
      <w:ind w:left="2940"/>
    </w:pPr>
    <w:rPr>
      <w:rFonts w:eastAsia="宋体"/>
      <w:sz w:val="21"/>
      <w:szCs w:val="22"/>
    </w:rPr>
  </w:style>
  <w:style w:type="paragraph" w:styleId="TOC7">
    <w:name w:val="toc 7"/>
    <w:basedOn w:val="a"/>
    <w:next w:val="a"/>
    <w:uiPriority w:val="39"/>
    <w:unhideWhenUsed/>
    <w:qFormat/>
    <w:pPr>
      <w:ind w:left="1260"/>
      <w:jc w:val="left"/>
    </w:pPr>
    <w:rPr>
      <w:rFonts w:asciiTheme="minorHAnsi" w:eastAsiaTheme="minorHAnsi" w:hAnsiTheme="minorHAnsi" w:cstheme="minorBidi"/>
      <w:sz w:val="18"/>
      <w:szCs w:val="18"/>
    </w:r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annotation text"/>
    <w:basedOn w:val="a"/>
    <w:link w:val="a7"/>
    <w:uiPriority w:val="99"/>
    <w:semiHidden/>
    <w:unhideWhenUsed/>
    <w:qFormat/>
    <w:pPr>
      <w:jc w:val="left"/>
    </w:pPr>
  </w:style>
  <w:style w:type="paragraph" w:styleId="TOC5">
    <w:name w:val="toc 5"/>
    <w:basedOn w:val="a"/>
    <w:next w:val="a"/>
    <w:uiPriority w:val="39"/>
    <w:unhideWhenUsed/>
    <w:qFormat/>
    <w:pPr>
      <w:ind w:left="840"/>
      <w:jc w:val="left"/>
    </w:pPr>
    <w:rPr>
      <w:rFonts w:asciiTheme="minorHAnsi" w:eastAsiaTheme="minorHAnsi" w:hAnsiTheme="minorHAnsi" w:cstheme="minorBidi"/>
      <w:sz w:val="18"/>
      <w:szCs w:val="18"/>
    </w:rPr>
  </w:style>
  <w:style w:type="paragraph" w:styleId="TOC3">
    <w:name w:val="toc 3"/>
    <w:basedOn w:val="a"/>
    <w:next w:val="a"/>
    <w:uiPriority w:val="39"/>
    <w:unhideWhenUsed/>
    <w:qFormat/>
    <w:pPr>
      <w:tabs>
        <w:tab w:val="left" w:pos="1050"/>
        <w:tab w:val="right" w:leader="dot" w:pos="8296"/>
      </w:tabs>
      <w:ind w:left="420"/>
      <w:jc w:val="left"/>
    </w:pPr>
    <w:rPr>
      <w:rFonts w:ascii="仿宋_GB2312" w:hAnsiTheme="minorHAnsi" w:cstheme="minorBidi"/>
      <w:i/>
      <w:iCs/>
      <w:sz w:val="20"/>
      <w:szCs w:val="20"/>
    </w:rPr>
  </w:style>
  <w:style w:type="paragraph" w:styleId="TOC8">
    <w:name w:val="toc 8"/>
    <w:basedOn w:val="a"/>
    <w:next w:val="a"/>
    <w:uiPriority w:val="39"/>
    <w:unhideWhenUsed/>
    <w:qFormat/>
    <w:pPr>
      <w:ind w:left="1470"/>
      <w:jc w:val="left"/>
    </w:pPr>
    <w:rPr>
      <w:rFonts w:asciiTheme="minorHAnsi" w:eastAsiaTheme="minorHAnsi" w:hAnsiTheme="minorHAnsi" w:cstheme="minorBidi"/>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asciiTheme="minorHAnsi" w:eastAsiaTheme="minorHAnsi" w:hAnsiTheme="minorHAnsi" w:cstheme="minorBidi"/>
      <w:b/>
      <w:bCs/>
      <w:caps/>
      <w:sz w:val="20"/>
      <w:szCs w:val="20"/>
    </w:rPr>
  </w:style>
  <w:style w:type="paragraph" w:styleId="TOC4">
    <w:name w:val="toc 4"/>
    <w:basedOn w:val="a"/>
    <w:next w:val="a"/>
    <w:uiPriority w:val="39"/>
    <w:unhideWhenUsed/>
    <w:qFormat/>
    <w:pPr>
      <w:ind w:left="630"/>
      <w:jc w:val="left"/>
    </w:pPr>
    <w:rPr>
      <w:rFonts w:asciiTheme="minorHAnsi" w:eastAsiaTheme="minorHAnsi" w:hAnsiTheme="minorHAnsi" w:cstheme="minorBidi"/>
      <w:sz w:val="18"/>
      <w:szCs w:val="18"/>
    </w:rPr>
  </w:style>
  <w:style w:type="paragraph" w:styleId="ac">
    <w:name w:val="Subtitle"/>
    <w:basedOn w:val="a"/>
    <w:next w:val="a"/>
    <w:link w:val="ad"/>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
    <w:next w:val="a"/>
    <w:uiPriority w:val="39"/>
    <w:unhideWhenUsed/>
    <w:qFormat/>
    <w:pPr>
      <w:ind w:left="1050"/>
      <w:jc w:val="left"/>
    </w:pPr>
    <w:rPr>
      <w:rFonts w:asciiTheme="minorHAnsi" w:eastAsiaTheme="minorHAnsi" w:hAnsiTheme="minorHAnsi" w:cstheme="minorBidi"/>
      <w:sz w:val="18"/>
      <w:szCs w:val="18"/>
    </w:rPr>
  </w:style>
  <w:style w:type="paragraph" w:styleId="TOC2">
    <w:name w:val="toc 2"/>
    <w:basedOn w:val="a"/>
    <w:next w:val="a"/>
    <w:uiPriority w:val="39"/>
    <w:unhideWhenUsed/>
    <w:qFormat/>
    <w:pPr>
      <w:tabs>
        <w:tab w:val="left" w:pos="1050"/>
        <w:tab w:val="right" w:leader="dot" w:pos="8296"/>
      </w:tabs>
      <w:spacing w:line="0" w:lineRule="atLeast"/>
      <w:ind w:left="210"/>
      <w:jc w:val="left"/>
    </w:pPr>
    <w:rPr>
      <w:rFonts w:asciiTheme="minorHAnsi" w:eastAsiaTheme="minorHAnsi" w:hAnsiTheme="minorHAnsi" w:cstheme="minorBidi"/>
      <w:smallCaps/>
      <w:sz w:val="20"/>
      <w:szCs w:val="20"/>
    </w:rPr>
  </w:style>
  <w:style w:type="paragraph" w:styleId="TOC9">
    <w:name w:val="toc 9"/>
    <w:basedOn w:val="a"/>
    <w:next w:val="a"/>
    <w:uiPriority w:val="39"/>
    <w:unhideWhenUsed/>
    <w:qFormat/>
    <w:pPr>
      <w:ind w:left="1680"/>
      <w:jc w:val="left"/>
    </w:pPr>
    <w:rPr>
      <w:rFonts w:asciiTheme="minorHAnsi" w:eastAsiaTheme="minorHAnsi" w:hAnsiTheme="minorHAnsi" w:cstheme="minorBidi"/>
      <w:sz w:val="18"/>
      <w:szCs w:val="18"/>
    </w:rPr>
  </w:style>
  <w:style w:type="paragraph" w:styleId="ae">
    <w:name w:val="Normal (Web)"/>
    <w:basedOn w:val="a"/>
    <w:uiPriority w:val="99"/>
    <w:semiHidden/>
    <w:unhideWhenUsed/>
    <w:qFormat/>
    <w:rPr>
      <w:rFonts w:ascii="Times New Roman" w:eastAsiaTheme="minorEastAsia" w:hAnsi="Times New Roman"/>
      <w:sz w:val="24"/>
      <w:szCs w:val="24"/>
    </w:rPr>
  </w:style>
  <w:style w:type="paragraph" w:styleId="af">
    <w:name w:val="Title"/>
    <w:basedOn w:val="a"/>
    <w:next w:val="a"/>
    <w:link w:val="af0"/>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39"/>
    <w:qFormat/>
    <w:pPr>
      <w:spacing w:after="0" w:line="240" w:lineRule="auto"/>
    </w:pPr>
    <w:rPr>
      <w:rFonts w:ascii="Times New Roman" w:eastAsia="宋体"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FollowedHyperlink"/>
    <w:basedOn w:val="a1"/>
    <w:uiPriority w:val="99"/>
    <w:semiHidden/>
    <w:unhideWhenUsed/>
    <w:qFormat/>
    <w:rPr>
      <w:color w:val="96607D" w:themeColor="followedHyperlink"/>
      <w:u w:val="single"/>
    </w:rPr>
  </w:style>
  <w:style w:type="character" w:styleId="af6">
    <w:name w:val="Hyperlink"/>
    <w:basedOn w:val="a1"/>
    <w:uiPriority w:val="99"/>
    <w:unhideWhenUsed/>
    <w:qFormat/>
    <w:rPr>
      <w:color w:val="467886" w:themeColor="hyperlink"/>
      <w:u w:val="single"/>
    </w:rPr>
  </w:style>
  <w:style w:type="character" w:styleId="af7">
    <w:name w:val="annotation reference"/>
    <w:basedOn w:val="a1"/>
    <w:uiPriority w:val="99"/>
    <w:semiHidden/>
    <w:unhideWhenUsed/>
    <w:qFormat/>
    <w:rPr>
      <w:sz w:val="21"/>
      <w:szCs w:val="21"/>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szCs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0">
    <w:name w:val="标题 字符"/>
    <w:basedOn w:val="a1"/>
    <w:link w:val="af"/>
    <w:uiPriority w:val="10"/>
    <w:qFormat/>
    <w:rPr>
      <w:rFonts w:asciiTheme="majorHAnsi" w:eastAsiaTheme="majorEastAsia" w:hAnsiTheme="majorHAnsi" w:cstheme="majorBidi"/>
      <w:spacing w:val="-10"/>
      <w:kern w:val="28"/>
      <w:sz w:val="56"/>
      <w:szCs w:val="56"/>
    </w:rPr>
  </w:style>
  <w:style w:type="character" w:customStyle="1" w:styleId="ad">
    <w:name w:val="副标题 字符"/>
    <w:basedOn w:val="a1"/>
    <w:link w:val="ac"/>
    <w:uiPriority w:val="11"/>
    <w:qFormat/>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pPr>
      <w:spacing w:before="160"/>
      <w:jc w:val="center"/>
    </w:pPr>
    <w:rPr>
      <w:i/>
      <w:iCs/>
      <w:color w:val="404040" w:themeColor="text1" w:themeTint="BF"/>
    </w:rPr>
  </w:style>
  <w:style w:type="character" w:customStyle="1" w:styleId="af9">
    <w:name w:val="引用 字符"/>
    <w:basedOn w:val="a1"/>
    <w:link w:val="af8"/>
    <w:uiPriority w:val="29"/>
    <w:qFormat/>
    <w:rPr>
      <w:i/>
      <w:iCs/>
      <w:color w:val="404040" w:themeColor="text1" w:themeTint="BF"/>
    </w:rPr>
  </w:style>
  <w:style w:type="paragraph" w:styleId="afa">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b">
    <w:name w:val="Intense Quote"/>
    <w:basedOn w:val="a"/>
    <w:next w:val="a"/>
    <w:link w:val="af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basedOn w:val="a1"/>
    <w:link w:val="afb"/>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4">
    <w:name w:val="纯文本 字符"/>
    <w:basedOn w:val="a1"/>
    <w:link w:val="a0"/>
    <w:uiPriority w:val="99"/>
    <w:qFormat/>
    <w:rPr>
      <w:rFonts w:ascii="宋体" w:hAnsi="Courier New"/>
    </w:rPr>
  </w:style>
  <w:style w:type="character" w:customStyle="1" w:styleId="110">
    <w:name w:val="明显强调11"/>
    <w:basedOn w:val="a1"/>
    <w:uiPriority w:val="21"/>
    <w:qFormat/>
    <w:rPr>
      <w:i/>
      <w:iCs/>
      <w:color w:val="0F4761" w:themeColor="accent1" w:themeShade="BF"/>
    </w:rPr>
  </w:style>
  <w:style w:type="character" w:customStyle="1" w:styleId="111">
    <w:name w:val="明显参考11"/>
    <w:basedOn w:val="a1"/>
    <w:uiPriority w:val="32"/>
    <w:qFormat/>
    <w:rPr>
      <w:b/>
      <w:bCs/>
      <w:smallCaps/>
      <w:color w:val="0F4761" w:themeColor="accent1" w:themeShade="BF"/>
      <w:spacing w:val="5"/>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TOC10">
    <w:name w:val="TOC 标题1"/>
    <w:basedOn w:val="1"/>
    <w:next w:val="a"/>
    <w:uiPriority w:val="39"/>
    <w:unhideWhenUsed/>
    <w:qFormat/>
    <w:pPr>
      <w:widowControl/>
      <w:spacing w:before="240" w:after="0" w:line="259" w:lineRule="auto"/>
      <w:jc w:val="left"/>
      <w:outlineLvl w:val="9"/>
    </w:pPr>
    <w:rPr>
      <w:kern w:val="0"/>
      <w:sz w:val="32"/>
      <w:szCs w:val="32"/>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1">
    <w:name w:val="未处理的提及3"/>
    <w:basedOn w:val="a1"/>
    <w:uiPriority w:val="99"/>
    <w:semiHidden/>
    <w:unhideWhenUsed/>
    <w:qFormat/>
    <w:rPr>
      <w:color w:val="605E5C"/>
      <w:shd w:val="clear" w:color="auto" w:fill="E1DFDD"/>
    </w:rPr>
  </w:style>
  <w:style w:type="character" w:customStyle="1" w:styleId="a7">
    <w:name w:val="批注文字 字符"/>
    <w:basedOn w:val="a1"/>
    <w:link w:val="a6"/>
    <w:uiPriority w:val="99"/>
    <w:semiHidden/>
    <w:qFormat/>
    <w:rPr>
      <w:rFonts w:ascii="Calibri" w:eastAsia="仿宋_GB2312" w:hAnsi="Calibri" w:cs="Times New Roman"/>
      <w:kern w:val="2"/>
      <w:sz w:val="32"/>
      <w:szCs w:val="32"/>
      <w14:ligatures w14:val="standardContextual"/>
    </w:rPr>
  </w:style>
  <w:style w:type="character" w:customStyle="1" w:styleId="af2">
    <w:name w:val="批注主题 字符"/>
    <w:basedOn w:val="a7"/>
    <w:link w:val="af1"/>
    <w:uiPriority w:val="99"/>
    <w:semiHidden/>
    <w:qFormat/>
    <w:rPr>
      <w:rFonts w:ascii="Calibri" w:eastAsia="仿宋_GB2312" w:hAnsi="Calibri" w:cs="Times New Roman"/>
      <w:b/>
      <w:bCs/>
      <w:kern w:val="2"/>
      <w:sz w:val="32"/>
      <w:szCs w:val="32"/>
      <w14:ligatures w14:val="standardContextual"/>
    </w:rPr>
  </w:style>
  <w:style w:type="paragraph" w:customStyle="1" w:styleId="TOC20">
    <w:name w:val="TOC 标题2"/>
    <w:basedOn w:val="1"/>
    <w:next w:val="a"/>
    <w:uiPriority w:val="39"/>
    <w:unhideWhenUsed/>
    <w:qFormat/>
    <w:pPr>
      <w:widowControl/>
      <w:spacing w:before="240" w:after="0" w:line="259" w:lineRule="auto"/>
      <w:jc w:val="left"/>
      <w:outlineLvl w:val="9"/>
    </w:pPr>
    <w:rPr>
      <w:kern w:val="0"/>
      <w:sz w:val="32"/>
      <w:szCs w:val="32"/>
    </w:rPr>
  </w:style>
  <w:style w:type="character" w:customStyle="1" w:styleId="41">
    <w:name w:val="未处理的提及4"/>
    <w:basedOn w:val="a1"/>
    <w:uiPriority w:val="99"/>
    <w:semiHidden/>
    <w:unhideWhenUsed/>
    <w:qFormat/>
    <w:rPr>
      <w:color w:val="605E5C"/>
      <w:shd w:val="clear" w:color="auto" w:fill="E1DFDD"/>
    </w:rPr>
  </w:style>
  <w:style w:type="paragraph" w:customStyle="1" w:styleId="14">
    <w:name w:val="修订1"/>
    <w:hidden/>
    <w:uiPriority w:val="99"/>
    <w:unhideWhenUsed/>
    <w:qFormat/>
    <w:pPr>
      <w:spacing w:after="0" w:line="240" w:lineRule="auto"/>
    </w:pPr>
    <w:rPr>
      <w:rFonts w:ascii="Calibri" w:eastAsia="仿宋_GB2312" w:hAnsi="Calibri" w:cs="Times New Roman"/>
      <w:kern w:val="2"/>
      <w:sz w:val="32"/>
      <w:szCs w:val="32"/>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33"/>
    <customShpInfo spid="_x0000_s1034"/>
  </customShpExts>
</s:customData>
</file>

<file path=customXml/itemProps1.xml><?xml version="1.0" encoding="utf-8"?>
<ds:datastoreItem xmlns:ds="http://schemas.openxmlformats.org/officeDocument/2006/customXml" ds:itemID="{BB8DDACB-687D-44BF-9BFE-6EDE8AF48D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69</Pages>
  <Words>6425</Words>
  <Characters>36629</Characters>
  <Application>Microsoft Office Word</Application>
  <DocSecurity>0</DocSecurity>
  <Lines>305</Lines>
  <Paragraphs>85</Paragraphs>
  <ScaleCrop>false</ScaleCrop>
  <Company/>
  <LinksUpToDate>false</LinksUpToDate>
  <CharactersWithSpaces>42969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qican zhuang</dc:creator>
  <cp:lastModifiedBy>qican zhuang</cp:lastModifiedBy>
  <cp:revision>347</cp:revision>
  <cp:lastPrinted>2025-12-18T06:13:00Z</cp:lastPrinted>
  <dcterms:created xsi:type="dcterms:W3CDTF">2025-05-12T15:52:00Z</dcterms:created>
  <dcterms:modified xsi:type="dcterms:W3CDTF">2026-03-02T02:40:00Z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eyJoZGlkIjoiNzEwN2Y4Y2M4OGQyNTMwNDFmYmY5MTYwODFjODIxYzIiLCJ1c2VySWQiOiIxNTE3Nzg4MjQwIn0=</vt:lpwstr>
  </property>
  <property fmtid="{D5CDD505-2E9C-101B-9397-08002B2CF9AE}" pid="3" name="KSOProductBuildVer">
    <vt:lpwstr>2052-11.8.2.8506</vt:lpwstr>
  </property>
  <property fmtid="{D5CDD505-2E9C-101B-9397-08002B2CF9AE}" pid="4" name="ICV">
    <vt:lpwstr>DE2814C612194C119A6AAE5125681BF9_12</vt:lpwstr>
  </property>
</Properties>
</file>